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CC"/>
          <w:sz w:val="28"/>
          <w:szCs w:val="28"/>
        </w:rPr>
        <w:t xml:space="preserve">Abstract</w:t>
      </w:r>
    </w:p>
    <w:p>
      <w:pPr>
        <w:spacing w:after="140" w:line="300"/>
        <w:jc w:val="both"/>
      </w:pPr>
      <w:r>
        <w:rPr>
          <w:rFonts w:ascii="Cambria" w:cs="Cambria" w:eastAsia="Cambria" w:hAnsi="Cambria"/>
          <w:color w:val="0000CC"/>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CC"/>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56</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87</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90</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95</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96</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110</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127</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128</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135</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143</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E6007E"/>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E6007E"/>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E6007E"/>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E6007E"/>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E6007E"/>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E6007E"/>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E6007E"/>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E6007E"/>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E6007E"/>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E6007E"/>
          <w:sz w:val="24"/>
          <w:szCs w:val="24"/>
        </w:rPr>
        <w:t xml:space="preserve">These mechanisms can improve record integrity, traceability, and auditability. However, in most systems consent remains a passive artefact indicating that a permission or approval has been created. Even where consent is represented as an evaluable object [71, 37, 44, 58], its evaluation is not conjoined with a multi-party authority condition and is not formally assured.</w:t>
      </w:r>
      <w:r>
        <w:rPr>
          <w:rFonts w:ascii="Cambria" w:cs="Cambria" w:eastAsia="Cambria" w:hAnsi="Cambria"/>
          <w:color w:val="E6007E"/>
          <w:sz w:val="24"/>
          <w:szCs w:val="24"/>
        </w:rPr>
        <w:t xml:space="preserve">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E6007E"/>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Where they are combined in one system [58, 61, 45, 66, 57], the combination does not make multi-party approval a standing condition of the decision, and the combination is neither formally proved nor tested as an authorisation decision.</w:t>
      </w:r>
      <w:r>
        <w:rPr>
          <w:rFonts w:ascii="Cambria" w:cs="Cambria" w:eastAsia="Cambria" w:hAnsi="Cambria"/>
          <w:color w:val="E6007E"/>
          <w:sz w:val="24"/>
          <w:szCs w:val="24"/>
        </w:rPr>
        <w:t xml:space="preserve">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E6007E"/>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E6007E"/>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CC"/>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E6007E"/>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E6007E"/>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E6007E"/>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E6007E"/>
          <w:sz w:val="24"/>
          <w:szCs w:val="24"/>
        </w:rPr>
        <w:t xml:space="preserve">Multi-party authorisation concerns whether the required threshold of independently verified participants has jointly established the authorisation condition. In the proposed framework, this threshold is defined by the patient in the consent object and is evaluated at the time of each access decision rather than only at registration or in an emergency.</w:t>
      </w:r>
      <w:r>
        <w:rPr>
          <w:rFonts w:ascii="Cambria" w:cs="Cambria" w:eastAsia="Cambria" w:hAnsi="Cambria"/>
          <w:color w:val="E6007E"/>
          <w:sz w:val="24"/>
          <w:szCs w:val="24"/>
        </w:rPr>
        <w:t xml:space="preserve">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w:t>
      </w:r>
      <w:r>
        <w:rPr>
          <w:rFonts w:ascii="Cambria" w:cs="Cambria" w:eastAsia="Cambria" w:hAnsi="Cambria"/>
          <w:color w:val="E6007E"/>
          <w:sz w:val="24"/>
          <w:szCs w:val="24"/>
        </w:rPr>
        <w:t xml:space="preserve">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E6007E"/>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E6007E"/>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E6007E"/>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CC"/>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E6007E"/>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CC"/>
          <w:sz w:val="24"/>
          <w:szCs w:val="24"/>
        </w:rPr>
        <w:t xml:space="preserve">It should be noted that the scope of the current stage is bounded. </w:t>
      </w:r>
      <w:r>
        <w:rPr>
          <w:rFonts w:ascii="Cambria" w:cs="Cambria" w:eastAsia="Cambria" w:hAnsi="Cambria"/>
          <w:color w:val="E6007E"/>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r>
        <w:rPr>
          <w:rFonts w:ascii="Cambria" w:cs="Cambria" w:eastAsia="Cambria" w:hAnsi="Cambria"/>
          <w:color w:val="0000CC"/>
          <w:sz w:val="24"/>
          <w:szCs w:val="24"/>
        </w:rPr>
        <w:t xml:space="preserve">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E6007E"/>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E6007E"/>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w:t>
      </w:r>
      <w:r>
        <w:rPr>
          <w:rFonts w:ascii="Cambria" w:cs="Cambria" w:eastAsia="Cambria" w:hAnsi="Cambria"/>
          <w:color w:val="E6007E"/>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E6007E"/>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E6007E"/>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E6007E"/>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CC"/>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CC"/>
          <w:sz w:val="24"/>
          <w:szCs w:val="24"/>
        </w:rPr>
        <w:t xml:space="preserve">2.3.1  Review Design and Reporting Framework</w:t>
      </w:r>
    </w:p>
    <w:p>
      <w:pPr>
        <w:spacing w:after="140" w:line="300"/>
        <w:jc w:val="both"/>
      </w:pPr>
      <w:r>
        <w:rPr>
          <w:rFonts w:ascii="Cambria" w:cs="Cambria" w:eastAsia="Cambria" w:hAnsi="Cambria"/>
          <w:color w:val="0000CC"/>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E6007E"/>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CC"/>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E6007E"/>
          <w:sz w:val="24"/>
          <w:szCs w:val="24"/>
        </w:rPr>
        <w:t xml:space="preserve">Screening and coding were organised as six review roles, each of which was responsible for one perspective of the review</w:t>
      </w:r>
      <w:r>
        <w:rPr>
          <w:rFonts w:ascii="Cambria" w:cs="Cambria" w:eastAsia="Cambria" w:hAnsi="Cambria"/>
          <w:color w:val="0000CC"/>
          <w:sz w:val="24"/>
          <w:szCs w:val="24"/>
        </w:rPr>
        <w:t xml:space="preserve">,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CC"/>
          <w:sz w:val="24"/>
          <w:szCs w:val="24"/>
        </w:rPr>
        <w:t xml:space="preserve">2.3.2  Questions for Review</w:t>
      </w:r>
    </w:p>
    <w:p>
      <w:pPr>
        <w:spacing w:after="140" w:line="300"/>
        <w:jc w:val="both"/>
      </w:pPr>
      <w:r>
        <w:rPr>
          <w:rFonts w:ascii="Cambria" w:cs="Cambria" w:eastAsia="Cambria" w:hAnsi="Cambria"/>
          <w:color w:val="0000CC"/>
          <w:sz w:val="24"/>
          <w:szCs w:val="24"/>
        </w:rPr>
        <w:t xml:space="preserve">This systematic literature review is guided by the following seven questions, </w:t>
      </w:r>
      <w:r>
        <w:rPr>
          <w:rFonts w:ascii="Cambria" w:cs="Cambria" w:eastAsia="Cambria" w:hAnsi="Cambria"/>
          <w:color w:val="E6007E"/>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CC"/>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CC"/>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CC"/>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CC"/>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CC"/>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CC"/>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CC"/>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E6007E"/>
          <w:sz w:val="24"/>
          <w:szCs w:val="24"/>
        </w:rPr>
        <w:t xml:space="preserve">This question is not a review question in its own right. It expresses the research gap rather than a separate objective, and it is answered only after the seven questions have been answered for every included study. Consequently, the review focused on the relationship between the individual security mechanisms rather than treating identity, consent, multi-party approval, policy and lifecycle control as isolated technologies.</w:t>
      </w:r>
      <w:r>
        <w:rPr>
          <w:rFonts w:ascii="Cambria" w:cs="Cambria" w:eastAsia="Cambria" w:hAnsi="Cambria"/>
          <w:color w:val="0000CC"/>
          <w:sz w:val="24"/>
          <w:szCs w:val="24"/>
        </w:rPr>
        <w:t xml:space="preserve">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CC"/>
          <w:sz w:val="24"/>
          <w:szCs w:val="24"/>
        </w:rPr>
        <w:t xml:space="preserve">2.3.3  Search Databases and Search Strategy</w:t>
      </w:r>
    </w:p>
    <w:p>
      <w:pPr>
        <w:spacing w:after="140" w:line="300"/>
        <w:jc w:val="both"/>
      </w:pPr>
      <w:r>
        <w:rPr>
          <w:rFonts w:ascii="Cambria" w:cs="Cambria" w:eastAsia="Cambria" w:hAnsi="Cambria"/>
          <w:color w:val="0000CC"/>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CC"/>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CC"/>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CC"/>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CC"/>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E6007E"/>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r>
        <w:rPr>
          <w:rFonts w:ascii="Cambria" w:cs="Cambria" w:eastAsia="Cambria" w:hAnsi="Cambria"/>
          <w:color w:val="0000CC"/>
          <w:sz w:val="24"/>
          <w:szCs w:val="24"/>
        </w:rPr>
        <w:t xml:space="preserve"> executed, and this is declared as a documented deviation from the protocol rather than an unexecuted step.</w:t>
      </w:r>
    </w:p>
    <w:p>
      <w:pPr>
        <w:pStyle w:val="Heading3"/>
        <w:spacing w:after="160" w:before="280"/>
      </w:pPr>
      <w:r>
        <w:rPr>
          <w:rFonts w:ascii="Cambria" w:cs="Cambria" w:eastAsia="Cambria" w:hAnsi="Cambria"/>
          <w:color w:val="0000CC"/>
          <w:sz w:val="24"/>
          <w:szCs w:val="24"/>
        </w:rPr>
        <w:t xml:space="preserve">2.3.4  Search Period and Search Execution</w:t>
      </w:r>
    </w:p>
    <w:p>
      <w:pPr>
        <w:spacing w:after="140" w:line="300"/>
        <w:jc w:val="both"/>
      </w:pPr>
      <w:r>
        <w:rPr>
          <w:rFonts w:ascii="Cambria" w:cs="Cambria" w:eastAsia="Cambria" w:hAnsi="Cambria"/>
          <w:color w:val="0000CC"/>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E6007E"/>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E6007E"/>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CC"/>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w:t>
      </w:r>
      <w:r>
        <w:rPr>
          <w:rFonts w:ascii="Cambria" w:cs="Cambria" w:eastAsia="Cambria" w:hAnsi="Cambria"/>
          <w:color w:val="E6007E"/>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CC"/>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CC"/>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E6007E"/>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CC"/>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E6007E"/>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CC"/>
          <w:sz w:val="24"/>
          <w:szCs w:val="24"/>
        </w:rPr>
        <w:t xml:space="preserve">2.3.5  Eligibility Criteria</w:t>
      </w:r>
    </w:p>
    <w:p>
      <w:pPr>
        <w:spacing w:after="140" w:line="300"/>
        <w:jc w:val="both"/>
      </w:pPr>
      <w:r>
        <w:rPr>
          <w:rFonts w:ascii="Cambria" w:cs="Cambria" w:eastAsia="Cambria" w:hAnsi="Cambria"/>
          <w:color w:val="0000CC"/>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CC"/>
          <w:sz w:val="24"/>
          <w:szCs w:val="24"/>
        </w:rPr>
        <w:t xml:space="preserve">A study was included if it satisfied all of the following criteria:</w:t>
      </w:r>
    </w:p>
    <w:p>
      <w:pPr>
        <w:spacing w:after="140" w:line="300"/>
        <w:jc w:val="both"/>
      </w:pPr>
      <w:r>
        <w:rPr>
          <w:rFonts w:ascii="Cambria" w:cs="Cambria" w:eastAsia="Cambria" w:hAnsi="Cambria"/>
          <w:color w:val="0000CC"/>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CC"/>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CC"/>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CC"/>
          <w:sz w:val="24"/>
          <w:szCs w:val="24"/>
        </w:rPr>
        <w:t xml:space="preserve">4. IC4: Peer-reviewed journal or conference paper.</w:t>
      </w:r>
    </w:p>
    <w:p>
      <w:pPr>
        <w:spacing w:after="140" w:line="300"/>
        <w:jc w:val="both"/>
      </w:pPr>
      <w:r>
        <w:rPr>
          <w:rFonts w:ascii="Cambria" w:cs="Cambria" w:eastAsia="Cambria" w:hAnsi="Cambria"/>
          <w:color w:val="0000CC"/>
          <w:sz w:val="24"/>
          <w:szCs w:val="24"/>
        </w:rPr>
        <w:t xml:space="preserve">5. IC5: Available in English.</w:t>
      </w:r>
    </w:p>
    <w:p>
      <w:pPr>
        <w:spacing w:after="140" w:line="300"/>
        <w:jc w:val="both"/>
      </w:pPr>
      <w:r>
        <w:rPr>
          <w:rFonts w:ascii="Cambria" w:cs="Cambria" w:eastAsia="Cambria" w:hAnsi="Cambria"/>
          <w:color w:val="0000CC"/>
          <w:sz w:val="24"/>
          <w:szCs w:val="24"/>
        </w:rPr>
        <w:t xml:space="preserve">6. IC6: Full text available for final inclusion.</w:t>
      </w:r>
    </w:p>
    <w:p>
      <w:pPr>
        <w:spacing w:after="140" w:line="300"/>
        <w:jc w:val="both"/>
      </w:pPr>
      <w:r>
        <w:rPr>
          <w:rFonts w:ascii="Cambria" w:cs="Cambria" w:eastAsia="Cambria" w:hAnsi="Cambria"/>
          <w:color w:val="0000CC"/>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CC"/>
          <w:sz w:val="24"/>
          <w:szCs w:val="24"/>
        </w:rPr>
        <w:t xml:space="preserve">A study was excluded if it satisfied one or more of the following criteria:</w:t>
      </w:r>
    </w:p>
    <w:p>
      <w:pPr>
        <w:spacing w:after="140" w:line="300"/>
        <w:jc w:val="both"/>
      </w:pPr>
      <w:r>
        <w:rPr>
          <w:rFonts w:ascii="Cambria" w:cs="Cambria" w:eastAsia="Cambria" w:hAnsi="Cambria"/>
          <w:color w:val="0000CC"/>
          <w:sz w:val="24"/>
          <w:szCs w:val="24"/>
        </w:rPr>
        <w:t xml:space="preserve">1. EC1: Outside healthcare.</w:t>
      </w:r>
    </w:p>
    <w:p>
      <w:pPr>
        <w:spacing w:after="140" w:line="300"/>
        <w:jc w:val="both"/>
      </w:pPr>
      <w:r>
        <w:rPr>
          <w:rFonts w:ascii="Cambria" w:cs="Cambria" w:eastAsia="Cambria" w:hAnsi="Cambria"/>
          <w:color w:val="0000CC"/>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CC"/>
          <w:sz w:val="24"/>
          <w:szCs w:val="24"/>
        </w:rPr>
        <w:t xml:space="preserve">3. EC3: Blockchain consensus but not authorization trust.</w:t>
      </w:r>
    </w:p>
    <w:p>
      <w:pPr>
        <w:spacing w:after="140" w:line="300"/>
        <w:jc w:val="both"/>
      </w:pPr>
      <w:r>
        <w:rPr>
          <w:rFonts w:ascii="Cambria" w:cs="Cambria" w:eastAsia="Cambria" w:hAnsi="Cambria"/>
          <w:color w:val="0000CC"/>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CC"/>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CC"/>
          <w:sz w:val="24"/>
          <w:szCs w:val="24"/>
        </w:rPr>
        <w:t xml:space="preserve">6. EC6: Duplicate publication.</w:t>
      </w:r>
    </w:p>
    <w:p>
      <w:pPr>
        <w:spacing w:after="140" w:line="300"/>
        <w:jc w:val="both"/>
      </w:pPr>
      <w:r>
        <w:rPr>
          <w:rFonts w:ascii="Cambria" w:cs="Cambria" w:eastAsia="Cambria" w:hAnsi="Cambria"/>
          <w:color w:val="0000CC"/>
          <w:sz w:val="24"/>
          <w:szCs w:val="24"/>
        </w:rPr>
        <w:t xml:space="preserve">7. EC7: Secondary review (kept separately for background/snowballing).</w:t>
      </w:r>
    </w:p>
    <w:p>
      <w:pPr>
        <w:spacing w:after="140" w:line="300"/>
        <w:jc w:val="both"/>
      </w:pPr>
      <w:r>
        <w:rPr>
          <w:rFonts w:ascii="Cambria" w:cs="Cambria" w:eastAsia="Cambria" w:hAnsi="Cambria"/>
          <w:color w:val="0000CC"/>
          <w:sz w:val="24"/>
          <w:szCs w:val="24"/>
        </w:rPr>
        <w:t xml:space="preserve">8. EC8: Full text unobtainable after reasonable attempts.</w:t>
      </w:r>
    </w:p>
    <w:p>
      <w:pPr>
        <w:spacing w:after="140" w:line="300"/>
        <w:jc w:val="both"/>
      </w:pPr>
      <w:r>
        <w:rPr>
          <w:rFonts w:ascii="Cambria" w:cs="Cambria" w:eastAsia="Cambria" w:hAnsi="Cambria"/>
          <w:color w:val="0000CC"/>
          <w:sz w:val="24"/>
          <w:szCs w:val="24"/>
        </w:rPr>
        <w:t xml:space="preserve">9. EC9: Superficial mention of healthcare or consent; no evidence for SLR questions.</w:t>
      </w:r>
    </w:p>
    <w:p>
      <w:pPr>
        <w:spacing w:after="140" w:line="300"/>
        <w:jc w:val="both"/>
      </w:pPr>
      <w:r>
        <w:rPr>
          <w:rFonts w:ascii="Cambria" w:cs="Cambria" w:eastAsia="Cambria" w:hAnsi="Cambria"/>
          <w:color w:val="E6007E"/>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CC"/>
          <w:sz w:val="24"/>
          <w:szCs w:val="24"/>
        </w:rPr>
        <w:t xml:space="preserve">2.3.6  Screening and Study Selection</w:t>
      </w:r>
    </w:p>
    <w:p>
      <w:pPr>
        <w:spacing w:after="140" w:line="300"/>
        <w:jc w:val="both"/>
      </w:pPr>
      <w:r>
        <w:rPr>
          <w:rFonts w:ascii="Cambria" w:cs="Cambria" w:eastAsia="Cambria" w:hAnsi="Cambria"/>
          <w:color w:val="0000CC"/>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CC"/>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E6007E"/>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CC"/>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CC"/>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CC"/>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CC"/>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E6007E"/>
          <w:sz w:val="24"/>
          <w:szCs w:val="24"/>
        </w:rPr>
        <w:t xml:space="preserve">All 39 Tier A records were processed at full text, 38 of which were assessed, while one could not be retrieved, as reported below.</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CC"/>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CC"/>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CC"/>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E6007E"/>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CC"/>
          <w:sz w:val="24"/>
          <w:szCs w:val="24"/>
        </w:rPr>
        <w:t xml:space="preserve">2.3.7  Data Extraction, Quality Assessment and Synthesis</w:t>
      </w:r>
    </w:p>
    <w:p>
      <w:pPr>
        <w:spacing w:after="140" w:line="300"/>
        <w:jc w:val="both"/>
      </w:pPr>
      <w:r>
        <w:rPr>
          <w:rFonts w:ascii="Cambria" w:cs="Cambria" w:eastAsia="Cambria" w:hAnsi="Cambria"/>
          <w:color w:val="0000CC"/>
          <w:sz w:val="24"/>
          <w:szCs w:val="24"/>
        </w:rPr>
        <w:t xml:space="preserve">The included studies were analysed using a predefined data extraction form that was implemented as the screening register of the workbook. </w:t>
      </w:r>
      <w:r>
        <w:rPr>
          <w:rFonts w:ascii="Cambria" w:cs="Cambria" w:eastAsia="Cambria" w:hAnsi="Cambria"/>
          <w:color w:val="E6007E"/>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CC"/>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CC"/>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E6007E"/>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CC"/>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CC"/>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E6007E"/>
          <w:sz w:val="24"/>
          <w:szCs w:val="24"/>
        </w:rPr>
        <w:t xml:space="preserve">with Partial awarded for a threat discussion only. The statement that a system is secure is not evidence.</w:t>
      </w:r>
      <w:r>
        <w:rPr>
          <w:rFonts w:ascii="Cambria" w:cs="Cambria" w:eastAsia="Cambria" w:hAnsi="Cambria"/>
          <w:color w:val="0000CC"/>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E6007E"/>
          <w:sz w:val="24"/>
          <w:szCs w:val="24"/>
        </w:rPr>
        <w:t xml:space="preserve">Each study that passed the relevance criteria at the full-text stage was additionally evaluated against eight quality assessment items</w:t>
      </w:r>
      <w:r>
        <w:rPr>
          <w:rFonts w:ascii="Cambria" w:cs="Cambria" w:eastAsia="Cambria" w:hAnsi="Cambria"/>
          <w:color w:val="0000CC"/>
          <w:sz w:val="24"/>
          <w:szCs w:val="24"/>
        </w:rPr>
        <w:t xml:space="preserve"> scored 1 for Yes, 0.5 for Partial and 0 for No. </w:t>
      </w:r>
      <w:r>
        <w:rPr>
          <w:rFonts w:ascii="Cambria" w:cs="Cambria" w:eastAsia="Cambria" w:hAnsi="Cambria"/>
          <w:color w:val="E6007E"/>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CC"/>
          <w:sz w:val="24"/>
          <w:szCs w:val="24"/>
        </w:rPr>
        <w:t xml:space="preserve"> A study was included when the sum of QA1 to QA4 was at least 3.0. The remaining four items, QA5 to QA8, do not affect inclusion but inform the evidence tier assigned to each study, </w:t>
      </w:r>
      <w:r>
        <w:rPr>
          <w:rFonts w:ascii="Cambria" w:cs="Cambria" w:eastAsia="Cambria" w:hAnsi="Cambria"/>
          <w:color w:val="E6007E"/>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CC"/>
          <w:sz w:val="24"/>
          <w:szCs w:val="24"/>
        </w:rPr>
        <w:t xml:space="preserve"> Quality items were scored for every included study and for exclusions in which the relevance gate corroborated the decision, </w:t>
      </w:r>
      <w:r>
        <w:rPr>
          <w:rFonts w:ascii="Cambria" w:cs="Cambria" w:eastAsia="Cambria" w:hAnsi="Cambria"/>
          <w:color w:val="E6007E"/>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CC"/>
          <w:sz w:val="24"/>
          <w:szCs w:val="24"/>
        </w:rPr>
        <w:t xml:space="preserve">.</w:t>
      </w:r>
    </w:p>
    <w:p>
      <w:pPr>
        <w:spacing w:after="140" w:line="300"/>
        <w:jc w:val="both"/>
      </w:pPr>
      <w:r>
        <w:rPr>
          <w:rFonts w:ascii="Cambria" w:cs="Cambria" w:eastAsia="Cambria" w:hAnsi="Cambria"/>
          <w:color w:val="0000CC"/>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E6007E"/>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E6007E"/>
          <w:sz w:val="24"/>
          <w:szCs w:val="24"/>
        </w:rPr>
        <w:t xml:space="preserve">Coding and synthesis followed the six-role review procedure described in Section 2.3.1.</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CC"/>
          <w:sz w:val="24"/>
          <w:szCs w:val="24"/>
        </w:rPr>
        <w:t xml:space="preserve">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CC"/>
          <w:sz w:val="24"/>
          <w:szCs w:val="24"/>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E6007E"/>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CC"/>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CC"/>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3340"/>
        <w:gridCol w:w="1600"/>
        <w:gridCol w:w="11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CC"/>
          <w:sz w:val="24"/>
          <w:szCs w:val="24"/>
        </w:rPr>
        <w:t xml:space="preserve">2.4  Review</w:t>
      </w:r>
    </w:p>
    <w:p>
      <w:pPr>
        <w:spacing w:after="140" w:line="300"/>
        <w:jc w:val="both"/>
      </w:pPr>
      <w:r>
        <w:rPr>
          <w:rFonts w:ascii="Cambria" w:cs="Cambria" w:eastAsia="Cambria" w:hAnsi="Cambria"/>
          <w:color w:val="0000CC"/>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Following the synthesis rule ratified by the coding panel (D-166), 23 studies were classified as core, because their full-text evidence contradicts, weakens or narrows the research gap or because they involve more than one authorising party (T3 graded Yes or Partial), and the remaining 21 were classified as supporting.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E6007E"/>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CC"/>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spacing w:after="140" w:line="300"/>
        <w:jc w:val="both"/>
      </w:pPr>
      <w:r>
        <w:rPr>
          <w:rFonts w:ascii="Cambria" w:cs="Cambria" w:eastAsia="Cambria" w:hAnsi="Cambria"/>
          <w:color w:val="0000CC"/>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CC"/>
          <w:sz w:val="24"/>
          <w:szCs w:val="24"/>
        </w:rPr>
        <w:t xml:space="preserve">2.4.1  Consent Representation and Blockchain-Based Consent Governance</w:t>
      </w:r>
    </w:p>
    <w:p>
      <w:pPr>
        <w:spacing w:after="140" w:line="300"/>
        <w:jc w:val="both"/>
      </w:pPr>
      <w:r>
        <w:rPr>
          <w:rFonts w:ascii="Cambria" w:cs="Cambria" w:eastAsia="Cambria" w:hAnsi="Cambria"/>
          <w:color w:val="E6007E"/>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CC"/>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In this context, three situations recur across the stream: consent that is represented but absent from the decision, consent that is present in the decision but reduced to a boolean flag, and consent that is held in a registry whose status is displayed or queried but never enforced. The two analysed studies illustrate the first and the third of these situations in production settings.</w:t>
      </w:r>
    </w:p>
    <w:p>
      <w:pPr>
        <w:spacing w:after="140" w:line="300"/>
        <w:jc w:val="both"/>
      </w:pPr>
      <w:r>
        <w:rPr>
          <w:rFonts w:ascii="Cambria" w:cs="Cambria" w:eastAsia="Cambria" w:hAnsi="Cambria"/>
          <w:color w:val="0000CC"/>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CC"/>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The consent object is the richest in this stream, yet the paper specifies no check semantics, no term list and no allow or deny protocol, so that the way in which a directive is evaluated at the time of a request cannot be established from the publication.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E6007E"/>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E6007E"/>
          <w:sz w:val="24"/>
          <w:szCs w:val="24"/>
        </w:rPr>
        <w:t xml:space="preserve">They corroborate the pattern described above rather than alter it.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CC"/>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2.4.2  Decentralised Identity and Authority Trust</w:t>
      </w:r>
    </w:p>
    <w:p>
      <w:pPr>
        <w:spacing w:after="140" w:line="300"/>
        <w:jc w:val="both"/>
      </w:pPr>
      <w:r>
        <w:rPr>
          <w:rFonts w:ascii="Cambria" w:cs="Cambria" w:eastAsia="Cambria" w:hAnsi="Cambria"/>
          <w:color w:val="0000CC"/>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included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CC"/>
          <w:sz w:val="24"/>
          <w:szCs w:val="24"/>
        </w:rPr>
        <w:t xml:space="preserve">Phuyal et al. </w:t>
      </w:r>
      <w:r>
        <w:rPr>
          <w:rFonts w:ascii="Cambria" w:cs="Cambria" w:eastAsia="Cambria" w:hAnsi="Cambria"/>
          <w:color w:val="E6007E"/>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CC"/>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E6007E"/>
          <w:sz w:val="24"/>
          <w:szCs w:val="24"/>
        </w:rPr>
        <w:t xml:space="preserve">The limitations are also clear. A single patient grants a bilateral data-sharing agreement and there is no multi-party approval,</w:t>
      </w:r>
      <w:r>
        <w:rPr>
          <w:rFonts w:ascii="Cambria" w:cs="Cambria" w:eastAsia="Cambria" w:hAnsi="Cambria"/>
          <w:color w:val="0000CC"/>
          <w:sz w:val="24"/>
          <w:szCs w:val="24"/>
        </w:rPr>
        <w:t xml:space="preserve"> the expiry field is stored on the ledger but the access algorithm checks only state and proof, purpose exists only at the user-interface level, and there is no threat model, formal verification or adversarial test. The companion architecture of Phuyal et al. </w:t>
      </w:r>
      <w:r>
        <w:rPr>
          <w:rFonts w:ascii="Cambria" w:cs="Cambria" w:eastAsia="Cambria" w:hAnsi="Cambria"/>
          <w:color w:val="E6007E"/>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CC"/>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E6007E"/>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E6007E"/>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CC"/>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E6007E"/>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CC"/>
          <w:sz w:val="24"/>
          <w:szCs w:val="24"/>
        </w:rPr>
        <w:t xml:space="preserve"> In both, however, case-specific authority reduces to a credential together with the consent state, the guardians named in [45] are a key-recovery mechanism rather than co-authorisers, no denial after revocation or expiry is tested, and neither study is formally assured, so that both were graded Partial on Req 2 and No on Req 3.</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2.4.3  Multi-Party Authorisation and Collaborative Consent</w:t>
      </w:r>
    </w:p>
    <w:p>
      <w:pPr>
        <w:spacing w:after="140" w:line="300"/>
        <w:jc w:val="both"/>
      </w:pPr>
      <w:r>
        <w:rPr>
          <w:rFonts w:ascii="Cambria" w:cs="Cambria" w:eastAsia="Cambria" w:hAnsi="Cambria"/>
          <w:color w:val="0000CC"/>
          <w:sz w:val="24"/>
          <w:szCs w:val="24"/>
        </w:rPr>
        <w:t xml:space="preserve">This section reviews the eight analysed studies of stream 3,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CC"/>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E6007E"/>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CC"/>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CC"/>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half of them, whereas the consent grant itself is submitted unilaterally by the patient. </w:t>
      </w:r>
      <w:r>
        <w:rPr>
          <w:rFonts w:ascii="Cambria" w:cs="Cambria" w:eastAsia="Cambria" w:hAnsi="Cambria"/>
          <w:color w:val="E6007E"/>
          <w:sz w:val="24"/>
          <w:szCs w:val="24"/>
        </w:rPr>
        <w:t xml:space="preserve">In addition, each investigator's vote consists of recomputing and confirming the hash of the message,</w:t>
      </w:r>
      <w:r>
        <w:rPr>
          <w:rFonts w:ascii="Cambria" w:cs="Cambria" w:eastAsia="Cambria" w:hAnsi="Cambria"/>
          <w:color w:val="0000CC"/>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among the 44 included studies in which multi-party approval and an enforced policy predicate co-occur. </w:t>
      </w:r>
      <w:r>
        <w:rPr>
          <w:rFonts w:ascii="Cambria" w:cs="Cambria" w:eastAsia="Cambria" w:hAnsi="Cambria"/>
          <w:color w:val="E6007E"/>
          <w:sz w:val="24"/>
          <w:szCs w:val="24"/>
        </w:rPr>
        <w:t xml:space="preserve">Even so, the threshold is scoped, since ordinary access is token-only, and it is defeasible, since a single emergency officer can bypass it. It also sits outside the grant predicate as a separate orchestration layer.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CC"/>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w:t>
      </w:r>
      <w:r>
        <w:rPr>
          <w:rFonts w:ascii="Cambria" w:cs="Cambria" w:eastAsia="Cambria" w:hAnsi="Cambria"/>
          <w:color w:val="E6007E"/>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CC"/>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CC"/>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E6007E"/>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CC"/>
          <w:sz w:val="24"/>
          <w:szCs w:val="24"/>
        </w:rPr>
        <w:t xml:space="preserv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E6007E"/>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CC"/>
          <w:sz w:val="24"/>
          <w:szCs w:val="24"/>
        </w:rPr>
        <w:t xml:space="preserve"> The panel recorded it as a candidate class only.</w:t>
      </w:r>
    </w:p>
    <w:p>
      <w:pPr>
        <w:spacing w:after="140" w:line="300"/>
        <w:jc w:val="both"/>
      </w:pPr>
      <w:r>
        <w:rPr>
          <w:rFonts w:ascii="Cambria" w:cs="Cambria" w:eastAsia="Cambria" w:hAnsi="Cambria"/>
          <w:color w:val="E6007E"/>
          <w:sz w:val="24"/>
          <w:szCs w:val="24"/>
        </w:rPr>
        <w:t xml:space="preserve">The position of the literature with respect to Req 3 can therefore be stated precisely. Multi-party authorisation exists in the six mechanism classes ratified by the coding panel. The first is joint approval on a contingency path when the principal is absent, with key-share reconstruction among guardians, custodians or relatives [53, 35, 54]. The second is an institution-side threshold over record admission and consent revocation [75]. The third is a consumer-side delegated threshold [50]. The fourth is a patient-appointed witness threshold bound to key release [69]. The fifth is custodial M-of-N approval placed around, but not inside, a policy predicate [61]. The sixth is guardian co-consent at the time of consent registration [43, 47], with the bilateral co-signature of Al Amin et al. [38] recorded as a candidate of this class. In this context, the statement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as a conjunct of the same predicate that evaluates the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w:t>
      </w:r>
      <w:r>
        <w:rPr>
          <w:rFonts w:ascii="Cambria" w:cs="Cambria" w:eastAsia="Cambria" w:hAnsi="Cambria"/>
          <w:color w:val="0000CC"/>
          <w:sz w:val="24"/>
          <w:szCs w:val="24"/>
        </w:rPr>
        <w:t xml:space="preserve"> In this context, the sentence that multi-party authorisation does not exist in the literature is no longer defensible and is not made in this review. </w:t>
      </w:r>
      <w:r>
        <w:rPr>
          <w:rFonts w:ascii="Cambria" w:cs="Cambria" w:eastAsia="Cambria" w:hAnsi="Cambria"/>
          <w:color w:val="E6007E"/>
          <w:sz w:val="24"/>
          <w:szCs w:val="24"/>
        </w:rPr>
        <w:t xml:space="preserve">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w:t>
      </w:r>
      <w:r>
        <w:rPr>
          <w:rFonts w:ascii="Cambria" w:cs="Cambria" w:eastAsia="Cambria" w:hAnsi="Cambria"/>
          <w:color w:val="0000CC"/>
          <w:sz w:val="24"/>
          <w:szCs w:val="24"/>
        </w:rPr>
        <w:t xml:space="preserve"> The coding supports each element of this statement. Only Punia et al. [61] combine T3 = Yes with an enforced policy predicate, and there the threshold is outside the predicate, the patient is an attribute and purpose is absent. </w:t>
      </w:r>
      <w:r>
        <w:rPr>
          <w:rFonts w:ascii="Cambria" w:cs="Cambria" w:eastAsia="Cambria" w:hAnsi="Cambria"/>
          <w:color w:val="E6007E"/>
          <w:sz w:val="24"/>
          <w:szCs w:val="24"/>
        </w:rPr>
        <w:t xml:space="preserve">Every T3-positive study in this stream except the observational study of Hagström et al. [47], whose Req 6 tick rests on empirical evidence alone, is graded No or Partial on Req 6</w:t>
      </w:r>
      <w:r>
        <w:rPr>
          <w:rFonts w:ascii="Cambria" w:cs="Cambria" w:eastAsia="Cambria" w:hAnsi="Cambria"/>
          <w:color w:val="0000CC"/>
          <w:sz w:val="24"/>
          <w:szCs w:val="24"/>
        </w:rPr>
        <w:t xml:space="preserve">,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2.4.4  Policy- and Context-Aware Access Control</w:t>
      </w:r>
    </w:p>
    <w:p>
      <w:pPr>
        <w:spacing w:after="140" w:line="300"/>
        <w:jc w:val="both"/>
      </w:pPr>
      <w:r>
        <w:rPr>
          <w:rFonts w:ascii="Cambria" w:cs="Cambria" w:eastAsia="Cambria" w:hAnsi="Cambria"/>
          <w:color w:val="0000CC"/>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CC"/>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CC"/>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E6007E"/>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CC"/>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E6007E"/>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E6007E"/>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2.4.5  Temporal Validity and Consent Lifecycle</w:t>
      </w:r>
    </w:p>
    <w:p>
      <w:pPr>
        <w:spacing w:after="140" w:line="300"/>
        <w:jc w:val="both"/>
      </w:pPr>
      <w:r>
        <w:rPr>
          <w:rFonts w:ascii="Cambria" w:cs="Cambria" w:eastAsia="Cambria" w:hAnsi="Cambria"/>
          <w:color w:val="0000CC"/>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CC"/>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E6007E"/>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CC"/>
          <w:sz w:val="24"/>
          <w:szCs w:val="24"/>
        </w:rPr>
        <w:t xml:space="preserve"> Hema et al. </w:t>
      </w:r>
      <w:r>
        <w:rPr>
          <w:rFonts w:ascii="Cambria" w:cs="Cambria" w:eastAsia="Cambria" w:hAnsi="Cambria"/>
          <w:color w:val="E6007E"/>
          <w:sz w:val="24"/>
          <w:szCs w:val="24"/>
        </w:rPr>
        <w:t xml:space="preserve">[64] took a different route in a patient-centric cryptographic protection scheme for cloud EHRs.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Therefore, the expiry is enforced by the key derivation itself rather than by a check inside the decision, and authority is separated from identity through role-scoped keys.</w:t>
      </w:r>
      <w:r>
        <w:rPr>
          <w:rFonts w:ascii="Cambria" w:cs="Cambria" w:eastAsia="Cambria" w:hAnsi="Cambria"/>
          <w:color w:val="0000CC"/>
          <w:sz w:val="24"/>
          <w:szCs w:val="24"/>
        </w:rPr>
        <w:t xml:space="preserve">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CC"/>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E6007E"/>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CC"/>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CC"/>
          <w:sz w:val="24"/>
          <w:szCs w:val="24"/>
        </w:rPr>
        <w:t xml:space="preserve">Across the 44 included studies, T5 is coded Yes in 10 and T6 in 11, while Req 5, which requires enforcement in the decision, is Yes in 8; among the 25 analysed studies the corresponding counts are 8, 7 and 8, so that every study coded Yes on Req 5 belongs to the analysed set.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E6007E"/>
          <w:sz w:val="24"/>
          <w:szCs w:val="24"/>
        </w:rPr>
        <w:t xml:space="preserve">It is the absence of verified temporal and lifecycle enforcement at the level of the consent object in a deployed multi-institution exchange.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CC"/>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CC"/>
          <w:sz w:val="24"/>
          <w:szCs w:val="24"/>
        </w:rPr>
        <w:t xml:space="preserve">Supporting evidence. One further included study of stream 5 was coded but is not discussed individually. The revocable attribute-based encryption scheme of Xu et al. [77], organised in key epochs for hospital-to-hospital sharing, corroborates the displacement pattern, since revocation is realised by key rollover so that a revoked user retains access until the epoch ends, the word consent does not appear and keyword matching is a discovery mechanism rather than an approval. </w:t>
      </w:r>
      <w:r>
        <w:rPr>
          <w:rFonts w:ascii="Cambria" w:cs="Cambria" w:eastAsia="Cambria" w:hAnsi="Cambria"/>
          <w:color w:val="E6007E"/>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2.4.6  Formal Security Assurance and Empirical Validation</w:t>
      </w:r>
    </w:p>
    <w:p>
      <w:pPr>
        <w:spacing w:after="140" w:line="300"/>
        <w:jc w:val="both"/>
      </w:pPr>
      <w:r>
        <w:rPr>
          <w:rFonts w:ascii="Cambria" w:cs="Cambria" w:eastAsia="Cambria" w:hAnsi="Cambria"/>
          <w:color w:val="0000CC"/>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CC"/>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w:t>
      </w:r>
      <w:r>
        <w:rPr>
          <w:rFonts w:ascii="Cambria" w:cs="Cambria" w:eastAsia="Cambria" w:hAnsi="Cambria"/>
          <w:color w:val="E6007E"/>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CC"/>
          <w:sz w:val="24"/>
          <w:szCs w:val="24"/>
        </w:rPr>
        <w:t xml:space="preserv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w:t>
      </w:r>
      <w:r>
        <w:rPr>
          <w:rFonts w:ascii="Cambria" w:cs="Cambria" w:eastAsia="Cambria" w:hAnsi="Cambria"/>
          <w:color w:val="E6007E"/>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CC"/>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E6007E"/>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CC"/>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E6007E"/>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E6007E"/>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E6007E"/>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CC"/>
          <w:sz w:val="24"/>
          <w:szCs w:val="24"/>
        </w:rPr>
        <w:t xml:space="preserve">Supporting evidence. Five further included studies of stream 6 were coded but are not discussed individually. The revocable attribute-based searchable encryption scheme of Gao et al. [48] and the bilateral proxy re-encryption scheme of Luo et al. [52] are the two remaining studies coded Yes on formal assurance among the 44 included studies, and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CC"/>
          <w:sz w:val="24"/>
          <w:szCs w:val="24"/>
        </w:rPr>
        <w:t xml:space="preserve">2.4.7  Comparative Analysis of Existing Approaches</w:t>
      </w:r>
    </w:p>
    <w:p>
      <w:pPr>
        <w:spacing w:after="140" w:line="300"/>
        <w:jc w:val="both"/>
      </w:pPr>
      <w:r>
        <w:rPr>
          <w:rFonts w:ascii="Cambria" w:cs="Cambria" w:eastAsia="Cambria" w:hAnsi="Cambria"/>
          <w:color w:val="E6007E"/>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E6007E"/>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CC"/>
          <w:sz w:val="24"/>
          <w:szCs w:val="24"/>
        </w:rPr>
        <w:t xml:space="preserve">Table 9 summarises the position of the 25 analysed studies against the six key requirements and positions the proposed framework relative to the existing literature. The analysed studies are the 23 core studies ratified by the coding panel, that is, the studies whose coding narrows, weakens or contradicts one of the deficits of the gap statement or which carry a multi-party signal (T3 Yes or Partial), together with the two highest-quality supporting studies, Albalwy et al. [37] and Li et al. [51].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CC"/>
          <w:sz w:val="21"/>
          <w:szCs w:val="21"/>
        </w:rPr>
        <w:t xml:space="preserve">Table 9: </w:t>
      </w:r>
      <w:r>
        <w:rPr>
          <w:rFonts w:ascii="Cambria" w:cs="Cambria" w:eastAsia="Cambria" w:hAnsi="Cambria"/>
          <w:color w:val="0000CC"/>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CC"/>
          <w:sz w:val="24"/>
          <w:szCs w:val="24"/>
        </w:rPr>
        <w:t xml:space="preserve">The matrix supports four observations. </w:t>
      </w:r>
      <w:r>
        <w:rPr>
          <w:rFonts w:ascii="Cambria" w:cs="Cambria" w:eastAsia="Cambria" w:hAnsi="Cambria"/>
          <w:color w:val="E6007E"/>
          <w:sz w:val="24"/>
          <w:szCs w:val="24"/>
        </w:rPr>
        <w:t xml:space="preserve">First, counting only full satisfaction, Req 1 is met by 12 of the 25 analysed studies, Req 2 by 7, Req 3 by 6, Req 4 by 10, Req 5 by 8 and Req 6 by 9. No requirement is unaddressed. However, none is met by a majority of the analysed studies, and Req 1, at 12 of 25, comes closest.</w:t>
      </w:r>
      <w:r>
        <w:rPr>
          <w:rFonts w:ascii="Cambria" w:cs="Cambria" w:eastAsia="Cambria" w:hAnsi="Cambria"/>
          <w:color w:val="0000CC"/>
          <w:sz w:val="24"/>
          <w:szCs w:val="24"/>
        </w:rPr>
        <w:t xml:space="preserve">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and five studies (Abbasi, Phuyal et al. [59], Soohoo, Tremper and Wu et al. [75]) fully satisfy no requirement at all. Third, the pairs of requirements that co-occur most often are Req 1 with Req 4 (seven studies: Albalwy, Eneh, Jaiman and Urovi, Panagoulias, Román-Martínez, Hema and Tith) and Req 4 with Req 5 (six studies: Eneh, Li, Mei, Panagoulias, Punia and Hema),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Two triples are the most frequent, each found in three studies: Req 1 with Req 4 and Req 5, in Eneh et al. [44], Panagoulias et al. [57] and Hema et al. [64], all of them single-party systems, and Req 1 with Req 4 and Req 6, in Albalwy et al. [37], Jaiman and Urovi [49] and Panagoulias et al. [57], all of them single-party systems whose Req 6 tick rests on empirical validation rather than a formal proof. </w:t>
      </w:r>
      <w:r>
        <w:rPr>
          <w:rFonts w:ascii="Cambria" w:cs="Cambria" w:eastAsia="Cambria" w:hAnsi="Cambria"/>
          <w:color w:val="E6007E"/>
          <w:sz w:val="24"/>
          <w:szCs w:val="24"/>
        </w:rPr>
        <w:t xml:space="preserve">The triples that include Req 3 are Req 1, Req 2 and Req 3 in Madine et al. [53], whose quadruple also yields Req 1 or Req 2 with Req 3 and Req 5, and in Tan et al. [69],</w:t>
      </w:r>
      <w:r>
        <w:rPr>
          <w:rFonts w:ascii="Cambria" w:cs="Cambria" w:eastAsia="Cambria" w:hAnsi="Cambria"/>
          <w:color w:val="0000CC"/>
          <w:sz w:val="24"/>
          <w:szCs w:val="24"/>
        </w:rPr>
        <w:t xml:space="preserve"> neither of which enforces purpose or data scope or provides a formal argument, and Req 3, Req 4 and Req 5 in Punia et al. [61], where the threshold lies outside the policy predicate and no purpose term exists. </w:t>
      </w:r>
      <w:r>
        <w:rPr>
          <w:rFonts w:ascii="Cambria" w:cs="Cambria" w:eastAsia="Cambria" w:hAnsi="Cambria"/>
          <w:color w:val="E6007E"/>
          <w:sz w:val="24"/>
          <w:szCs w:val="24"/>
        </w:rPr>
        <w:t xml:space="preserve">Fourth, the two quadruples among the analysed studies share only Req 1 and Req 5 and are otherwise complementary in exactly the way the gap predicts:</w:t>
      </w:r>
      <w:r>
        <w:rPr>
          <w:rFonts w:ascii="Cambria" w:cs="Cambria" w:eastAsia="Cambria" w:hAnsi="Cambria"/>
          <w:color w:val="0000CC"/>
          <w:sz w:val="24"/>
          <w:szCs w:val="24"/>
        </w:rPr>
        <w:t xml:space="preserve">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E6007E"/>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CC"/>
          <w:sz w:val="24"/>
          <w:szCs w:val="24"/>
        </w:rPr>
        <w:t xml:space="preserve">2.5  Synthesis and Research Gap</w:t>
      </w:r>
    </w:p>
    <w:p>
      <w:pPr>
        <w:spacing w:after="140" w:line="300"/>
        <w:jc w:val="both"/>
      </w:pPr>
      <w:r>
        <w:rPr>
          <w:rFonts w:ascii="Cambria" w:cs="Cambria" w:eastAsia="Cambria" w:hAnsi="Cambria"/>
          <w:color w:val="E6007E"/>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CC"/>
          <w:sz w:val="24"/>
          <w:szCs w:val="24"/>
        </w:rPr>
        <w:t xml:space="preserve"> </w:t>
      </w:r>
      <w:r>
        <w:rPr>
          <w:rFonts w:ascii="Cambria" w:cs="Cambria" w:eastAsia="Cambria" w:hAnsi="Cambria"/>
          <w:color w:val="0000CC"/>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E6007E"/>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CC"/>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E6007E"/>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CC"/>
          <w:sz w:val="24"/>
          <w:szCs w:val="24"/>
        </w:rPr>
        <w:t xml:space="preserve">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w:t>
      </w:r>
      <w:r>
        <w:rPr>
          <w:rFonts w:ascii="Cambria" w:cs="Cambria" w:eastAsia="Cambria" w:hAnsi="Cambria"/>
          <w:color w:val="E6007E"/>
          <w:sz w:val="24"/>
          <w:szCs w:val="24"/>
        </w:rPr>
        <w:t xml:space="preserve">[47] report deployed platforms in which all legal guardians must co-sign at consent registration. In [43] this occurs on a commercial research platform. In [47] it is a condition of guardian proxy access in national patient portals, which is gated also by a professional's capacity assessment and the minor's own consent. In both cases guardianship is verified against a population register. The co-consent is a validity condition of the registered consent and not a predicate evaluated on each subsequent access request.</w:t>
      </w:r>
      <w:r>
        <w:rPr>
          <w:rFonts w:ascii="Cambria" w:cs="Cambria" w:eastAsia="Cambria" w:hAnsi="Cambria"/>
          <w:color w:val="0000CC"/>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E6007E"/>
          <w:sz w:val="24"/>
          <w:szCs w:val="24"/>
        </w:rPr>
        <w:t xml:space="preserve">Therefore, multi-party approval exists in the reviewed literature in six forms: joint approval on a contingency path with key-share reconstruction, an institution-side admission gate, a consumer-side delegated threshold, a patient-appointed witness threshold, a custodial M-of-N around a policy engine, and a guardian co-consent at consent registration.</w:t>
      </w:r>
      <w:r>
        <w:rPr>
          <w:rFonts w:ascii="Cambria" w:cs="Cambria" w:eastAsia="Cambria" w:hAnsi="Cambria"/>
          <w:color w:val="0000CC"/>
          <w:sz w:val="24"/>
          <w:szCs w:val="24"/>
        </w:rPr>
        <w:t xml:space="preserve">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CC"/>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E6007E"/>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CC"/>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CC"/>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w:t>
      </w:r>
      <w:r>
        <w:rPr>
          <w:rFonts w:ascii="Cambria" w:cs="Cambria" w:eastAsia="Cambria" w:hAnsi="Cambria"/>
          <w:color w:val="E6007E"/>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CC"/>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E6007E"/>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CC"/>
          <w:sz w:val="24"/>
          <w:szCs w:val="24"/>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CC"/>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CC"/>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E6007E"/>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CC"/>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CC"/>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CC"/>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E6007E"/>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CC"/>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CC"/>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E6007E"/>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CC"/>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E6007E"/>
          <w:sz w:val="24"/>
          <w:szCs w:val="24"/>
        </w:rPr>
        <w:t xml:space="preserve">This is the rule enforced by the implemented Consent Engine. Every access request is evaluated over the complete tuple, where V T(C, t) additionally represents the temporal validity of the request instant and V L(C) the jurisdictional constraint. Both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E6007E"/>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 In this context, the principal research opportunity identified by the literature is not the development of another isolated blockchain consent mechanism or identity-management system. It is the construction of a coherent trust-oriented authorisation model in which the different security mechanisms contribute to a common and explainable authorisation decision. Trustworthy healthcare data sharing can then be evaluated according to whether the combined identity, authority, collective authorisation, policy, temporal and jurisdictional conditions required for access have been satisfied, and not simply according to whether a consent record exists.</w:t>
      </w:r>
      <w:r>
        <w:rPr>
          <w:rFonts w:ascii="Cambria" w:cs="Cambria" w:eastAsia="Cambria" w:hAnsi="Cambria"/>
          <w:color w:val="E6007E"/>
          <w:sz w:val="24"/>
          <w:szCs w:val="24"/>
        </w:rPr>
        <w:t xml:space="preserve">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E6007E"/>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CC"/>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E6007E"/>
          <w:sz w:val="24"/>
          <w:szCs w:val="24"/>
        </w:rPr>
        <w:t xml:space="preserve">Seven frozen database searches, supplemented by a Google Scholar discovery arm, identified 9,256 records,</w:t>
      </w:r>
      <w:r>
        <w:rPr>
          <w:rFonts w:ascii="Cambria" w:cs="Cambria" w:eastAsia="Cambria" w:hAnsi="Cambria"/>
          <w:color w:val="0000CC"/>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CC"/>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E6007E"/>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appears as joint approval on a contingency path with key-share reconstruction, an institution-side gate, a consumer-side delegated threshold, a patient-appointed witness threshold, a custodial M-of-N around a policy engine, or a guardian co-consent at consent registration, rather than as a standing condition of every access decision.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CC"/>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CC"/>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CC"/>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E6007E"/>
          <w:sz w:val="24"/>
          <w:szCs w:val="24"/>
        </w:rPr>
        <w:t xml:space="preserve">The systematic literature review of 44 primary studies presented in Chapter 2 (Section 2.5) indicates that substantial research</w:t>
      </w:r>
      <w:r>
        <w:rPr>
          <w:rFonts w:ascii="Cambria" w:cs="Cambria" w:eastAsia="Cambria" w:hAnsi="Cambria"/>
          <w:color w:val="E6007E"/>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E6007E"/>
          <w:sz w:val="24"/>
          <w:szCs w:val="24"/>
        </w:rPr>
        <w:t xml:space="preserve">policy-based authorisation, and multi-party approval. Representative examples are the blockchain consent surveys of [1,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E6007E"/>
          <w:sz w:val="24"/>
          <w:szCs w:val="24"/>
        </w:rPr>
        <w:t xml:space="preserve">They are commonly investigated as independent technical solutions. The few studies that coordinate several of them in one decision</w:t>
      </w:r>
      <w:r>
        <w:rPr>
          <w:rFonts w:ascii="Cambria" w:cs="Cambria" w:eastAsia="Cambria" w:hAnsi="Cambria"/>
          <w:color w:val="E6007E"/>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E6007E"/>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E6007E"/>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E6007E"/>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E6007E"/>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E6007E"/>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E6007E"/>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CC"/>
          <w:sz w:val="24"/>
          <w:szCs w:val="24"/>
        </w:rPr>
        <w:t xml:space="preserve">In the terms of Section 2.5, these two requirements correspond to the conjunction gap and the assurance gap respectively. It should be noted that the approving set must be defined by the patient rather than by an institution, </w:t>
      </w:r>
      <w:r>
        <w:rPr>
          <w:rFonts w:ascii="Cambria" w:cs="Cambria" w:eastAsia="Cambria" w:hAnsi="Cambria"/>
          <w:color w:val="E6007E"/>
          <w:sz w:val="24"/>
          <w:szCs w:val="24"/>
        </w:rPr>
        <w:t xml:space="preserve">since in the reviewed studies the approving set is either defined on the institutional or delegate side [61, 50, 75] or, where it is appointed by the patient [69, 54],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CC"/>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E6007E"/>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E6007E"/>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CC"/>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E6007E"/>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E6007E"/>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E6007E"/>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E6007E"/>
          <w:sz w:val="24"/>
          <w:szCs w:val="24"/>
        </w:rPr>
        <w:t xml:space="preserve">denote the set of independently verified authorisation participants and let N denote the required authorisation threshold. In this context,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is the subset of the guardian set G whose approvals have been independently verified, so that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CC"/>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E6007E"/>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E6007E"/>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E6007E"/>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CC"/>
          <w:sz w:val="24"/>
          <w:szCs w:val="24"/>
        </w:rPr>
        <w:t xml:space="preserve"> The temporal component T and the jurisdictional </w:t>
      </w:r>
      <w:r>
        <w:rPr>
          <w:rFonts w:ascii="Cambria" w:cs="Cambria" w:eastAsia="Cambria" w:hAnsi="Cambria"/>
          <w:color w:val="E6007E"/>
          <w:sz w:val="24"/>
          <w:szCs w:val="24"/>
        </w:rPr>
        <w:t xml:space="preserve">component L are required by Gap 1 of Section 2.5.1 and were made explicit during implementation as</w:t>
      </w:r>
      <w:r>
        <w:rPr>
          <w:rFonts w:ascii="Cambria" w:cs="Cambria" w:eastAsia="Cambria" w:hAnsi="Cambria"/>
          <w:color w:val="0000CC"/>
          <w:sz w:val="24"/>
          <w:szCs w:val="24"/>
        </w:rPr>
        <w:t xml:space="preserve"> </w:t>
      </w:r>
      <w:r>
        <w:rPr>
          <w:rFonts w:ascii="Cambria" w:cs="Cambria" w:eastAsia="Cambria" w:hAnsi="Cambria"/>
          <w:color w:val="E6007E"/>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and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defined in Section 6.5</w:t>
      </w:r>
      <w:r>
        <w:rPr>
          <w:rFonts w:ascii="Cambria" w:cs="Cambria" w:eastAsia="Cambria" w:hAnsi="Cambria"/>
          <w:color w:val="0000CC"/>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For example, if a consent authorises access to the data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E6007E"/>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E6007E"/>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E6007E"/>
          <w:sz w:val="24"/>
          <w:szCs w:val="24"/>
        </w:rPr>
        <w:t xml:space="preserve">In the implemented framework, the state and revocation conditions of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are evaluated as part of the collective authorisation predicate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whereas Section 6.5 additionally evaluates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as a composite temporal and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that includes the temporal condition of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E6007E"/>
          <w:sz w:val="24"/>
          <w:szCs w:val="24"/>
        </w:rPr>
        <w:t xml:space="preserve">It should also be noted that the symbol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CC"/>
          <w:sz w:val="24"/>
          <w:szCs w:val="24"/>
        </w:rPr>
        <w:t xml:space="preserve">It should be noted that Section 6.4 also writes the data-scope condition of Equation (9) as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for this reason the lifecycle predicate is written with three arguments,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E6007E"/>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E6007E"/>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E6007E"/>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CC"/>
          <w:sz w:val="24"/>
          <w:szCs w:val="24"/>
        </w:rPr>
        <w:t xml:space="preserve">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E6007E"/>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E6007E"/>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E6007E"/>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E6007E"/>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E6007E"/>
          <w:sz w:val="24"/>
          <w:szCs w:val="24"/>
        </w:rPr>
        <w:t xml:space="preserve">The third research objective is to develop a threshold-based multi-party authorisation mechanism through which multiple independently verified participants can jointly establish a trustworthy consent decision.</w:t>
      </w:r>
      <w:r>
        <w:rPr>
          <w:rFonts w:ascii="Cambria" w:cs="Cambria" w:eastAsia="Cambria" w:hAnsi="Cambria"/>
          <w:color w:val="000000"/>
          <w:sz w:val="24"/>
          <w:szCs w:val="24"/>
        </w:rPr>
        <w:t xml:space="preserve">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color w:val="E6007E"/>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E6007E"/>
          <w:sz w:val="24"/>
          <w:szCs w:val="24"/>
        </w:rPr>
        <w:t xml:space="preserve">The fourth research objective is to develop a policy-aware authorisation mechanism that evaluates the purpose and data scope of a requested operation against the constraints defined by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color w:val="E6007E"/>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E6007E"/>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r>
        <w:rPr>
          <w:rFonts w:ascii="Cambria" w:cs="Cambria" w:eastAsia="Cambria" w:hAnsi="Cambria"/>
          <w:color w:val="000000"/>
          <w:sz w:val="24"/>
          <w:szCs w:val="24"/>
        </w:rPr>
        <w:t xml:space="preserve">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E6007E"/>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color w:val="E6007E"/>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records notBefore and expiry on-chain within the consent token,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r>
        <w:rPr>
          <w:rFonts w:ascii="Cambria" w:cs="Cambria" w:eastAsia="Cambria" w:hAnsi="Cambria"/>
          <w:sz w:val="24"/>
          <w:szCs w:val="24"/>
        </w:rPr>
        <w:t xml:space="preserve">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E6007E"/>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E6007E"/>
          <w:sz w:val="24"/>
          <w:szCs w:val="24"/>
        </w:rPr>
        <w:t xml:space="preserve">The empirical component of this objective has been partially delivered in the current stage, as reported in Section 7.6 and summarised later in this section. Consequently, the complete formal analysis, whether through proofs or model checking of the stated properties, remains the subject of the next stage of the research.</w:t>
      </w:r>
      <w:r>
        <w:rPr>
          <w:rFonts w:ascii="Cambria" w:cs="Cambria" w:eastAsia="Cambria" w:hAnsi="Cambria"/>
          <w:color w:val="000000"/>
          <w:sz w:val="24"/>
          <w:szCs w:val="24"/>
        </w:rPr>
        <w:t xml:space="preserve">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E6007E"/>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E6007E"/>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color w:val="E6007E"/>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E6007E"/>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E6007E"/>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Because each research question corresponds to one requirement of Section 2.2 and to one gap of Section 2.5.1, </w:t>
      </w:r>
      <w:r>
        <w:rPr>
          <w:rFonts w:ascii="Cambria" w:cs="Cambria" w:eastAsia="Cambria" w:hAnsi="Cambria"/>
          <w:color w:val="E6007E"/>
          <w:sz w:val="24"/>
          <w:szCs w:val="24"/>
        </w:rPr>
        <w:t xml:space="preserve">each objective also corresponds to the gap of the same number, so that RO1 addresses Gap 1,</w:t>
      </w:r>
      <w:r>
        <w:rPr>
          <w:rFonts w:ascii="Cambria" w:cs="Cambria" w:eastAsia="Cambria" w:hAnsi="Cambria"/>
          <w:color w:val="0000CC"/>
          <w:sz w:val="24"/>
          <w:szCs w:val="24"/>
        </w:rPr>
        <w:t xml:space="preserve"> RO2 addresses Gap 2, and so on to RO6 and Gap 6.</w:t>
      </w:r>
    </w:p>
    <w:p>
      <w:pPr>
        <w:spacing w:after="140" w:line="300"/>
        <w:jc w:val="both"/>
      </w:pPr>
      <w:r>
        <w:rPr>
          <w:rFonts w:ascii="Cambria" w:cs="Cambria" w:eastAsia="Cambria" w:hAnsi="Cambria"/>
          <w:color w:val="E6007E"/>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E6007E"/>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E6007E"/>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E6007E"/>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E6007E"/>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Section 6.6 (progress in Section 7.6)</w:t>
            </w:r>
          </w:p>
        </w:tc>
      </w:tr>
    </w:tbl>
    <w:p>
      <w:pPr>
        <w:spacing w:after="180"/>
      </w:pPr>
    </w:p>
    <w:p>
      <w:pPr>
        <w:spacing w:after="140" w:line="300"/>
        <w:jc w:val="both"/>
      </w:pPr>
      <w:r>
        <w:rPr>
          <w:rFonts w:ascii="Cambria" w:cs="Cambria" w:eastAsia="Cambria" w:hAnsi="Cambria"/>
          <w:color w:val="E6007E"/>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E6007E"/>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E6007E"/>
          <w:sz w:val="24"/>
          <w:szCs w:val="24"/>
        </w:rPr>
        <w:t xml:space="preserve">where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(C, t) represents temporal validity and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 represents jurisdictional compliance, while the lifecycle state and its transitions are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E6007E"/>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E6007E"/>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E6007E"/>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CC"/>
          <w:sz w:val="24"/>
          <w:szCs w:val="24"/>
        </w:rPr>
        <w:t xml:space="preserve">,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E6007E"/>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E6007E"/>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E6007E"/>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E6007E"/>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E6007E"/>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E6007E"/>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E6007E"/>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Figure 8 the corresponding component is labelled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in Eq. (59) and abbreviated as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E6007E"/>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CC"/>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E6007E"/>
          <w:sz w:val="24"/>
          <w:szCs w:val="24"/>
        </w:rPr>
        <w:t xml:space="preserve">and the independent verification tool described in Section 6.8.9 provide</w:t>
      </w:r>
      <w:r>
        <w:rPr>
          <w:rFonts w:ascii="Cambria" w:cs="Cambria" w:eastAsia="Cambria" w:hAnsi="Cambria"/>
          <w:color w:val="0000CC"/>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E6007E"/>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E6007E"/>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E6007E"/>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E6007E"/>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E6007E"/>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E6007E"/>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and the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E6007E"/>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E6007E"/>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E6007E"/>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CC"/>
          <w:sz w:val="24"/>
          <w:szCs w:val="24"/>
        </w:rPr>
        <w:t xml:space="preserve">It should be noted that Eq. (30) expresses the foundational core only. In the complete model, the temporal predicate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(C, t) and the jurisdictional predicate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E6007E"/>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E6007E"/>
          <w:sz w:val="24"/>
          <w:szCs w:val="24"/>
        </w:rPr>
        <w:t xml:space="preserve">Let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E6007E"/>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CC"/>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E6007E"/>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E6007E"/>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E6007E"/>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E6007E"/>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CC"/>
          <w:sz w:val="24"/>
          <w:szCs w:val="24"/>
        </w:rPr>
        <w:t xml:space="preserve">In Eq. (40),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(ai) denotes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E6007E"/>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E6007E"/>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E6007E"/>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E6007E"/>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E6007E"/>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E6007E"/>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E6007E"/>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E6007E"/>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CC"/>
          <w:sz w:val="24"/>
          <w:szCs w:val="24"/>
        </w:rPr>
        <w:t xml:space="preserve">RO5 is realised through the temporal and lifecycle state held in the Model and the corresponding predicates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E6007E"/>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E6007E"/>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E6007E"/>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E6007E"/>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E6007E"/>
          <w:sz w:val="24"/>
          <w:szCs w:val="24"/>
        </w:rPr>
        <w:t xml:space="preserve">The Controller therefore already evaluates the corresponding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jurisdictional predicate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E6007E"/>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CC"/>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E6007E"/>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E6007E"/>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E6007E"/>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w:t>
      </w:r>
      <w:r>
        <w:rPr>
          <w:rFonts w:ascii="Cambria" w:cs="Cambria" w:eastAsia="Cambria" w:hAnsi="Cambria"/>
          <w:color w:val="E6007E"/>
          <w:sz w:val="24"/>
          <w:szCs w:val="24"/>
        </w:rPr>
        <w:t xml:space="preserve">The identifier is not supplied by any participant.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w:t>
      </w:r>
      <w:r>
        <w:rPr>
          <w:rFonts w:ascii="Cambria" w:cs="Cambria" w:eastAsia="Cambria" w:hAnsi="Cambria"/>
          <w:color w:val="E6007E"/>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E6007E"/>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Patient identity I</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authorised doctor D, guardian set G,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data scope S</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E6007E"/>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E6007E"/>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CC"/>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E6007E"/>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E6007E"/>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E6007E"/>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E6007E"/>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p>
    <w:p>
      <w:pPr>
        <w:spacing w:after="140" w:line="300"/>
        <w:jc w:val="both"/>
      </w:pPr>
      <w:r>
        <w:rPr>
          <w:rFonts w:ascii="Cambria" w:cs="Cambria" w:eastAsia="Cambria" w:hAnsi="Cambria"/>
          <w:color w:val="0000CC"/>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E6007E"/>
          <w:sz w:val="24"/>
          <w:szCs w:val="24"/>
        </w:rPr>
        <w:t xml:space="preserve">Formally, no approval already contained in the valid approval set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E6007E"/>
          <w:sz w:val="24"/>
          <w:szCs w:val="24"/>
        </w:rPr>
        <w:t xml:space="preserve">It should be noted that only approvals that have passed the identity, authority, membership and duplicate checks are included in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E6007E"/>
          <w:sz w:val="24"/>
          <w:szCs w:val="24"/>
        </w:rPr>
        <w:t xml:space="preserve">Authorisation(C) = { ACTIVATED,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PENDING,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E6007E"/>
          <w:sz w:val="22"/>
          <w:szCs w:val="22"/>
        </w:rPr>
        <w:t xml:space="preserve">|A</w:t>
      </w:r>
      <w:r>
        <w:rPr>
          <w:rFonts w:ascii="Cambria Math" w:cs="Cambria Math" w:eastAsia="Cambria Math" w:hAnsi="Cambria Math"/>
          <w:i/>
          <w:iCs/>
          <w:color w:val="E6007E"/>
          <w:sz w:val="22"/>
          <w:szCs w:val="22"/>
          <w:vertAlign w:val="subscript"/>
        </w:rPr>
        <w:t xml:space="preserve">v</w:t>
      </w:r>
      <w:r>
        <w:rPr>
          <w:rFonts w:ascii="Cambria Math" w:cs="Cambria Math" w:eastAsia="Cambria Math" w:hAnsi="Cambria Math"/>
          <w:i/>
          <w:iCs/>
          <w:color w:val="E6007E"/>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E6007E"/>
          <w:sz w:val="24"/>
          <w:szCs w:val="24"/>
        </w:rPr>
        <w:t xml:space="preserve">|A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E6007E"/>
          <w:sz w:val="21"/>
          <w:szCs w:val="21"/>
        </w:rPr>
        <w:t xml:space="preserve">Consent object C with identifier id</w:t>
      </w:r>
      <w:r>
        <w:rPr>
          <w:rFonts w:ascii="Cambria" w:cs="Cambria" w:eastAsia="Cambria" w:hAnsi="Cambria"/>
          <w:color w:val="E6007E"/>
          <w:sz w:val="21"/>
          <w:szCs w:val="21"/>
          <w:vertAlign w:val="subscript"/>
        </w:rPr>
        <w:t xml:space="preserve">C</w:t>
      </w:r>
      <w:r>
        <w:rPr>
          <w:rFonts w:ascii="Cambria" w:cs="Cambria" w:eastAsia="Cambria" w:hAnsi="Cambria"/>
          <w:color w:val="E6007E"/>
          <w:sz w:val="21"/>
          <w:szCs w:val="21"/>
        </w:rPr>
        <w:t xml:space="preserve">, purpose 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interval (t</w:t>
      </w:r>
      <w:r>
        <w:rPr>
          <w:rFonts w:ascii="Cambria" w:cs="Cambria" w:eastAsia="Cambria" w:hAnsi="Cambria"/>
          <w:color w:val="E6007E"/>
          <w:sz w:val="21"/>
          <w:szCs w:val="21"/>
          <w:vertAlign w:val="subscript"/>
        </w:rPr>
        <w:t xml:space="preserve">s</w:t>
      </w:r>
      <w:r>
        <w:rPr>
          <w:rFonts w:ascii="Cambria" w:cs="Cambria" w:eastAsia="Cambria" w:hAnsi="Cambria"/>
          <w:color w:val="E6007E"/>
          <w:sz w:val="21"/>
          <w:szCs w:val="21"/>
        </w:rPr>
        <w:t xml:space="preserve">, t</w:t>
      </w:r>
      <w:r>
        <w:rPr>
          <w:rFonts w:ascii="Cambria" w:cs="Cambria" w:eastAsia="Cambria" w:hAnsi="Cambria"/>
          <w:color w:val="E6007E"/>
          <w:sz w:val="21"/>
          <w:szCs w:val="21"/>
          <w:vertAlign w:val="subscript"/>
        </w:rPr>
        <w:t xml:space="preserve">e</w:t>
      </w:r>
      <w:r>
        <w:rPr>
          <w:rFonts w:ascii="Cambria" w:cs="Cambria" w:eastAsia="Cambria" w:hAnsi="Cambria"/>
          <w:color w:val="E6007E"/>
          <w:sz w:val="21"/>
          <w:szCs w:val="21"/>
        </w:rPr>
        <w:t xml:space="preserve">) and jurisdiction L; patient and requester addresses addr</w:t>
      </w:r>
      <w:r>
        <w:rPr>
          <w:rFonts w:ascii="Cambria" w:cs="Cambria" w:eastAsia="Cambria" w:hAnsi="Cambria"/>
          <w:color w:val="E6007E"/>
          <w:sz w:val="21"/>
          <w:szCs w:val="21"/>
          <w:vertAlign w:val="subscript"/>
        </w:rPr>
        <w:t xml:space="preserve">p</w:t>
      </w:r>
      <w:r>
        <w:rPr>
          <w:rFonts w:ascii="Cambria" w:cs="Cambria" w:eastAsia="Cambria" w:hAnsi="Cambria"/>
          <w:color w:val="E6007E"/>
          <w:sz w:val="21"/>
          <w:szCs w:val="21"/>
        </w:rPr>
        <w:t xml:space="preserve">, addr</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EIP-712 domain; approval a = (g, sig</w:t>
      </w:r>
      <w:r>
        <w:rPr>
          <w:rFonts w:ascii="Cambria" w:cs="Cambria" w:eastAsia="Cambria" w:hAnsi="Cambria"/>
          <w:color w:val="E6007E"/>
          <w:sz w:val="21"/>
          <w:szCs w:val="21"/>
          <w:vertAlign w:val="subscript"/>
        </w:rPr>
        <w:t xml:space="preserve">a</w:t>
      </w:r>
      <w:r>
        <w:rPr>
          <w:rFonts w:ascii="Cambria" w:cs="Cambria" w:eastAsia="Cambria" w:hAnsi="Cambria"/>
          <w:color w:val="E6007E"/>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E6007E"/>
          <w:sz w:val="21"/>
          <w:szCs w:val="21"/>
        </w:rPr>
        <w:t xml:space="preserve">Verify identity and authority of g (Algorithm 2; structural DID check in the prototype)</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E6007E"/>
          <w:sz w:val="21"/>
          <w:szCs w:val="21"/>
        </w:rPr>
        <w:t xml:space="preserve">P</w:t>
      </w:r>
      <w:r>
        <w:rPr>
          <w:rFonts w:ascii="Cambria" w:cs="Cambria" w:eastAsia="Cambria" w:hAnsi="Cambria"/>
          <w:color w:val="E6007E"/>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E6007E"/>
          <w:sz w:val="21"/>
          <w:szCs w:val="21"/>
        </w:rPr>
        <w:t xml:space="preserve">the contract stores keccak256(P</w:t>
      </w:r>
      <w:r>
        <w:rPr>
          <w:rFonts w:ascii="Cambria" w:cs="Cambria" w:eastAsia="Cambria" w:hAnsi="Cambria"/>
          <w:color w:val="E6007E"/>
          <w:sz w:val="21"/>
          <w:szCs w:val="21"/>
          <w:vertAlign w:val="subscript"/>
        </w:rPr>
        <w:t xml:space="preserve">u</w:t>
      </w:r>
      <w:r>
        <w:rPr>
          <w:rFonts w:ascii="Cambria" w:cs="Cambria" w:eastAsia="Cambria" w:hAnsi="Cambria"/>
          <w:color w:val="E6007E"/>
          <w:sz w:val="21"/>
          <w:szCs w:val="21"/>
        </w:rPr>
        <w:t xml:space="preserve">); </w:t>
      </w:r>
      <w:r>
        <w:rPr>
          <w:rFonts w:ascii="Cambria" w:cs="Cambria" w:eastAsia="Cambria" w:hAnsi="Cambria"/>
          <w:color w:val="000000"/>
          <w:sz w:val="21"/>
          <w:szCs w:val="21"/>
        </w:rPr>
        <w:t xml:space="preserve">background job; reconciled on next lookup</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E6007E"/>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spacing w:after="140" w:line="300"/>
        <w:jc w:val="both"/>
      </w:pPr>
      <w:r>
        <w:rPr>
          <w:rFonts w:ascii="Cambria" w:cs="Cambria" w:eastAsia="Cambria" w:hAnsi="Cambria"/>
          <w:color w:val="0000CC"/>
          <w:sz w:val="24"/>
          <w:szCs w:val="24"/>
        </w:rPr>
        <w:t xml:space="preserve">Figure 14 presents this workflow.</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C</w:t>
      </w:r>
      <w:r>
        <w:rPr>
          <w:rFonts w:ascii="Cambria Math" w:cs="Cambria Math" w:eastAsia="Cambria Math" w:hAnsi="Cambria Math"/>
          <w:i/>
          <w:iCs/>
          <w:color w:val="E6007E"/>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E6007E"/>
          <w:sz w:val="22"/>
          <w:szCs w:val="22"/>
        </w:rPr>
        <w:t xml:space="preserve">S</w:t>
      </w:r>
      <w:r>
        <w:rPr>
          <w:rFonts w:ascii="Cambria Math" w:cs="Cambria Math" w:eastAsia="Cambria Math" w:hAnsi="Cambria Math"/>
          <w:i/>
          <w:iCs/>
          <w:color w:val="E6007E"/>
          <w:sz w:val="22"/>
          <w:szCs w:val="22"/>
          <w:vertAlign w:val="subscript"/>
        </w:rPr>
        <w:t xml:space="preserve">R</w:t>
      </w:r>
      <w:r>
        <w:rPr>
          <w:rFonts w:ascii="Cambria Math" w:cs="Cambria Math" w:eastAsia="Cambria Math" w:hAnsi="Cambria Math"/>
          <w:i/>
          <w:iCs/>
          <w:color w:val="E6007E"/>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E6007E"/>
          <w:sz w:val="21"/>
          <w:szCs w:val="21"/>
        </w:rPr>
        <w:t xml:space="preserve">Consent object C, access request R = (u, P</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S</w:t>
      </w:r>
      <w:r>
        <w:rPr>
          <w:rFonts w:ascii="Cambria" w:cs="Cambria" w:eastAsia="Cambria" w:hAnsi="Cambria"/>
          <w:color w:val="E6007E"/>
          <w:sz w:val="21"/>
          <w:szCs w:val="21"/>
          <w:vertAlign w:val="subscript"/>
        </w:rPr>
        <w:t xml:space="preserve">R</w:t>
      </w:r>
      <w:r>
        <w:rPr>
          <w:rFonts w:ascii="Cambria" w:cs="Cambria" w:eastAsia="Cambria" w:hAnsi="Cambria"/>
          <w:color w:val="E6007E"/>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E6007E"/>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E6007E"/>
          <w:sz w:val="24"/>
          <w:szCs w:val="24"/>
        </w:rPr>
        <w:t xml:space="preserve">represented as R = (u,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E6007E"/>
          <w:sz w:val="24"/>
          <w:szCs w:val="24"/>
        </w:rPr>
        <w:t xml:space="preserve">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E6007E"/>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E6007E"/>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E6007E"/>
          <w:sz w:val="24"/>
          <w:szCs w:val="24"/>
        </w:rPr>
        <w:t xml:space="preserve">PurposeMatch(P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P</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ScopeMatch(S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 t ≤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E6007E"/>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E6007E"/>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E6007E"/>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is presently evaluated over the consent purpose rather than over a requester-declared P</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keccak256(purpose). </w:t>
      </w:r>
      <w:r>
        <w:rPr>
          <w:rFonts w:ascii="Cambria" w:cs="Cambria" w:eastAsia="Cambria" w:hAnsi="Cambria"/>
          <w:color w:val="E6007E"/>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E6007E"/>
          <w:sz w:val="24"/>
          <w:szCs w:val="24"/>
        </w:rPr>
        <w:t xml:space="preserve">In the HALAH implementation, the access-evidence step (Step 8) is realised by generating and verifying a Groth16 zero-knowledge proof</w:t>
      </w:r>
      <w:r>
        <w:rPr>
          <w:rFonts w:ascii="Cambria" w:cs="Cambria" w:eastAsia="Cambria" w:hAnsi="Cambria"/>
          <w:color w:val="0000CC"/>
          <w:sz w:val="24"/>
          <w:szCs w:val="24"/>
        </w:rPr>
        <w:t xml:space="preserve">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E6007E"/>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E6007E"/>
          <w:sz w:val="24"/>
          <w:szCs w:val="24"/>
        </w:rPr>
        <w:t xml:space="preserve">In this context, healthcare data access is no longer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E6007E"/>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E6007E"/>
          <w:sz w:val="24"/>
          <w:szCs w:val="24"/>
        </w:rPr>
        <w:t xml:space="preserve">The foundational model of Equation (64) evaluates identity, collective authorisation and policy compliance. RO5 extends this model by introducing temporal and lifecycle conditions, and the extended rule is the one enforced by the prototype.</w:t>
      </w:r>
      <w:r>
        <w:rPr>
          <w:rFonts w:ascii="Cambria" w:cs="Cambria" w:eastAsia="Cambria" w:hAnsi="Cambria"/>
          <w:color w:val="E6007E"/>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E6007E"/>
          <w:sz w:val="24"/>
          <w:szCs w:val="24"/>
        </w:rPr>
        <w:t xml:space="preserve">The jurisdictional condition, written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R) here and abbreviated to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w:t>
      </w:r>
      <w:r>
        <w:rPr>
          <w:rFonts w:ascii="Cambria" w:cs="Cambria" w:eastAsia="Cambria" w:hAnsi="Cambria"/>
          <w:color w:val="E6007E"/>
          <w:sz w:val="24"/>
          <w:szCs w:val="24"/>
        </w:rPr>
        <w:t xml:space="preserve">It should be noted that this check produced the demonstrated denial, in which a request declaring jurisdiction SA was refused against a consent issued for AU.</w:t>
      </w:r>
      <w:r>
        <w:rPr>
          <w:rFonts w:ascii="Cambria" w:cs="Cambria" w:eastAsia="Cambria" w:hAnsi="Cambria"/>
          <w:color w:val="000000"/>
          <w:sz w:val="24"/>
          <w:szCs w:val="24"/>
        </w:rPr>
        <w:t xml:space="preserve"> </w:t>
      </w:r>
      <w:r>
        <w:rPr>
          <w:rFonts w:ascii="Cambria" w:cs="Cambria" w:eastAsia="Cambria" w:hAnsi="Cambria"/>
          <w:color w:val="0000CC"/>
          <w:sz w:val="24"/>
          <w:szCs w:val="24"/>
        </w:rPr>
        <w:t xml:space="preserve">It should be noted that, because the jurisdiction L is validated and bound at consent creation (Section 6.1.1), the disjunct Jur(C) = ∅ is not reached for any consent created through the current interface, </w:t>
      </w:r>
      <w:r>
        <w:rPr>
          <w:rFonts w:ascii="Cambria" w:cs="Cambria" w:eastAsia="Cambria" w:hAnsi="Cambria"/>
          <w:color w:val="E6007E"/>
          <w:sz w:val="24"/>
          <w:szCs w:val="24"/>
        </w:rPr>
        <w:t xml:space="preserve">so that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 </w:t>
      </w:r>
      <w:r>
        <w:rPr>
          <w:rFonts w:ascii="Cambria" w:cs="Cambria" w:eastAsia="Cambria" w:hAnsi="Cambria"/>
          <w:color w:val="0000CC"/>
          <w:sz w:val="24"/>
          <w:szCs w:val="24"/>
        </w:rPr>
        <w:t xml:space="preserve">Figure 15 presents the RO5 workflow.</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E6007E"/>
          <w:sz w:val="24"/>
          <w:szCs w:val="24"/>
        </w:rPr>
        <w:t xml:space="preserve">In the HALAH prototype 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E6007E"/>
          <w:sz w:val="24"/>
          <w:szCs w:val="24"/>
        </w:rPr>
        <w:t xml:space="preserve">It should be noted that the symbol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in this section denotes the lifecycle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of Eq. (13), which the implementation evaluates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extended here with the temporal condition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(C, t), and that it must not be confused with the data-scope predicate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R) of Eq. (52); for this reason the lifecycle predicate is always written with three arguments, V</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E6007E"/>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The lifecycle validation mechanism can therefore be interpreted as a per-request validity layer.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E6007E"/>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E6007E"/>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E6007E"/>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E6007E"/>
          <w:sz w:val="24"/>
          <w:szCs w:val="24"/>
        </w:rPr>
        <w:t xml:space="preserve">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r>
        <w:rPr>
          <w:rFonts w:ascii="Cambria" w:cs="Cambria" w:eastAsia="Cambria" w:hAnsi="Cambria"/>
          <w:color w:val="0000CC"/>
          <w:sz w:val="24"/>
          <w:szCs w:val="24"/>
        </w:rPr>
        <w:t xml:space="preserv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E6007E"/>
          <w:sz w:val="24"/>
          <w:szCs w:val="24"/>
        </w:rPr>
        <w:t xml:space="preserve">The soundness property that has been validated is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E6007E"/>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E6007E"/>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E6007E"/>
          <w:sz w:val="24"/>
          <w:szCs w:val="24"/>
        </w:rPr>
        <w:t xml:space="preserve">The expected threshold property is Authorisation(C) = ACTIVATED ⇒ |A</w:t>
      </w:r>
      <w:r>
        <w:rPr>
          <w:rFonts w:ascii="Cambria" w:cs="Cambria" w:eastAsia="Cambria" w:hAnsi="Cambria"/>
          <w:color w:val="E6007E"/>
          <w:sz w:val="24"/>
          <w:szCs w:val="24"/>
          <w:vertAlign w:val="subscript"/>
        </w:rPr>
        <w:t xml:space="preserve">v</w:t>
      </w:r>
      <w:r>
        <w:rPr>
          <w:rFonts w:ascii="Cambria" w:cs="Cambria" w:eastAsia="Cambria" w:hAnsi="Cambria"/>
          <w:color w:val="E6007E"/>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E6007E"/>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E6007E"/>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E6007E"/>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E6007E"/>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E6007E"/>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E6007E"/>
          <w:sz w:val="24"/>
          <w:szCs w:val="24"/>
        </w:rPr>
        <w:t xml:space="preserve">Algorithms 1 and 3 to 5 are realised in the current prototype, Algorithm 2 is realised in its structural form (DID-format check, without cryptographic VC validation), and the empirical branch of Algorithm 6 has been executed against the prototype.</w:t>
      </w:r>
      <w:r>
        <w:rPr>
          <w:rFonts w:ascii="Cambria" w:cs="Cambria" w:eastAsia="Cambria" w:hAnsi="Cambria"/>
          <w:color w:val="000000"/>
          <w:sz w:val="24"/>
          <w:szCs w:val="24"/>
        </w:rPr>
        <w:t xml:space="preserve">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E6007E"/>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E6007E"/>
          <w:sz w:val="24"/>
          <w:szCs w:val="24"/>
        </w:rPr>
        <w:t xml:space="preserve">Under Equation (65) access is granted only when all five predicates hold, revocation is evaluated within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and every decision, whether granted or denied, is logged together with the full decision matrix.</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E6007E"/>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E6007E"/>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Finally, the consent is revoked by the patient.</w:t>
      </w:r>
      <w:r>
        <w:rPr>
          <w:rFonts w:ascii="Cambria" w:cs="Cambria" w:eastAsia="Cambria" w:hAnsi="Cambria"/>
          <w:color w:val="E6007E"/>
          <w:sz w:val="24"/>
          <w:szCs w:val="24"/>
        </w:rPr>
        <w:t xml:space="preserve">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E6007E"/>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E6007E"/>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E6007E"/>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E6007E"/>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E6007E"/>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E6007E"/>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E6007E"/>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r>
        <w:rPr>
          <w:rFonts w:ascii="Cambria" w:cs="Cambria" w:eastAsia="Cambria" w:hAnsi="Cambria"/>
          <w:color w:val="000000"/>
          <w:sz w:val="24"/>
          <w:szCs w:val="24"/>
        </w:rPr>
        <w:t xml:space="preserve">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E6007E"/>
          <w:sz w:val="24"/>
          <w:szCs w:val="24"/>
        </w:rPr>
        <w:t xml:space="preserve">The guardian approval establishes the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E6007E"/>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E6007E"/>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CC"/>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E6007E"/>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E6007E"/>
          <w:sz w:val="24"/>
          <w:szCs w:val="24"/>
        </w:rPr>
        <w:t xml:space="preserve">In this version, the verification also generates and verifies a Groth16 zero-knowledge proof. The public inputs of the proof are a Poseidon commitment and the current time. The private witnesses are a secret and the expiry time. The proof establishes that the commitment is satisfied and that the current time does not exceed the expiry.</w:t>
      </w:r>
      <w:r>
        <w:rPr>
          <w:rFonts w:ascii="Cambria" w:cs="Cambria" w:eastAsia="Cambria" w:hAnsi="Cambria"/>
          <w:color w:val="000000"/>
          <w:sz w:val="24"/>
          <w:szCs w:val="24"/>
        </w:rPr>
        <w:t xml:space="preserv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E6007E"/>
          <w:sz w:val="24"/>
          <w:szCs w:val="24"/>
        </w:rPr>
        <w:t xml:space="preserve">The two figures above demonstrate the transition from consent verification to data-access authorisation. The checks are recorded in the audit ledger as STATE_CHECK events, one for every evaluated access request. Consequently, validity is re-established at each request rather than assumed.</w:t>
      </w:r>
      <w:r>
        <w:rPr>
          <w:rFonts w:ascii="Cambria" w:cs="Cambria" w:eastAsia="Cambria" w:hAnsi="Cambria"/>
          <w:color w:val="000000"/>
          <w:sz w:val="24"/>
          <w:szCs w:val="24"/>
        </w:rPr>
        <w:t xml:space="preserve">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CC"/>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E6007E"/>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E6007E"/>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E6007E"/>
          <w:sz w:val="24"/>
          <w:szCs w:val="24"/>
        </w:rPr>
        <w:t xml:space="preserve">The demonstrated revocation completes the consent lifecycle anticipated by the temporal and lifecycle model of Section 6.5. The consent progresses through the controlled states PENDING_SIGNATURE, PENDING_TOKEN, ACTIVE and REVOKED of the six-state lifecycle defined there. The NOT_STARTED and EXPIRED states are not reached in the demonstration.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CC"/>
          <w:sz w:val="24"/>
          <w:szCs w:val="24"/>
        </w:rPr>
        <w:t xml:space="preserve">Figure 35 summarises the implemented lifecycle and its anchored transitions.</w:t>
      </w:r>
    </w:p>
    <w:p>
      <w:pPr>
        <w:spacing w:after="140" w:line="300"/>
        <w:jc w:val="both"/>
      </w:pPr>
      <w:r>
        <w:rPr>
          <w:rFonts w:ascii="Cambria" w:cs="Cambria" w:eastAsia="Cambria" w:hAnsi="Cambria"/>
          <w:color w:val="E6007E"/>
          <w:sz w:val="24"/>
          <w:szCs w:val="24"/>
        </w:rPr>
        <w:t xml:space="preserve">It should be noted that the expiry path is not shown in the live demonstration. In this path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fails once the current time exceeds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E6007E"/>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E6007E"/>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E6007E"/>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E6007E"/>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r>
        <w:rPr>
          <w:rFonts w:ascii="Cambria" w:cs="Cambria" w:eastAsia="Cambria" w:hAnsi="Cambria"/>
          <w:color w:val="000000"/>
          <w:sz w:val="24"/>
          <w:szCs w:val="24"/>
        </w:rPr>
        <w:t xml:space="preserve">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E6007E"/>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Token #1 is revoked and token #2 is not revoked.</w:t>
      </w:r>
      <w:r>
        <w:rPr>
          <w:rFonts w:ascii="Cambria" w:cs="Cambria" w:eastAsia="Cambria" w:hAnsi="Cambria"/>
          <w:color w:val="000000"/>
          <w:sz w:val="24"/>
          <w:szCs w:val="24"/>
        </w:rPr>
        <w:t xml:space="preserve">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CC"/>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E6007E"/>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CC"/>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E6007E"/>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E6007E"/>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CC"/>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CC"/>
          <w:sz w:val="24"/>
          <w:szCs w:val="24"/>
        </w:rPr>
        <w:t xml:space="preserve">It should be noted that, in the same way, the identity predicate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E6007E"/>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E6007E"/>
          <w:sz w:val="24"/>
          <w:szCs w:val="24"/>
        </w:rPr>
        <w:t xml:space="preserve">Policy information specifies the purpose and permitted data scope. Temporal information defines the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E6007E"/>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CC"/>
          <w:sz w:val="24"/>
          <w:szCs w:val="24"/>
        </w:rPr>
        <w:t xml:space="preserve"> [t</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 t</w:t>
      </w:r>
      <w:r>
        <w:rPr>
          <w:rFonts w:ascii="Cambria" w:cs="Cambria" w:eastAsia="Cambria" w:hAnsi="Cambria"/>
          <w:color w:val="0000CC"/>
          <w:sz w:val="24"/>
          <w:szCs w:val="24"/>
          <w:vertAlign w:val="subscript"/>
        </w:rPr>
        <w:t xml:space="preserve">e</w:t>
      </w:r>
      <w:r>
        <w:rPr>
          <w:rFonts w:ascii="Cambria" w:cs="Cambria" w:eastAsia="Cambria" w:hAnsi="Cambria"/>
          <w:color w:val="0000CC"/>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E6007E"/>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E6007E"/>
          <w:sz w:val="24"/>
          <w:szCs w:val="24"/>
        </w:rPr>
        <w:t xml:space="preserve">It should be noted that the identity verification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E6007E"/>
          <w:sz w:val="24"/>
          <w:szCs w:val="24"/>
        </w:rPr>
        <w:t xml:space="preserve">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E6007E"/>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E6007E"/>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E6007E"/>
          <w:sz w:val="24"/>
          <w:szCs w:val="24"/>
        </w:rPr>
        <w:t xml:space="preserve">is not a subset of the authorised scope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E6007E"/>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spacing w:after="140" w:line="300"/>
        <w:jc w:val="both"/>
      </w:pPr>
      <w:r>
        <w:rPr>
          <w:rFonts w:ascii="Cambria" w:cs="Cambria" w:eastAsia="Cambria" w:hAnsi="Cambria"/>
          <w:color w:val="0000CC"/>
          <w:sz w:val="24"/>
          <w:szCs w:val="24"/>
        </w:rPr>
        <w:t xml:space="preserve">where Policy(C, R) denotes the conjunction of the purpose check VU(C, R) and the scope check V</w:t>
      </w:r>
      <w:r>
        <w:rPr>
          <w:rFonts w:ascii="Cambria" w:cs="Cambria" w:eastAsia="Cambria" w:hAnsi="Cambria"/>
          <w:color w:val="0000CC"/>
          <w:sz w:val="24"/>
          <w:szCs w:val="24"/>
          <w:vertAlign w:val="subscript"/>
        </w:rPr>
        <w:t xml:space="preserve">S</w:t>
      </w:r>
      <w:r>
        <w:rPr>
          <w:rFonts w:ascii="Cambria" w:cs="Cambria" w:eastAsia="Cambria" w:hAnsi="Cambria"/>
          <w:color w:val="0000CC"/>
          <w:sz w:val="24"/>
          <w:szCs w:val="24"/>
        </w:rPr>
        <w:t xml:space="preserve">(C, R) defined in Eq. (53). The predicate is written here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E6007E"/>
          <w:sz w:val="24"/>
          <w:szCs w:val="24"/>
        </w:rPr>
        <w:t xml:space="preserve">For example, if S</w:t>
      </w:r>
      <w:r>
        <w:rPr>
          <w:rFonts w:ascii="Cambria" w:cs="Cambria" w:eastAsia="Cambria" w:hAnsi="Cambria"/>
          <w:color w:val="E6007E"/>
          <w:sz w:val="24"/>
          <w:szCs w:val="24"/>
          <w:vertAlign w:val="subscript"/>
        </w:rPr>
        <w:t xml:space="preserve">C</w:t>
      </w:r>
      <w:r>
        <w:rPr>
          <w:rFonts w:ascii="Cambria" w:cs="Cambria" w:eastAsia="Cambria" w:hAnsi="Cambria"/>
          <w:color w:val="E6007E"/>
          <w:sz w:val="24"/>
          <w:szCs w:val="24"/>
        </w:rPr>
        <w:t xml:space="preserve"> = {Observation, Medication} and the requester asks for S</w:t>
      </w:r>
      <w:r>
        <w:rPr>
          <w:rFonts w:ascii="Cambria" w:cs="Cambria" w:eastAsia="Cambria" w:hAnsi="Cambria"/>
          <w:color w:val="E6007E"/>
          <w:sz w:val="24"/>
          <w:szCs w:val="24"/>
          <w:vertAlign w:val="subscript"/>
        </w:rPr>
        <w:t xml:space="preserve">R</w:t>
      </w:r>
      <w:r>
        <w:rPr>
          <w:rFonts w:ascii="Cambria" w:cs="Cambria" w:eastAsia="Cambria" w:hAnsi="Cambria"/>
          <w:color w:val="E6007E"/>
          <w:sz w:val="24"/>
          <w:szCs w:val="24"/>
        </w:rPr>
        <w:t xml:space="preserve"> = {Observation, Medication, Procedure}, the request exceeds the authorised scope. In this case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evaluates to 0 and the request is denied with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CC"/>
          <w:sz w:val="24"/>
          <w:szCs w:val="24"/>
        </w:rPr>
        <w:t xml:space="preserve">The policy predicate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is implemented at the prototype level. Each access request declares a purpose and a requested data scope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and the request is rejected whenever S</w:t>
      </w:r>
      <w:r>
        <w:rPr>
          <w:rFonts w:ascii="Cambria" w:cs="Cambria" w:eastAsia="Cambria" w:hAnsi="Cambria"/>
          <w:color w:val="0000CC"/>
          <w:sz w:val="24"/>
          <w:szCs w:val="24"/>
          <w:vertAlign w:val="subscript"/>
        </w:rPr>
        <w:t xml:space="preserve">R</w:t>
      </w:r>
      <w:r>
        <w:rPr>
          <w:rFonts w:ascii="Cambria" w:cs="Cambria" w:eastAsia="Cambria" w:hAnsi="Cambria"/>
          <w:color w:val="0000CC"/>
          <w:sz w:val="24"/>
          <w:szCs w:val="24"/>
        </w:rPr>
        <w:t xml:space="preserve"> is not a subset of the authorised scope S</w:t>
      </w:r>
      <w:r>
        <w:rPr>
          <w:rFonts w:ascii="Cambria" w:cs="Cambria" w:eastAsia="Cambria" w:hAnsi="Cambria"/>
          <w:color w:val="0000CC"/>
          <w:sz w:val="24"/>
          <w:szCs w:val="24"/>
          <w:vertAlign w:val="subscript"/>
        </w:rPr>
        <w:t xml:space="preserve">C</w:t>
      </w:r>
      <w:r>
        <w:rPr>
          <w:rFonts w:ascii="Cambria" w:cs="Cambria" w:eastAsia="Cambria" w:hAnsi="Cambria"/>
          <w:color w:val="0000CC"/>
          <w:sz w:val="24"/>
          <w:szCs w:val="24"/>
        </w:rPr>
        <w:t xml:space="preserve">. The predicate is evaluated as one term of the complete decision matrix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and every denial names the failed checks explicitly in both the interface and the audit ledger. In addition, input validation on consent creation and on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E6007E"/>
          <w:sz w:val="24"/>
          <w:szCs w:val="24"/>
        </w:rPr>
        <w:t xml:space="preserve">RO5 has moved from planned work to implemented capability. The consent validity interval [t</w:t>
      </w:r>
      <w:r>
        <w:rPr>
          <w:rFonts w:ascii="Cambria" w:cs="Cambria" w:eastAsia="Cambria" w:hAnsi="Cambria"/>
          <w:color w:val="E6007E"/>
          <w:sz w:val="24"/>
          <w:szCs w:val="24"/>
          <w:vertAlign w:val="subscript"/>
        </w:rPr>
        <w:t xml:space="preserve">s</w:t>
      </w:r>
      <w:r>
        <w:rPr>
          <w:rFonts w:ascii="Cambria" w:cs="Cambria" w:eastAsia="Cambria" w:hAnsi="Cambria"/>
          <w:color w:val="E6007E"/>
          <w:sz w:val="24"/>
          <w:szCs w:val="24"/>
        </w:rPr>
        <w:t xml:space="preserve">, t</w:t>
      </w:r>
      <w:r>
        <w:rPr>
          <w:rFonts w:ascii="Cambria" w:cs="Cambria" w:eastAsia="Cambria" w:hAnsi="Cambria"/>
          <w:color w:val="E6007E"/>
          <w:sz w:val="24"/>
          <w:szCs w:val="24"/>
          <w:vertAlign w:val="subscript"/>
        </w:rPr>
        <w:t xml:space="preserve">e</w:t>
      </w:r>
      <w:r>
        <w:rPr>
          <w:rFonts w:ascii="Cambria" w:cs="Cambria" w:eastAsia="Cambria" w:hAnsi="Cambria"/>
          <w:color w:val="E6007E"/>
          <w:sz w:val="24"/>
          <w:szCs w:val="24"/>
        </w:rPr>
        <w:t xml:space="preserve">] is now enforced by the temporal predicate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E6007E"/>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E6007E"/>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CC"/>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E6007E"/>
          <w:sz w:val="24"/>
          <w:szCs w:val="24"/>
        </w:rPr>
        <w:t xml:space="preserve">verification, multi-party approval, and access-control evaluation. The decision rule enforced by the prototype at every access request is</w:t>
      </w:r>
    </w:p>
    <w:p>
      <w:pPr>
        <w:tabs>
          <w:tab w:val="right" w:pos="9360"/>
        </w:tabs>
        <w:spacing w:after="160" w:before="60"/>
        <w:jc w:val="center"/>
      </w:pPr>
      <w:r>
        <w:rPr>
          <w:rFonts w:ascii="Cambria Math" w:cs="Cambria Math" w:eastAsia="Cambria Math" w:hAnsi="Cambria Math"/>
          <w:i/>
          <w:iCs/>
          <w:color w:val="E6007E"/>
          <w:sz w:val="22"/>
          <w:szCs w:val="22"/>
        </w:rPr>
        <w:t xml:space="preserve">Decision(C, R, t) = ALLOW, V</w:t>
      </w:r>
      <w:r>
        <w:rPr>
          <w:rFonts w:ascii="Cambria Math" w:cs="Cambria Math" w:eastAsia="Cambria Math" w:hAnsi="Cambria Math"/>
          <w:i/>
          <w:iCs/>
          <w:color w:val="E6007E"/>
          <w:sz w:val="22"/>
          <w:szCs w:val="22"/>
          <w:vertAlign w:val="subscript"/>
        </w:rPr>
        <w:t xml:space="preserve">I</w:t>
      </w:r>
      <w:r>
        <w:rPr>
          <w:rFonts w:ascii="Cambria Math" w:cs="Cambria Math" w:eastAsia="Cambria Math" w:hAnsi="Cambria Math"/>
          <w:i/>
          <w:iCs/>
          <w:color w:val="E6007E"/>
          <w:sz w:val="22"/>
          <w:szCs w:val="22"/>
        </w:rPr>
        <w:t xml:space="preserve">(u) ∧ V</w:t>
      </w:r>
      <w:r>
        <w:rPr>
          <w:rFonts w:ascii="Cambria Math" w:cs="Cambria Math" w:eastAsia="Cambria Math" w:hAnsi="Cambria Math"/>
          <w:i/>
          <w:iCs/>
          <w:color w:val="E6007E"/>
          <w:sz w:val="22"/>
          <w:szCs w:val="22"/>
          <w:vertAlign w:val="subscript"/>
        </w:rPr>
        <w:t xml:space="preserve">A</w:t>
      </w:r>
      <w:r>
        <w:rPr>
          <w:rFonts w:ascii="Cambria Math" w:cs="Cambria Math" w:eastAsia="Cambria Math" w:hAnsi="Cambria Math"/>
          <w:i/>
          <w:iCs/>
          <w:color w:val="E6007E"/>
          <w:sz w:val="22"/>
          <w:szCs w:val="22"/>
        </w:rPr>
        <w:t xml:space="preserve">(C) ∧ V</w:t>
      </w:r>
      <w:r>
        <w:rPr>
          <w:rFonts w:ascii="Cambria Math" w:cs="Cambria Math" w:eastAsia="Cambria Math" w:hAnsi="Cambria Math"/>
          <w:i/>
          <w:iCs/>
          <w:color w:val="E6007E"/>
          <w:sz w:val="22"/>
          <w:szCs w:val="22"/>
          <w:vertAlign w:val="subscript"/>
        </w:rPr>
        <w:t xml:space="preserve">P</w:t>
      </w:r>
      <w:r>
        <w:rPr>
          <w:rFonts w:ascii="Cambria Math" w:cs="Cambria Math" w:eastAsia="Cambria Math" w:hAnsi="Cambria Math"/>
          <w:i/>
          <w:iCs/>
          <w:color w:val="E6007E"/>
          <w:sz w:val="22"/>
          <w:szCs w:val="22"/>
        </w:rPr>
        <w:t xml:space="preserve">(C, R) ∧ V</w:t>
      </w:r>
      <w:r>
        <w:rPr>
          <w:rFonts w:ascii="Cambria Math" w:cs="Cambria Math" w:eastAsia="Cambria Math" w:hAnsi="Cambria Math"/>
          <w:i/>
          <w:iCs/>
          <w:color w:val="E6007E"/>
          <w:sz w:val="22"/>
          <w:szCs w:val="22"/>
          <w:vertAlign w:val="subscript"/>
        </w:rPr>
        <w:t xml:space="preserve">T</w:t>
      </w:r>
      <w:r>
        <w:rPr>
          <w:rFonts w:ascii="Cambria Math" w:cs="Cambria Math" w:eastAsia="Cambria Math" w:hAnsi="Cambria Math"/>
          <w:i/>
          <w:iCs/>
          <w:color w:val="E6007E"/>
          <w:sz w:val="22"/>
          <w:szCs w:val="22"/>
        </w:rPr>
        <w:t xml:space="preserve">(C, t) ∧ V</w:t>
      </w:r>
      <w:r>
        <w:rPr>
          <w:rFonts w:ascii="Cambria Math" w:cs="Cambria Math" w:eastAsia="Cambria Math" w:hAnsi="Cambria Math"/>
          <w:i/>
          <w:iCs/>
          <w:color w:val="E6007E"/>
          <w:sz w:val="22"/>
          <w:szCs w:val="22"/>
          <w:vertAlign w:val="subscript"/>
        </w:rPr>
        <w:t xml:space="preserve">L</w:t>
      </w:r>
      <w:r>
        <w:rPr>
          <w:rFonts w:ascii="Cambria Math" w:cs="Cambria Math" w:eastAsia="Cambria Math" w:hAnsi="Cambria Math"/>
          <w:i/>
          <w:iCs/>
          <w:color w:val="E6007E"/>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E6007E"/>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CC"/>
          <w:sz w:val="24"/>
          <w:szCs w:val="24"/>
        </w:rPr>
        <w:t xml:space="preserve">Empirical validation now covers all five trust predicates of the decision matrix, V</w:t>
      </w:r>
      <w:r>
        <w:rPr>
          <w:rFonts w:ascii="Cambria" w:cs="Cambria" w:eastAsia="Cambria" w:hAnsi="Cambria"/>
          <w:color w:val="0000CC"/>
          <w:sz w:val="24"/>
          <w:szCs w:val="24"/>
          <w:vertAlign w:val="subscript"/>
        </w:rPr>
        <w:t xml:space="preserve">I</w:t>
      </w:r>
      <w:r>
        <w:rPr>
          <w:rFonts w:ascii="Cambria" w:cs="Cambria" w:eastAsia="Cambria" w:hAnsi="Cambria"/>
          <w:color w:val="0000CC"/>
          <w:sz w:val="24"/>
          <w:szCs w:val="24"/>
        </w:rPr>
        <w:t xml:space="preserve">,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V</w:t>
      </w:r>
      <w:r>
        <w:rPr>
          <w:rFonts w:ascii="Cambria" w:cs="Cambria" w:eastAsia="Cambria" w:hAnsi="Cambria"/>
          <w:color w:val="0000CC"/>
          <w:sz w:val="24"/>
          <w:szCs w:val="24"/>
          <w:vertAlign w:val="subscript"/>
        </w:rPr>
        <w:t xml:space="preserve">P</w:t>
      </w:r>
      <w:r>
        <w:rPr>
          <w:rFonts w:ascii="Cambria" w:cs="Cambria" w:eastAsia="Cambria" w:hAnsi="Cambria"/>
          <w:color w:val="0000CC"/>
          <w:sz w:val="24"/>
          <w:szCs w:val="24"/>
        </w:rPr>
        <w:t xml:space="preserve">, V</w:t>
      </w:r>
      <w:r>
        <w:rPr>
          <w:rFonts w:ascii="Cambria" w:cs="Cambria" w:eastAsia="Cambria" w:hAnsi="Cambria"/>
          <w:color w:val="0000CC"/>
          <w:sz w:val="24"/>
          <w:szCs w:val="24"/>
          <w:vertAlign w:val="subscript"/>
        </w:rPr>
        <w:t xml:space="preserve">T</w:t>
      </w:r>
      <w:r>
        <w:rPr>
          <w:rFonts w:ascii="Cambria" w:cs="Cambria" w:eastAsia="Cambria" w:hAnsi="Cambria"/>
          <w:color w:val="0000CC"/>
          <w:sz w:val="24"/>
          <w:szCs w:val="24"/>
        </w:rPr>
        <w:t xml:space="preserve"> and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together with on-chain revocation. A suite of 23 automated tests exercises per-dimension failures of the decision matrix, the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CC"/>
          <w:sz w:val="24"/>
          <w:szCs w:val="24"/>
          <w:vertAlign w:val="subscript"/>
        </w:rPr>
        <w:t xml:space="preserve">L</w:t>
      </w:r>
      <w:r>
        <w:rPr>
          <w:rFonts w:ascii="Cambria" w:cs="Cambria" w:eastAsia="Cambria" w:hAnsi="Cambria"/>
          <w:color w:val="0000CC"/>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CC"/>
          <w:sz w:val="24"/>
          <w:szCs w:val="24"/>
          <w:vertAlign w:val="subscript"/>
        </w:rPr>
        <w:t xml:space="preserve">A</w:t>
      </w:r>
      <w:r>
        <w:rPr>
          <w:rFonts w:ascii="Cambria" w:cs="Cambria" w:eastAsia="Cambria" w:hAnsi="Cambria"/>
          <w:color w:val="0000CC"/>
          <w:sz w:val="24"/>
          <w:szCs w:val="24"/>
        </w:rPr>
        <w:t xml:space="preserve">. In addition, an independent verification tool re-checks every ledger transaction hash against Sepolia receipts and reads each token back from the contract, reporting ALL CHECKS PASSED. Every granted access is accompanied by a real Groth16 proof generated and verified at request time. The implemented decision rule is therefore exactly Eq. (75). Formal security analysis and a systematic performance study remain for the next stage. 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E6007E"/>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temporal expiration and invalid lifecycle transitions were demonstrated in the automated test suite.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CC"/>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CC"/>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E6007E"/>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E6007E"/>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E6007E"/>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E6007E"/>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E6007E"/>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E6007E"/>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E6007E"/>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E6007E"/>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CC"/>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E6007E"/>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E6007E"/>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E6007E"/>
          <w:sz w:val="24"/>
          <w:szCs w:val="24"/>
        </w:rPr>
        <w:t xml:space="preserve">The formal component will state two properties. The first is the soundness property Decision(C, R, t) = ALLOW ⇒ V</w:t>
      </w:r>
      <w:r>
        <w:rPr>
          <w:rFonts w:ascii="Cambria" w:cs="Cambria" w:eastAsia="Cambria" w:hAnsi="Cambria"/>
          <w:color w:val="E6007E"/>
          <w:sz w:val="24"/>
          <w:szCs w:val="24"/>
          <w:vertAlign w:val="subscript"/>
        </w:rPr>
        <w:t xml:space="preserve">I</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A</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P</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T</w:t>
      </w:r>
      <w:r>
        <w:rPr>
          <w:rFonts w:ascii="Cambria" w:cs="Cambria" w:eastAsia="Cambria" w:hAnsi="Cambria"/>
          <w:color w:val="E6007E"/>
          <w:sz w:val="24"/>
          <w:szCs w:val="24"/>
        </w:rPr>
        <w:t xml:space="preserve"> ∧ V</w:t>
      </w:r>
      <w:r>
        <w:rPr>
          <w:rFonts w:ascii="Cambria" w:cs="Cambria" w:eastAsia="Cambria" w:hAnsi="Cambria"/>
          <w:color w:val="E6007E"/>
          <w:sz w:val="24"/>
          <w:szCs w:val="24"/>
          <w:vertAlign w:val="subscript"/>
        </w:rPr>
        <w:t xml:space="preserve">L</w:t>
      </w:r>
      <w:r>
        <w:rPr>
          <w:rFonts w:ascii="Cambria" w:cs="Cambria" w:eastAsia="Cambria" w:hAnsi="Cambria"/>
          <w:color w:val="E6007E"/>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CC"/>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E6007E"/>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E6007E"/>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E6007E"/>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E6007E"/>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E6007E"/>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E6007E"/>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E6007E"/>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E6007E"/>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E6007E"/>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E6007E"/>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E6007E"/>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E6007E"/>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E6007E"/>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CC"/>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CC"/>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CC"/>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CC"/>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CC"/>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CC"/>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CC"/>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CC"/>
          <w:sz w:val="24"/>
          <w:szCs w:val="24"/>
        </w:rPr>
        <w:t xml:space="preserve">[42] </w:t>
      </w:r>
      <w:r>
        <w:rPr>
          <w:rFonts w:ascii="Cambria" w:cs="Cambria" w:eastAsia="Cambria" w:hAnsi="Cambria"/>
          <w:color w:val="E6007E"/>
          <w:sz w:val="24"/>
          <w:szCs w:val="24"/>
        </w:rPr>
        <w:t xml:space="preserve">J. A. Dhanraj, P. Dhongle, R. Tamilamuthan, M. Lakshmanan, N. Ashtankar, and S. R. Hole.</w:t>
      </w:r>
      <w:r>
        <w:rPr>
          <w:rFonts w:ascii="Cambria" w:cs="Cambria" w:eastAsia="Cambria" w:hAnsi="Cambria"/>
          <w:color w:val="0000CC"/>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E6007E"/>
          <w:sz w:val="24"/>
          <w:szCs w:val="24"/>
        </w:rPr>
        <w:t xml:space="preserve">Advancements and Applications of Computational Intelligence Techniques (ETAACT), 2026.</w:t>
      </w:r>
      <w:r>
        <w:rPr>
          <w:rFonts w:ascii="Cambria" w:cs="Cambria" w:eastAsia="Cambria" w:hAnsi="Cambria"/>
          <w:color w:val="0000CC"/>
          <w:sz w:val="24"/>
          <w:szCs w:val="24"/>
        </w:rPr>
        <w:t xml:space="preserve"> doi:10.1109/ETAACT69135.2026.11541890</w:t>
      </w:r>
    </w:p>
    <w:p>
      <w:pPr>
        <w:spacing w:after="140" w:line="300"/>
        <w:jc w:val="both"/>
      </w:pPr>
      <w:r>
        <w:rPr>
          <w:rFonts w:ascii="Cambria" w:cs="Cambria" w:eastAsia="Cambria" w:hAnsi="Cambria"/>
          <w:color w:val="0000CC"/>
          <w:sz w:val="24"/>
          <w:szCs w:val="24"/>
        </w:rPr>
        <w:t xml:space="preserve">[43] </w:t>
      </w:r>
      <w:r>
        <w:rPr>
          <w:rFonts w:ascii="Cambria" w:cs="Cambria" w:eastAsia="Cambria" w:hAnsi="Cambria"/>
          <w:color w:val="E6007E"/>
          <w:sz w:val="24"/>
          <w:szCs w:val="24"/>
        </w:rPr>
        <w:t xml:space="preserve">K. Ekholm, A. Augustinsson, J. Sundström, C. Johansen, M. Storgärds, L. Ljöstad, et al.</w:t>
      </w:r>
      <w:r>
        <w:rPr>
          <w:rFonts w:ascii="Cambria" w:cs="Cambria" w:eastAsia="Cambria" w:hAnsi="Cambria"/>
          <w:color w:val="0000CC"/>
          <w:sz w:val="24"/>
          <w:szCs w:val="24"/>
        </w:rPr>
        <w:t xml:space="preserve"> Implementing electronic informed consent in rare disease genomics. </w:t>
      </w:r>
      <w:r>
        <w:rPr>
          <w:rFonts w:ascii="Cambria" w:cs="Cambria" w:eastAsia="Cambria" w:hAnsi="Cambria"/>
          <w:color w:val="E6007E"/>
          <w:sz w:val="24"/>
          <w:szCs w:val="24"/>
        </w:rPr>
        <w:t xml:space="preserve">Scientific Reports, 2025.</w:t>
      </w:r>
      <w:r>
        <w:rPr>
          <w:rFonts w:ascii="Cambria" w:cs="Cambria" w:eastAsia="Cambria" w:hAnsi="Cambria"/>
          <w:color w:val="0000CC"/>
          <w:sz w:val="24"/>
          <w:szCs w:val="24"/>
        </w:rPr>
        <w:t xml:space="preserve"> doi:10.1038/s41598-025-32740-1</w:t>
      </w:r>
    </w:p>
    <w:p>
      <w:pPr>
        <w:spacing w:after="140" w:line="300"/>
        <w:jc w:val="both"/>
      </w:pPr>
      <w:r>
        <w:rPr>
          <w:rFonts w:ascii="Cambria" w:cs="Cambria" w:eastAsia="Cambria" w:hAnsi="Cambria"/>
          <w:color w:val="0000CC"/>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CC"/>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CC"/>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E6007E"/>
          <w:sz w:val="24"/>
          <w:szCs w:val="24"/>
        </w:rPr>
        <w:t xml:space="preserve">Distributed Ledger Technologies: Research and Practice, 2026.</w:t>
      </w:r>
      <w:r>
        <w:rPr>
          <w:rFonts w:ascii="Cambria" w:cs="Cambria" w:eastAsia="Cambria" w:hAnsi="Cambria"/>
          <w:color w:val="0000CC"/>
          <w:sz w:val="24"/>
          <w:szCs w:val="24"/>
        </w:rPr>
        <w:t xml:space="preserve"> doi:10.1145/3827623</w:t>
      </w:r>
    </w:p>
    <w:p>
      <w:pPr>
        <w:spacing w:after="140" w:line="300"/>
        <w:jc w:val="both"/>
      </w:pPr>
      <w:r>
        <w:rPr>
          <w:rFonts w:ascii="Cambria" w:cs="Cambria" w:eastAsia="Cambria" w:hAnsi="Cambria"/>
          <w:color w:val="0000CC"/>
          <w:sz w:val="24"/>
          <w:szCs w:val="24"/>
        </w:rPr>
        <w:t xml:space="preserve">[47] </w:t>
      </w:r>
      <w:r>
        <w:rPr>
          <w:rFonts w:ascii="Cambria" w:cs="Cambria" w:eastAsia="Cambria" w:hAnsi="Cambria"/>
          <w:color w:val="E6007E"/>
          <w:sz w:val="24"/>
          <w:szCs w:val="24"/>
        </w:rPr>
        <w:t xml:space="preserve">J. Hagström, M. Hägglund, M. Holmroos, P. Lähteenmäki, and I. Hörhammer.</w:t>
      </w:r>
      <w:r>
        <w:rPr>
          <w:rFonts w:ascii="Cambria" w:cs="Cambria" w:eastAsia="Cambria" w:hAnsi="Cambria"/>
          <w:color w:val="0000CC"/>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E6007E"/>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CC"/>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CC"/>
          <w:sz w:val="24"/>
          <w:szCs w:val="24"/>
        </w:rPr>
        <w:t xml:space="preserve">[50] </w:t>
      </w:r>
      <w:r>
        <w:rPr>
          <w:rFonts w:ascii="Cambria" w:cs="Cambria" w:eastAsia="Cambria" w:hAnsi="Cambria"/>
          <w:color w:val="E6007E"/>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CC"/>
          <w:sz w:val="24"/>
          <w:szCs w:val="24"/>
        </w:rPr>
        <w:t xml:space="preserve"> doi:10.1016/j.cose.2023.103686</w:t>
      </w:r>
    </w:p>
    <w:p>
      <w:pPr>
        <w:spacing w:after="140" w:line="300"/>
        <w:jc w:val="both"/>
      </w:pPr>
      <w:r>
        <w:rPr>
          <w:rFonts w:ascii="Cambria" w:cs="Cambria" w:eastAsia="Cambria" w:hAnsi="Cambria"/>
          <w:color w:val="0000CC"/>
          <w:sz w:val="24"/>
          <w:szCs w:val="24"/>
        </w:rPr>
        <w:t xml:space="preserve">[51] H. Li, D. Li, G. Lv, N. Crespi, R. Minerva, W. Shao,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CC"/>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CC"/>
          <w:sz w:val="24"/>
          <w:szCs w:val="24"/>
        </w:rPr>
        <w:t xml:space="preserve">[53] M. M. Madine, K. Salah, R. Jayaraman, I. Yaqoob, Y. Al-Hammadi, S. Ellahham,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CC"/>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CC"/>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CC"/>
          <w:sz w:val="24"/>
          <w:szCs w:val="24"/>
        </w:rPr>
        <w:t xml:space="preserve">[56] </w:t>
      </w:r>
      <w:r>
        <w:rPr>
          <w:rFonts w:ascii="Cambria" w:cs="Cambria" w:eastAsia="Cambria" w:hAnsi="Cambria"/>
          <w:color w:val="E6007E"/>
          <w:sz w:val="24"/>
          <w:szCs w:val="24"/>
        </w:rPr>
        <w:t xml:space="preserve">M. Zhang, F. Shao, R. Zheng, M. Liu, and Z. Ji.</w:t>
      </w:r>
      <w:r>
        <w:rPr>
          <w:rFonts w:ascii="Cambria" w:cs="Cambria" w:eastAsia="Cambria" w:hAnsi="Cambria"/>
          <w:color w:val="0000CC"/>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CC"/>
          <w:sz w:val="24"/>
          <w:szCs w:val="24"/>
        </w:rPr>
        <w:t xml:space="preserve">[57] D.P. Panagoulias, A.I. Damian, C. Stamate, V. Toderian, P. Butusina, A. De Franceschi,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CC"/>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CC"/>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CC"/>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CC"/>
          <w:sz w:val="24"/>
          <w:szCs w:val="24"/>
        </w:rPr>
        <w:t xml:space="preserve">[61] A. Punia, P. Gulia, N.S. Gill, D. Kaushik, N. Alduaiji, P.K. Shukla,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CC"/>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CC"/>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E6007E"/>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CC"/>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CC"/>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CC"/>
          <w:sz w:val="24"/>
          <w:szCs w:val="24"/>
        </w:rPr>
        <w:t xml:space="preserve">[67] </w:t>
      </w:r>
      <w:r>
        <w:rPr>
          <w:rFonts w:ascii="Cambria" w:cs="Cambria" w:eastAsia="Cambria" w:hAnsi="Cambria"/>
          <w:color w:val="E6007E"/>
          <w:sz w:val="24"/>
          <w:szCs w:val="24"/>
        </w:rPr>
        <w:t xml:space="preserve">S. L. Soohoo, M. S. Keller, Y. Chen, D. Hu, S.-C. Huang, T.-T. Kuo, et al.</w:t>
      </w:r>
      <w:r>
        <w:rPr>
          <w:rFonts w:ascii="Cambria" w:cs="Cambria" w:eastAsia="Cambria" w:hAnsi="Cambria"/>
          <w:color w:val="0000CC"/>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E6007E"/>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CC"/>
          <w:sz w:val="24"/>
          <w:szCs w:val="24"/>
        </w:rPr>
        <w:t xml:space="preserve">[69] </w:t>
      </w:r>
      <w:r>
        <w:rPr>
          <w:rFonts w:ascii="Cambria" w:cs="Cambria" w:eastAsia="Cambria" w:hAnsi="Cambria"/>
          <w:color w:val="E6007E"/>
          <w:sz w:val="24"/>
          <w:szCs w:val="24"/>
        </w:rPr>
        <w:t xml:space="preserve">K.-L. Tan, C.-H. Chi, and K.-Y. Lam.</w:t>
      </w:r>
      <w:r>
        <w:rPr>
          <w:rFonts w:ascii="Cambria" w:cs="Cambria" w:eastAsia="Cambria" w:hAnsi="Cambria"/>
          <w:color w:val="0000CC"/>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CC"/>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CC"/>
          <w:sz w:val="24"/>
          <w:szCs w:val="24"/>
        </w:rPr>
        <w:t xml:space="preserve">[71] </w:t>
      </w:r>
      <w:r>
        <w:rPr>
          <w:rFonts w:ascii="Cambria" w:cs="Cambria" w:eastAsia="Cambria" w:hAnsi="Cambria"/>
          <w:color w:val="E6007E"/>
          <w:sz w:val="24"/>
          <w:szCs w:val="24"/>
        </w:rPr>
        <w:t xml:space="preserve">D. Tith, J.-S. Lee, H. Suzuki, W. M. A. B. Wijesundara, N. Taira, T. Obi, et al.</w:t>
      </w:r>
      <w:r>
        <w:rPr>
          <w:rFonts w:ascii="Cambria" w:cs="Cambria" w:eastAsia="Cambria" w:hAnsi="Cambria"/>
          <w:color w:val="0000CC"/>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CC"/>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CC"/>
          <w:sz w:val="24"/>
          <w:szCs w:val="24"/>
        </w:rPr>
        <w:t xml:space="preserve">[73] </w:t>
      </w:r>
      <w:r>
        <w:rPr>
          <w:rFonts w:ascii="Cambria" w:cs="Cambria" w:eastAsia="Cambria" w:hAnsi="Cambria"/>
          <w:color w:val="E6007E"/>
          <w:sz w:val="24"/>
          <w:szCs w:val="24"/>
        </w:rPr>
        <w:t xml:space="preserve">C.-H. Tseng, Y.-H. Hsieh, H.-Y. Lin, and S.-M. Yuan.</w:t>
      </w:r>
      <w:r>
        <w:rPr>
          <w:rFonts w:ascii="Cambria" w:cs="Cambria" w:eastAsia="Cambria" w:hAnsi="Cambria"/>
          <w:color w:val="0000CC"/>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CC"/>
          <w:sz w:val="24"/>
          <w:szCs w:val="24"/>
        </w:rPr>
        <w:t xml:space="preserve">[74] </w:t>
      </w:r>
      <w:r>
        <w:rPr>
          <w:rFonts w:ascii="Cambria" w:cs="Cambria" w:eastAsia="Cambria" w:hAnsi="Cambria"/>
          <w:color w:val="E6007E"/>
          <w:sz w:val="24"/>
          <w:szCs w:val="24"/>
        </w:rPr>
        <w:t xml:space="preserve">J. Wagner, H. Schneiderheinze, M. Wurlitzer, O. Köckritz, N. Dittberner, M. Bialke, et al.</w:t>
      </w:r>
      <w:r>
        <w:rPr>
          <w:rFonts w:ascii="Cambria" w:cs="Cambria" w:eastAsia="Cambria" w:hAnsi="Cambria"/>
          <w:color w:val="0000CC"/>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CC"/>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E6007E"/>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CC"/>
          <w:sz w:val="24"/>
          <w:szCs w:val="24"/>
        </w:rPr>
        <w:t xml:space="preserve"> doi:10.1007/978-3-031-16035-6_1</w:t>
      </w:r>
    </w:p>
    <w:p>
      <w:pPr>
        <w:spacing w:after="140" w:line="300"/>
        <w:jc w:val="both"/>
      </w:pPr>
      <w:r>
        <w:rPr>
          <w:rFonts w:ascii="Cambria" w:cs="Cambria" w:eastAsia="Cambria" w:hAnsi="Cambria"/>
          <w:color w:val="0000CC"/>
          <w:sz w:val="24"/>
          <w:szCs w:val="24"/>
        </w:rPr>
        <w:t xml:space="preserve">[76] </w:t>
      </w:r>
      <w:r>
        <w:rPr>
          <w:rFonts w:ascii="Cambria" w:cs="Cambria" w:eastAsia="Cambria" w:hAnsi="Cambria"/>
          <w:color w:val="E6007E"/>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CC"/>
          <w:sz w:val="24"/>
          <w:szCs w:val="24"/>
        </w:rPr>
        <w:t xml:space="preserve"> doi:10.1016/j.csi.2024.103967</w:t>
      </w:r>
    </w:p>
    <w:p>
      <w:pPr>
        <w:spacing w:after="140" w:line="300"/>
        <w:jc w:val="both"/>
      </w:pPr>
      <w:r>
        <w:rPr>
          <w:rFonts w:ascii="Cambria" w:cs="Cambria" w:eastAsia="Cambria" w:hAnsi="Cambria"/>
          <w:color w:val="0000CC"/>
          <w:sz w:val="24"/>
          <w:szCs w:val="24"/>
        </w:rPr>
        <w:t xml:space="preserve">[77] G. Xu, C. Qi, W. Dong, L. Gong, S. Liu, S. Chen, </w:t>
      </w:r>
      <w:r>
        <w:rPr>
          <w:rFonts w:ascii="Cambria" w:cs="Cambria" w:eastAsia="Cambria" w:hAnsi="Cambria"/>
          <w:color w:val="E6007E"/>
          <w:sz w:val="24"/>
          <w:szCs w:val="24"/>
        </w:rPr>
        <w:t xml:space="preserve">et al.</w:t>
      </w:r>
      <w:r>
        <w:rPr>
          <w:rFonts w:ascii="Cambria" w:cs="Cambria" w:eastAsia="Cambria" w:hAnsi="Cambria"/>
          <w:color w:val="0000CC"/>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CC"/>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CC"/>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CC"/>
          <w:sz w:val="24"/>
          <w:szCs w:val="24"/>
        </w:rPr>
        <w:t xml:space="preserve">[80] </w:t>
      </w:r>
      <w:r>
        <w:rPr>
          <w:rFonts w:ascii="Cambria" w:cs="Cambria" w:eastAsia="Cambria" w:hAnsi="Cambria"/>
          <w:color w:val="E6007E"/>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CC"/>
          <w:sz w:val="24"/>
          <w:szCs w:val="24"/>
        </w:rPr>
        <w:t xml:space="preserve"> 2026. doi:10.2196/93348</w:t>
      </w:r>
    </w:p>
    <w:p>
      <w:pPr>
        <w:spacing w:after="140" w:line="300"/>
        <w:jc w:val="both"/>
      </w:pPr>
      <w:r>
        <w:rPr>
          <w:rFonts w:ascii="Cambria" w:cs="Cambria" w:eastAsia="Cambria" w:hAnsi="Cambria"/>
          <w:color w:val="0000CC"/>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2026-09-29T10:18:50.828Z</dcterms:created>
  <dcterms:modified xsi:type="dcterms:W3CDTF">2026-09-29T10:18:50.829Z</dcterms:modified>
</cp:coreProperties>
</file>

<file path=docProps/custom.xml><?xml version="1.0" encoding="utf-8"?>
<Properties xmlns="http://schemas.openxmlformats.org/officeDocument/2006/custom-properties" xmlns:vt="http://schemas.openxmlformats.org/officeDocument/2006/docPropsVTypes"/>
</file>