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record consent as an immutable permission event, but they do not establish who the participants are, whether they hold the authority to approve, whether the required collective approval has been obtained, whether the requested purpose and data scope match the consent, or whether the consent is still valid at the time of the request.</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33 studies, structured by six requirements, shows that no reviewed study satisfies these requirements together.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41</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44</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58</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64</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73</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78</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82</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84</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90</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97</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98</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109</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122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152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185</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186</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E6007E"/>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E6007E"/>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E6007E"/>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E6007E"/>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It should be noted that the proposed framework has also been extended beyond its four foundational dimensions to incorporate temporal validity and lifecycle trust (RO5).</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E6007E"/>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CC"/>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CC"/>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CC"/>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CC"/>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CC"/>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which correspond one to one with the sub-research questions and objectives of this study:</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CC"/>
          <w:sz w:val="24"/>
          <w:szCs w:val="24"/>
        </w:rPr>
        <w:t xml:space="preserve">The searches were executed on 24 and 25 August 2026 for IEEE Xplore, Scopus, Web of Science, ProQuest, ScienceDirect, SpringerLink and Google Scholar, and on 5 September 2026 for the ACM Digital Library, which was added as a late arm and is disclosed as such in the threats to validity.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CC"/>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in each case the paper is not healthcare-scoped in its title, abstract and keywords, or it is an identity-generic study in which healthcare is only an application domain, so that the healthcare block of the query correctly excludes it.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0000CC"/>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423 within-source duplicates (from the SpringerLink and ScienceDirect sub-queries)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CC"/>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CC"/>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CC"/>
          <w:sz w:val="24"/>
          <w:szCs w:val="24"/>
        </w:rPr>
        <w:t xml:space="preserve">Each study assessed at the full-text stage was additionally evaluated against eight quality assessment items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namely Tier A for strong direct evidence, Tier B for direct evidence with limitations, Tier C for a supporting mechanism and Background for the secondary studies.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but not for studies excluded on document type, duplication or unavailability, which precede quality assessment in the protocol.</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CC"/>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4440"/>
        <w:gridCol w:w="16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4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Hancheng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Each study is assigned to the stream of its strongest coded requirement." title="Figure 3: Profile of the 44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Each subsection reviews the primary studies that were assigned to that stream, states their issues and limitations with respect to the requirement in question, and ends with a table that summarises the studies and records their commitment to all six requirements, where √ denotes that the requirement is satisfied, ~ denotes that it is partially satisfied and × denotes that it is not satisfied, as coded from the full texts using the codebook described in Section 2.3. It should be noted that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44 primary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0000CC"/>
          <w:sz w:val="24"/>
          <w:szCs w:val="24"/>
        </w:rPr>
        <w:t xml:space="preserve">This section reviews the twelve studies whose main contribution is the representation and governance of patient consent, in most cases on a blockchain.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were graded Partial on Req 1 and that none was graded Yes. In this context, three situations recur: consent that is represented but absent from the decision, consent that is present in the decision but reduced to a boolean flag, and consent that is held in a registry whose status is displayed or queried but never enforced.</w:t>
      </w:r>
    </w:p>
    <w:p>
      <w:pPr>
        <w:spacing w:after="140" w:line="300"/>
        <w:jc w:val="both"/>
      </w:pPr>
      <w:r>
        <w:rPr>
          <w:rFonts w:ascii="Cambria" w:cs="Cambria" w:eastAsia="Cambria" w:hAnsi="Cambria"/>
          <w:color w:val="0000CC"/>
          <w:sz w:val="24"/>
          <w:szCs w:val="24"/>
        </w:rPr>
        <w:t xml:space="preserve">The first group represents consent as a permission flag on a ledger. Akter and Sanam [36] implement a Hyperledger Fabric framework in which a stored consent record with an Active status is checked as the first conjunct of the access decision, followed by a role check, with a named deny path (ConsentNotGranted). The consent object is, however, a per-record boolean: it names no grantee, no purpose, no temporal bounds and no lifecycle operation, since no grant, revoke, withdraw or expiry operation is defined anywhere in the paper. The evaluation times the decision path (below 350 ms) but reports no denial, although three deny-log types are designed. Prashanth et al. [60] deploy a Solidity contract in which the decision is the conjunction of an owner whitelist and a per-(user, record) patient grant, with grantAccess and revokeAccess operations and events; the post-revocation denial is never demonstrated, no roles, purposes or temporal terms are evaluated, and the results consist of two gas figures and interface screenshots. Dhanraj et al. [42] combine federated learning with a Ganache testnet in which consent exists only as a Consent Logging contract call with a measured gas cost, and EHR Access Authorization exists only as a function name; no consent object, no authorisation predicate, no deny path and no identity mechanism are described, and the four contract operations are timed but never exercised as decisions. Sawant and Gomes [65] present FabricMedChain, a Fabric consortium with chaincode-enforced role-based access control and Caliper benchmarking; consent is mentioned repeatedly in the prose, yet the formal decision in Eq. (5) and the enforcement algorithm evaluate role-permission membership only, so consent is unrepresented in the decision despite the claims. The section titled formal security analysis contains a threat model and a simulated adversarial campaign but no formal method, and the broadest measurement campaign in the corpus never verifies the authorisation function it formalises.</w:t>
      </w:r>
    </w:p>
    <w:p>
      <w:pPr>
        <w:spacing w:after="140" w:line="300"/>
        <w:jc w:val="both"/>
      </w:pPr>
      <w:r>
        <w:rPr>
          <w:rFonts w:ascii="Cambria" w:cs="Cambria" w:eastAsia="Cambria" w:hAnsi="Cambria"/>
          <w:color w:val="0000CC"/>
          <w:sz w:val="24"/>
          <w:szCs w:val="24"/>
        </w:rPr>
        <w:t xml:space="preserve">The second group binds consent to cryptographic operations. Zhang et al. [78] combine a consortium Ethereum network with ciphertext-policy attribute-based encryption for cross-enterprise document sharing; the access policy is embedded once, at encryption time, by the hospital server from two fixed templates, and it is evaluated cryptographically at each decryption. The patient does not author the policy, no purpose term exists, the time-aware property is an integer date comparison against an attribute fixed in the key at key generation, so that an in-window key decrypts indefinitely after expiry, and revocation consists of asking the server to delete a key it holds. Teeda and Subba Rao [70] propose a patient-centric scheme with identity-based proxy re-encryption in which consent is a per-request triple of a ciphertext share, a re-encryption key and a session time; there is no consent object, no state and no record, nothing is implemented, no revocation exists, and the printed correctness derivation is algebraically inconsistent. Ranaweera et al. [68] implement a zero-knowledge-proof login, homomorphic encryption for research outsourcing and an Ethereum consent workflow; the insurance access purpose is a free-text comment that the patient reads and approves manually, the granular time-scoped role-based access layer is named but not specified, and although a manual revocation followed by a refused re-access is demonstrated, the claimed automatic expiry is untested and its enforcement locus is unspecified.</w:t>
      </w:r>
    </w:p>
    <w:p>
      <w:pPr>
        <w:spacing w:after="140" w:line="300"/>
        <w:jc w:val="both"/>
      </w:pPr>
      <w:r>
        <w:rPr>
          <w:rFonts w:ascii="Cambria" w:cs="Cambria" w:eastAsia="Cambria" w:hAnsi="Cambria"/>
          <w:color w:val="0000CC"/>
          <w:sz w:val="24"/>
          <w:szCs w:val="24"/>
        </w:rPr>
        <w:t xml:space="preserve">The third group consists of deployed platforms and research infrastructures. Soohoo et al. [67] describe the authentication and authorisation module of the iAgree portal, deployed across three United States health systems, with OAuth2, SMART on FHIR and one-time-password identity that was tested with matched and unmatched accounts. Consent is a preference matrix of data category by recipient type whose enforcement is outside the scope of the paper, a single patient decides, the one-hour window is a session token rather than a consent validity period, and revocation is append-only and untested. Tremper et al. [72] report ten years of the Mainzelliste pseudonymisation and consent-management service, an open-source production tool with modular FHIR consent directives scoped by use type and an automated consent-check capability. The paper specifies no check semantics, no term list and no allow or deny protocol; consent withdrawal is implemented at the registry level through an API delete, with no downstream enforcement shown; the reason for each request is captured for audit but not adjudicated; and the security evidence is an independent penetration test and a secure development process rather than a formal analysis. Wagner et al. [74] integrate the gICS consent service, E-PIX identity management and pseudonymisation into a REDCap electronic data capture system; consent is held as modular policies with consented and not-consented states that are displayed to study personnel and queried through an interface, but nothing in the system makes an access decision depend on that state, so that data-use governance remains organisational.</w:t>
      </w:r>
    </w:p>
    <w:p>
      <w:pPr>
        <w:spacing w:after="140" w:line="300"/>
        <w:jc w:val="both"/>
      </w:pPr>
      <w:r>
        <w:rPr>
          <w:rFonts w:ascii="Cambria" w:cs="Cambria" w:eastAsia="Cambria" w:hAnsi="Cambria"/>
          <w:color w:val="0000CC"/>
          <w:sz w:val="24"/>
          <w:szCs w:val="24"/>
        </w:rPr>
        <w:t xml:space="preserve">The fourth group is conceptual. Bhalerao [39] proposes a design-only blueprint combining symmetric encryption, attribute-based encryption and smart contracts for consent and policy checking; no code, deployment or dataset exists, the results are projected, formal verification is deferred to future work, and the paper's own gap analysis concedes that real-time revocation mechanisms remain underdeveloped. Chockalingam et al. [41] describe a dynamic-consent framework for cognitive digital twins with a context-aware decision engine that outputs grant, prompt or deny and escalates to a human; the engine has named inputs and example rules but no rule language, algorithm or enforcement, purpose enters only as a prompt to the user and not as an evaluated term, caregivers are recipients rather than co-authorisers, and the framework is explicitly unimplemented. It should be noted that this study unifies dynamic consent, trust and context in one design with the broadest vocabulary in the stream, while providing neither assurance nor evidence.</w:t>
      </w:r>
    </w:p>
    <w:p>
      <w:pPr>
        <w:spacing w:after="140" w:line="300"/>
        <w:jc w:val="both"/>
      </w:pPr>
      <w:r>
        <w:rPr>
          <w:rFonts w:ascii="Cambria" w:cs="Cambria" w:eastAsia="Cambria" w:hAnsi="Cambria"/>
          <w:color w:val="0000CC"/>
          <w:sz w:val="24"/>
          <w:szCs w:val="24"/>
        </w:rPr>
        <w:t xml:space="preserve">Taken together, the studies in this stream show that the representation of consent and the evaluation of consent have largely been developed apart. Where consent enters the access decision, it enters as a boolean [36, 60]; where the consent object is rich, as in the FHIR-based directives of Mainzelliste [72] and gICS [74], the evaluation semantics are unspecified or enforcement is left to the organisation; and where consent is bound to cryptography [78, 70], the conditions are fixed at encryption or key-issuance time and cannot be re-evaluated at the time of the request. In addition, none of the twelve studies verifies its own authorisation decisions: those that are implemented report latency, gas or throughput without a single allow or deny correctness case, and Req 6 is graded No for ten of them. No study in this stream involves more than one authorising party, and Req 3 is graded No for all twelve. The closest single-party analogues of the consent object C = (I, A, P, T, L, E) required by the proposed framework are found not here but in Section 2.4.2, in the on-chain consent object of Phuyal et al. [58] and the consent token of Shanmugham and Senthilkumar [66], and in the patient-driven policy of Al Amin et al. [38] in Section 2.4.3. Therefore, Req 1 is partially addressed throughout this stream, but consent as an object that is evaluated on every request against identity, authority, purpose, scope, time and jurisdiction is not provided by any of the reviewed consent-governance systems. Table 3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Hyperledger Fabric framework with Go chaincode and IPFS storage in which a stored consent record with an Active status is checked as the first conjunct of the decision, followed by role-based authorisation, with a named ConsentNotGranted deny path; a simulated prototype reports sub-350 ms access validation.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a per-record boolean with no grantee, purpose, temporal bounds or lifecycle operations (no grant, revoke, withdraw or expiry defined); roles are self-selected at login; three deny-log types are designed but no denial is reported; no threat model or formal content; no dataset or code release.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[39]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blueprint for cloud medical records combining AES-256-GCM, SHA-256 and CP-ABE with smart contracts for consent and policy checking; the decision flow validates attributes (role, department, clearance) against a policy before granting or denying and logging.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Nothing is implemented and the reported results are projected estimates; no consent object structure, no multi-party approval (the key ceremony is genesis bootstrapping), one clause on time-based restrictions, revocation only as a design mention; formal verification is explicitly future work.</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conceptual dynamic-consent framework for cognitive digital twins with a context-aware engine whose inputs include role, device, network, environment, time and human factors, and whose outputs are grant, prompt or deny with escalation; consent history and real-time revocation are narrated.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Self-declared conceptual with no implementation, simulation or evaluation; no rule language, algorithm or enforcement; purpose is a prompt to the user, not an engine input; caregivers are recipients, not co-authorisers; trust scores are named without any model; no security analysis of any kind.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[42]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federated-learning diagnosis pipeline (TensorFlow Federated, three hospital nodes) anchored to a Ganache Ethereum testnet with four Solidity operations, including Consent Logging and EHR Access Authorization, whose gas and latency are measured on the UCI heart-disease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reduced to a logged event with a gas cost; no consent object, authorisation predicate, deny path or identity mechanism is described; the contract operations are timed but never exercised as decisions; no revocation or expiry; no security analysis; the hospital nodes are training parties, not authorisers.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 [60]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Solidity contract deployed in Remix for blockchain-based access management in which the decision is the conjunction of an owner whitelist and a per-(user, record) patient grant, with grantAccess and revokeAccess operations and on-chain events; deployment gas and interface panels are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is a boolean grant without roles, purpose, context or temporal terms; post-revocation denial is never demonstrated; wallet-address identity without credentials; no threat model or formal content; abstract-level benchmarking claims have no corresponding body evidence; no dataset, tests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 [65]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FabricMedChain, a Hyperledger Fabric v2.4 consortium with chaincode-enforced role-based access control, attribute-based certificates, break-glass override tokens and a DPoS overlay, benchmarked with Caliper on MIMIC-III-derived workloads including fault injection and six simulated attack classes.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mentioned throughout but is absent from the decision function Eq. (5), which evaluates role-permission membership only; no purpose or scope; the formal security analysis is a threat model and simulated attacks without formal methods; the extensive measurement campaign verifies no allow or deny decision; abstract figures contradict the body.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 [68]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web application with a Circom/Plonk zero-knowledge-proof wallet login, BFV homomorphic encryption for research outsourcing, an Ethereum consent workflow for insurance access requests, and a manual single-click revocation that was shown to refuse subsequent re-access.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zero-knowledge proof authenticates wallet ownership only; the access reason is free text read by the patient, not an evaluated purpose; the time-scoped role layer is named without schema or algorithm; automatic expiry is claimed but untested with an unspecified locus; single-locus consent; no formal analysis, measurements, dataset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 [70]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electronic health record scheme in which the record ciphertext is split between the chain and the patient wallet, and each access is authorised by the patient supplying a share, an identity-based proxy re-encryption key and a user-defined session time to a smart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implementation, simulation or measurement of any kind; consent is a per-request cryptographic act with no object, state or record; no policy, purpose, role or scope; no revocation; the session expiry is unenforceable after delivery because the doctor decrypts with a permanent key; the printed correctness derivation is defective.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 [74]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the gICS consent service, E-PIX identity management and a pseudonymisation dispatcher into the REDCap electronic data capture system, released as an open-source module, in which modular consent policies carry consented or not-consented states that study personnel can view and query.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state is displayed and queried but no access decision depends on it, so enforcement remains organisational; project-scoped roles without case-specific authority; the trusted third party is a pseudonymisation unit, not an authoriser; no temporal terms; withdrawal effect on downstream data not shown; no threat model; functional description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 [78]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cross-enterprise document-sharing and dynamic-consent framework on a consortium Ethereum network with a smart-contract registry, IPFS storage and ciphertext-policy attribute-based encryption in which a hospital server embeds one of two fixed access policies at encryption time and the patient issues decryption keys.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does not author the policy and no purpose term exists; the time-aware property compares a date fixed in the key at issuance, so an in-window key decrypts after expiry; revocation is honest-server key deletion and the custodial key is irrevocable; no credentials; no formal analysis; performance measured with no allow or deny or attack test.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five studies whose main contribution is the decentralised verification of the participants in a consent decision.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primary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CC"/>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Ferreira et al. [45] integrate a permissioned ledger with a Model Context Protocol gateway over FHIR servers so that every entity holds a decentralised identifier, the requester's credential is verified at the consent check, and a single authorisation call conjoins the subject, the purpose, the scope and the time over the current consent state, with on-chain revocation lists invalidating cached grants. This is the widest designed predicate in the corpus. Nevertheless, case-specific authority reduces to the credential plus the consent state without separate authority evidence, the guardians named in the paper are a social key-recovery mechanism rather than co-authorisers, the contract interfaces are referenced but not shown, no code is released, the quantitative results are captioned as illustrative, and no allow or deny correctness matrix or attack test is reported. Shanmugham and Senthilkumar [66] propose a self-sovereign identity and consent framework in which the consent token carries the patient identifier, a role, a scope with permissions, a validity interval and a three-state lifecycle, and the decision conjoins a zero-knowledge proof of an issuer-signed provider credential with scope validity, temporal validity and lifecycle state. The token is the closest single-party structural analogue of the consent object required by the proposed framework, but the patient identifier is a self-generated key pair without proofing, the role-to-token match is described in prose rather than in the formal predicate, the issuer trust root is unspecified, the reported stack is internally inconsistent (Hyperledger Fabric with Solidity contracts, PBFT and gas in gwei), and no denial after revocation or expiry is tested.</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CC"/>
          <w:sz w:val="24"/>
          <w:szCs w:val="24"/>
        </w:rPr>
        <w:t xml:space="preserve">In summary, identity is the strongest dimension of this stream, with T1 graded Yes in four of the five studies, but authority verified with its own evidence is found only in Phuyal et al. [58] through licensing-body credentials and in Tseng et al. [73] through authority-issued roles. The remaining eight Yes gradings for T2 in the corpus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studies of this stream that come closest to an evaluable consent object [58, 45, 66] are single-party designs, none of them is formally assured, and only Phuyal et al. [58] verify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[45]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permissioned-ledger consent registry and provenance ledger integrated with a Model Context Protocol gateway over HAPI FHIR servers, in which every entity holds a W3C DID, requester credentials are verified at the consent check, one authorisation call conjoins subject, purpose, scope and time over the consent state, and on-chain revocation lists invalidate cached grants.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Authority reduces to the credential plus consent state with no separate authority evidence; the guardians are key recovery, not co-authorisers; single patient issues consent; contract interfaces are referenced but not shown and no code is released; results are captioned illustrative; no allow or deny matrix or attack test; threat model only, no proof.</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 [66]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self-sovereign identity and consent framework in which a patient-issued consent token carries identifier, role, scope and permissions, a validity interval and an ACTIVE, REVOKED or EXPIRED state, and the decision conjoins a ZoKrates zero-knowledge proof of an issuer-signed provider credential with scope, temporal and lifecycle validity; simulated on four peers with 100 to 10,000 synthetic records.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DID is a self-generated key pair without proofing and the issuer trust root is unspecified; the role-to-token match is prose, not part of the formal predicate; no purpose of use; no denial after revocation or expiry is tested; the stack is internally inconsistent (Fabric with Solidity, PBFT, gas in gwei); one qualitative threat paragraph; author-assigned comparator scores.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studies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primary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and it is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and the claim of full decentralisation is asserted rather than demonstrated. The paper contains no formal analysis, no dataset and no allow or deny correctness matrix. Abbasi et al. [35] present Nexa, a public-blockchain record system in which a Shamir (5, 3) threshold protects each record key; a clinical access combines the requester's own share with two automated oracle shares that are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A related design in Section 2.4.6, Maruthi and Singh [54], releases the key of an unconscious patient through a t-of-n threshold over patient-designated relatives under proxy re-encryption with indistinguishability proofs, but with no policy or temporal term.</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the approval of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are institution-side investigators rather than parties acting for the patient. The fifth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in the corpus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mechanism for the case in which the patient is unable to act, the verifiers evaluate identity, grant, time and revocation but not purpose or data scope, since attribute-based policy is explicitly future work, only the secure multi-party computation layer of roughly 6500 lines is implemented while the identity, wallet and ledger layers are not, and the security argument is a STRIDE and LINDDUN enumeration with no proof over the authorisation protocol. The third class, reviewed in Section 2.4.6, is the consumer-side delegated threshold of Zhao and Su [50], in which l of d already-authorised clinicians jointly authorise an out-of-policy requester and the threshold gate carries an indistinguishability proof;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CC"/>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five shortlisted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 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w:t>
      </w:r>
    </w:p>
    <w:p>
      <w:pPr>
        <w:spacing w:after="140" w:line="300"/>
        <w:jc w:val="both"/>
      </w:pPr>
      <w:r>
        <w:rPr>
          <w:rFonts w:ascii="Cambria" w:cs="Cambria" w:eastAsia="Cambria" w:hAnsi="Cambria"/>
          <w:color w:val="0000CC"/>
          <w:sz w:val="24"/>
          <w:szCs w:val="24"/>
        </w:rPr>
        <w:t xml:space="preserve">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 Ghosh et al. [46] presented a quantum-safe attribute-based access control scheme with attribute revocation for smart healthcare, in which the patient-side data owner authors a linear secret-sharing access policy over hospital, department, role and emergency attributes, and a hospital attribute authority checks attribute status on a blockchain registry and policy satisfaction at every access before releasing the decryption material. The attribute policy therefore operates inside the decision. However, identity and authority are issued and verified by the same fully trusted authority, there is no purpose-of-use term, the scope is the whole record, revocation protects only newly encrypted data, denials are not logged, the security analysis is an argued multi-adversary model without a theorem or tool, and the simulation covers consensus and storage but not the access-decision path.</w:t>
      </w:r>
    </w:p>
    <w:p>
      <w:pPr>
        <w:spacing w:after="140" w:line="300"/>
        <w:jc w:val="both"/>
      </w:pPr>
      <w:r>
        <w:rPr>
          <w:rFonts w:ascii="Cambria" w:cs="Cambria" w:eastAsia="Cambria" w:hAnsi="Cambria"/>
          <w:color w:val="0000CC"/>
          <w:sz w:val="24"/>
          <w:szCs w:val="24"/>
        </w:rPr>
        <w:t xml:space="preserve">Across the whole corpus, T4 is coded Yes in 16 of the 44 studies,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Ghosh et al. [46], Punia et al. [61], Li et al. [51] and the attribute-based encryption schemes of stream 6. Purpose-of-use enters the evaluated decision in only seven studies [37, 44, 45, 49, 57, 63, 71], and purpose and data scope are jointly present in the decision by design in fewer still, namely Albalwy et al. [37], Eneh et al. [44], Ferreira et al. [45] and Tith et al. [71].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stream-4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[46]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quantum-safe attribute-based access control scheme for smart healthcare in which a patient-authored linear secret-sharing policy over hospital, department, role and emergency attributes is checked, together with on-chain attribute status, by a hospital attribute authority at every access before decryption material is released.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Identity and authority are issued and verified by one fully trusted authority; no purpose-of-use term and whole-record scope; revocation is not retroactive and protects only new data; grants but not denials are logged; the security analysis is argued without theorem or tool; the simulation covers consensus and storage, not the access-decision path.</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five shortlisted studies of stream 5 and draws on the lifecycle evidence recorded for studies in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CC"/>
          <w:sz w:val="24"/>
          <w:szCs w:val="24"/>
        </w:rPr>
        <w:t xml:space="preserve">The remaining two studies illustrate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Xu et al. [77] proposed a privacy-preserving medical data sharing scheme with revocable attribute-based encryption organised in key epochs for hospital-to-hospital sharing; revocation is realised by key rollover, so a revoked user retains access until the epoch ends, the word consent does not appear, and the many-to-many matching of keywords and interests is a discovery mechanism rather than an approval. Together with the short-lived tokens of Tseng et al. [73], whose expiry is checked by the token validator while revocation of the access-control list does not invalidate tokens already issued, these three studies place the enforced time on a token, a key epoch or a credential, and leave the consent object without a validity interval of its own.</w:t>
      </w:r>
    </w:p>
    <w:p>
      <w:pPr>
        <w:spacing w:after="140" w:line="300"/>
        <w:jc w:val="both"/>
      </w:pPr>
      <w:r>
        <w:rPr>
          <w:rFonts w:ascii="Cambria" w:cs="Cambria" w:eastAsia="Cambria" w:hAnsi="Cambria"/>
          <w:color w:val="0000CC"/>
          <w:sz w:val="24"/>
          <w:szCs w:val="24"/>
        </w:rPr>
        <w:t xml:space="preserve">Across the corpus, T5 is coded Yes in 10 of the 44 studies and T6 in 11, while Req 5, which requires enforcement in the decision, is Yes in 8. The distinction between recorded and enforced time explains most of the Partial codes. Prashanth et al. [60] store a record timestamp that no decision reads; Albalwy et al. [37] store a struct timestamp and apply time only to the download link; Qiao et al. [62] log event timestamps while key freshness is a revocation state rather than a window; Ghosh et al. [46] use time only as a replay window; Zhang et al. [78] bake a visit date into the decryption key so that an in-window key decrypts indefinitely after the window closes; and Teeda and Subba Rao [70] and Ranaweera et al. [68] claim automatic expiry without specifying where the clock is read or testing it. A parallel distinction separates named state machines from ad hoc revocation flags. Named states with constrained transitions appear in Phuyal et al. [58] (active and revoked with an audited emergency override), Shanmugham and Senthilkumar [66] (active, revoked and expired gating the decision), Wu et al. [75] (approved, pending, completed and revoked with investigator-verified transitions) and Punia et al. [61], although in the last case the states belong to policies and tokens rather than to the consent. By contrast, Akter and Sanam [36] gate the decision on an active flag for which no grant, revoke or expiry operation is defined, Prashanth et al. [60] deploy a revoke function whose effect on access is never demonstrated, Abbasi et al. [35] enforce a role status without consent states, and even Madine et al. [53], with four transitions that affect the decision, define no named state set. Where revocation is enforced at scheme level, as in the immediate ciphertext update of Mei et al. [55] or the re-keying of Qiao et al. [62], its cost is measured but its effect on a revoked requester is usually not exercised; a post-revocation denial is actually demonstrated only by Phuyal et al. [58], Panagoulias et al. [57], Eneh et al. [44], Ferreira et al. [45] in results that the authors caption as illustrative, and, in a single narrated scenario, Ranaweera et al. [68].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and the fact that the three systems which enforce time inside the decision are all single-party and carry no formal assurance. Table 7 presents a summary of the stream-5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 [77]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with revocable attribute-based encryption organised in key epochs for hospital-to-hospital authorisation, with keyword and interest matching between institutions.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word consent never appears and there is no patient authorisation object; revocation by key rollover leaves a revoked user with access until the epoch ends; keyword matching is discovery, not approval; attribute-based policy without a consent object; no formal proof of the authorisation predicate and no decision-level correctness evidence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nine shortlisted studies in which formal argument is a principal contribution, most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w:t>
      </w:r>
    </w:p>
    <w:p>
      <w:pPr>
        <w:spacing w:after="140" w:line="300"/>
        <w:jc w:val="both"/>
      </w:pPr>
      <w:r>
        <w:rPr>
          <w:rFonts w:ascii="Cambria" w:cs="Cambria" w:eastAsia="Cambria" w:hAnsi="Cambria"/>
          <w:color w:val="0000CC"/>
          <w:sz w:val="24"/>
          <w:szCs w:val="24"/>
        </w:rPr>
        <w:t xml:space="preserve">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 Hancheng et al. [48] presented a revocable attribute-based searchable encryption scheme with a Pedersen threshold among authorisation nodes and a replayable chosen-ciphertext reduction under semi-honest nodes; the threshold is key-management resilience rather than approval, and the evaluation is a simulation. Luo et al. [52] proposed bilateral privacy-aware proxy re-encryption with traceability and revocation, in which the sender policy and the receiver origin are both matched, revocation lists are embedded in the ciphertext and benchmarked at a few milliseconds, and selective IND-CPA security is reduced to a known scheme; the bilateral matching is policy symmetry, not co-approval. Three further studies are coded Partial on formal assurance because the proofs do not reach the authorisation decision. Cao et al. [40] prove simulation-based privacy, a discrete-logarithm reduction and fairness for a private set intersection protocol among institutions, but there is no patient actor and no consent object, and the threshold shares are obligatory and penalised if withheld, so they cannot encode approval. Qiao et al. [62] give a full reduction for the static attribute predicate of a lightweight CP-ABE scheme while the paper's own contributions, the multi-authority setup and the revocation states, are argued informally. Zhang et al. [56] prove selective security of a policy-hiding encryption scheme for a static predicate but describe no identity mechanism and no audit element of any kind.</w:t>
      </w:r>
    </w:p>
    <w:p>
      <w:pPr>
        <w:spacing w:after="140" w:line="300"/>
        <w:jc w:val="both"/>
      </w:pPr>
      <w:r>
        <w:rPr>
          <w:rFonts w:ascii="Cambria" w:cs="Cambria" w:eastAsia="Cambria" w:hAnsi="Cambria"/>
          <w:color w:val="0000CC"/>
          <w:sz w:val="24"/>
          <w:szCs w:val="24"/>
        </w:rPr>
        <w:t xml:space="preserve">Two observations follow at corpus level. First, formal assurance in the sense of Req 6 is coded Yes in only 6 of the 44 studies, all of them in this stream, and in every case the proven property attaches to a narrow predicate: an identity-and-authority fragment in HealthDID [76], a threshold gate in Zhao and Su [50] and Maruthi and Singh [54], or a static attribute policy in the encryption schemes [48, 52,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It should also be noted that formal vocabulary is sometimes inflated: the section that Sawant and Gomes [65] title formal security analysis is a simulated attack campaign, and the only formal content of Teeda and Subba Rao [70] is a correctness derivation that does not hold as printed.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CC"/>
          <w:sz w:val="24"/>
          <w:szCs w:val="24"/>
        </w:rPr>
        <w:t xml:space="preserve">Second, empirical validation in the sense of Req7 is coded Yes in only 5 of the 44 studies, Partial in 35 and No in 4, and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Sawant and Gomes [65] run the broadest measurement campaign in the corpus, covering scalability, fault injection and simulated attacks on the infrastructure, without once reporting an outcome of the authorisation function they formalise. Punia et al. [61] instrument 100 transactions and narrate, but do not run, the single denial scenario. Akter and Sanam [36] design three named deny-log types and report zero denials. Dhanraj et al. [42] time an authorisation contract function that is never exercised as a decision.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Hagström et al. [47] show that age windows in a national portal are enforced in practice; and Ranaweera et al. [68] narrate a single post-revocation denial. No study executes an adversarial campaign against the authorisation decision itself; where adversarial testing exists it targets ledger integrity, as in Panagoulias et al. [57], network infrastructure, as in Sawant and Gomes [65],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stream-6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private set intersection protocol for medical data sharing among institutions with threshold homomorphic encryption, an on-chain attribute access policy and protocol-phase deadlines enforced by block time, proven secure through a simulation-based theorem, a discrete-logarithm reduction and a fairness theorem, with a Python prototype on a local Ethereum chain.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patient actor and no consent object anywhere; the threshold shares are obligatory and penalised if withheld, so they encode fairness rather than approval; attribute policy terms are unspecified and there is no purpose or scope; no validity window on any grant; the theorems cover PSI privacy and fairness, not the authorisation predicate; runtime and gas measured without allow-and-deny or attack tests on synthetic sets.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[48]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attribute-based searchable encryption scheme for medical data sharing with a Pedersen threshold among authorisation nodes and a replayable chosen-ciphertext reduction proof under semi-honest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among authorisation nodes is key-management resilience, not multi-party approval; the proof covers a narrow encryption predicate; no temporal validity in the decision and lifecycle limited to revocation; simulation-only evaluation with no decision-level correctness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[52]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bilateral privacy-aware proxy re-encryption scheme for IoMT in which the sender policy and the receiver origin are both matched, with white-box traceability, revocation lists embedded in the ciphertext benchmarked at a few milliseconds, and selective IND-CPA security reduced to a known scheme.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matching is policy symmetry rather than co-approval; no consent object and no validity window in the decision; identity and authority only partially established; the proof concerns the static encryption predicate; library-level benchmark without decision-level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[56]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encryption scheme with a fully hidden access policy for medical data in which staff set a linear secret-sharing policy concealed by an attribute Bloom filter, with a pre-decryption membership test, selective security proven for the static predicate and a Java prototype timed on a public medical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registration, identity or authentication mechanism is described; no patient role or consent; policy hiding is a confidentiality property rather than policy richness and there is no purpose, scope or context; revocation, update and expiry are entirely absent; no logging, ledger or audit element of any kind; timing-only evaluation without correctness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 [62]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EHRs over cloud in which several attribute authorities compute the master secret through secure multi-party computation at setup, the data owner sets a linear secret-sharing policy, key hashes and revocation events are anchored on a private chain, and chosen-plaintext security of the static predicate is proven under DBDH.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Multi-authority setup is computation-party sharing, not multi-party consent; consent is not a distinct object; attribute terms only, without purpose or context; timestamps are event logs and there is no validity window; revocation cost is measured but a revoked user receiving a denial is never exercised; the proof excludes the paper's own contributions; no dataset, no code and no allow-and-deny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0000CC"/>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Ghosh et al. [46]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CC"/>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23 core studies against the six key requirements and positions the proposed framework relative to the existing literature. The core studies are those whose coding narrows, weakens or contradicts one of the deficits of the gap statement, or which carry a multi-party signal (T3 Yes or Partial); the supporting studies of Tables 3 to 8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core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CC"/>
          <w:sz w:val="24"/>
          <w:szCs w:val="24"/>
        </w:rPr>
        <w:t xml:space="preserve">The matrix supports four observations. First, counting only full satisfaction, Req 1 is met by 11 of the 23 core studies, Req 2 by 7, Req 3 by 6, Req 4 by 8, Req 5 by 7 and Req 6 by 8; no requirement is unaddressed, but none is met by a majority of the core studies, and Req 1, at 11 of 23,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Third, the pairs of requirements that co-occur most often are Req 1 with Req 4 (six studies: Eneh, Jaiman and Urovi, Panagoulias, Román-Martínez, S and Tith) and Req 4 with Req 5 (five studies: Eneh, Mei, Panagoulias, Punia and S),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The most frequent triple is Req 1 with Req 4 and Req 5, found in Eneh et al. [44], Panagoulias et al. [57] and Hema et al. [64], all of them single-party systems without formal assurance; the only triples that include Req 3 are Req 1, Req 2 and Req 3 in Madine et al. [53] and Tan et al. [69], neither of which enforces purpose or data scope or provides a formal argument. Fourth, the two quadruples in the corpus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CC"/>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0000CC"/>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wider full-text pool of 1,805 records,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CC"/>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report deployed national platforms in which all legal guardians must co-sign at consent registration and guardianship is verified against a population register;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Verified revocation with an observed denial is reported by Panagoulias et al. [57] and Phuyal et al. [58], and in a single narrated scenario in [68];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Hancheng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CC"/>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Hancheng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the studies with the broadest predicates [61, 53, 45, 58, 66] provide neither a proof nor an ALLOW and DENY test of the decision.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Eight frozen searches across seven bibliographic databases, supplemented by a Google Scholar discovery arm, identified 9,256 records,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[1, 13, 19, 20, 25, 32].</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[10, 13, 21].</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E6007E"/>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w:t>
      </w:r>
      <w:r>
        <w:rPr>
          <w:rFonts w:ascii="Cambria" w:cs="Cambria" w:eastAsia="Cambria" w:hAnsi="Cambria"/>
          <w:color w:val="E6007E"/>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component L were introduced during implementation as explicit constraints of the policy dimension, and they are investigated under SRQ5 rather than as an additional sub-research question.</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E6007E"/>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(29)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(64)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E6007E"/>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remain reliable under dynamic lifecycle conditions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CC"/>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CC"/>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(31).</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Consequently, the corresponding component in Figure 8 is depicted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(64)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(31).</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and the independent verifier verify_poc described in Section 6.8 provide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(33)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(35)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(31),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color w:val="E6007E"/>
          <w:sz w:val="24"/>
          <w:szCs w:val="24"/>
        </w:rPr>
        <w:t xml:space="preserve">This mechanism differs from the reviewed systems, in which joint approval is either a contingency path [53, 69], a registration-time co-consent [43, 47], an institution-side gate [61, 75] or a key-custody threshold [54, 35];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10],</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(31)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(45),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(39)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CC"/>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(31)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CC"/>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E6007E"/>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CC"/>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E6007E"/>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E6007E"/>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color w:val="E6007E"/>
          <w:sz w:val="24"/>
          <w:szCs w:val="24"/>
        </w:rPr>
        <w:t xml:space="preserve">The jurisdictional condition, written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here and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CC"/>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composite temporal–state predicate of Eq. (18), which the implementation evaluates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that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(57);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(66)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CC"/>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E6007E"/>
          <w:sz w:val="24"/>
          <w:szCs w:val="24"/>
        </w:rPr>
        <w:t xml:space="preserve">The soundness property actually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of which Equations (67) and (68) give the foundational three-predicate form; each conjunct of the five-predicate rule</w:t>
      </w:r>
      <w:r>
        <w:rPr>
          <w:rFonts w:ascii="Cambria" w:cs="Cambria" w:eastAsia="Cambria" w:hAnsi="Cambria"/>
          <w:color w:val="000000"/>
          <w:sz w:val="24"/>
          <w:szCs w:val="24"/>
        </w:rPr>
        <w:t xml:space="preserve">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E6007E"/>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(69), which the five-predicate rule of Equation (70)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E6007E"/>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w:t>
      </w:r>
      <w:r>
        <w:rPr>
          <w:rFonts w:ascii="Cambria" w:cs="Cambria" w:eastAsia="Cambria" w:hAnsi="Cambria"/>
          <w:color w:val="E6007E"/>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E6007E"/>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E6007E"/>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E6007E"/>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E6007E"/>
          <w:sz w:val="24"/>
          <w:szCs w:val="24"/>
        </w:rPr>
        <w:t xml:space="preserve">which is the complete decision rule of Eq. (59) and Eq. (65), extending the three-predicate rule of Eq. (69)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E6007E"/>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E6007E"/>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E6007E"/>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is followed by the screenshots of each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CC"/>
          <w:sz w:val="24"/>
          <w:szCs w:val="24"/>
        </w:rPr>
        <w:t xml:space="preserve">Temporal information defines the validity interval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CC"/>
          <w:sz w:val="24"/>
          <w:szCs w:val="24"/>
        </w:rPr>
        <w:t xml:space="preserve">It should be noted that the implemented threshold is derived from the designated guardian set as N = |G|, so the prototype currently enforces an N-of-N instantiation of Eq. (74)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is not a subset of the authorised scope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E6007E"/>
          <w:sz w:val="24"/>
          <w:szCs w:val="24"/>
        </w:rPr>
        <w:t xml:space="preserve">the request exceeds the authorised scope,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as demonstrated for the requested-subset rule in Section 6.8.4.</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E6007E"/>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E6007E"/>
          <w:sz w:val="24"/>
          <w:szCs w:val="24"/>
        </w:rPr>
        <w:t xml:space="preserve">Empirical validation now covers all five trust predicates of the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CC"/>
          <w:sz w:val="24"/>
          <w:szCs w:val="24"/>
        </w:rPr>
        <w:t xml:space="preserve">The plan for the next stage therefore follows directly from the progress status reported in Chapter 7: the objectives marked as completed require no further development, whereas the formal component of RO6 and the identified prototype limitations, namely the N-of-N approval rule, the server-derived guardian keys and the unauthenticated requester,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E6007E"/>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E6007E"/>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CC"/>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15 is as follows. Temporal and lifecycle trust is largely completed (on-chain</w:t>
      </w:r>
      <w:r>
        <w:rPr>
          <w:rFonts w:ascii="Cambria" w:cs="Cambria" w:eastAsia="Cambria" w:hAnsi="Cambria"/>
          <w:color w:val="000000"/>
          <w:sz w:val="24"/>
          <w:szCs w:val="24"/>
        </w:rPr>
        <w:t xml:space="preserve">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 (57),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J. A. Dhanraj, P. Dhongle, R.Tamilamuthan, M.Lakshmanan, N. Ashtankar, and S. R. Hole.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CC"/>
          <w:sz w:val="24"/>
          <w:szCs w:val="24"/>
        </w:rPr>
        <w:t xml:space="preserve">[43] K. Ekholm, A. Augustinsson, Sundström J., C. Johansen, Storgärds M., Ljöstad L., et al.. Implementing electronic informed consent in rare disease genomics. Scientific Reports (Nature Publisher Group), 2025. doi:10.1038/s41598-025-32740-1</w:t>
      </w:r>
    </w:p>
    <w:p>
      <w:pPr>
        <w:spacing w:after="140" w:line="300"/>
        <w:jc w:val="both"/>
      </w:pPr>
      <w:r>
        <w:rPr>
          <w:rFonts w:ascii="Cambria" w:cs="Cambria" w:eastAsia="Cambria" w:hAnsi="Cambria"/>
          <w:color w:val="0000CC"/>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Distrib. Ledger Technol., 2026. doi:10.1145/3827623</w:t>
      </w:r>
    </w:p>
    <w:p>
      <w:pPr>
        <w:spacing w:after="140" w:line="300"/>
        <w:jc w:val="both"/>
      </w:pPr>
      <w:r>
        <w:rPr>
          <w:rFonts w:ascii="Cambria" w:cs="Cambria" w:eastAsia="Cambria" w:hAnsi="Cambria"/>
          <w:color w:val="0000CC"/>
          <w:sz w:val="24"/>
          <w:szCs w:val="24"/>
        </w:rPr>
        <w:t xml:space="preserve">[47] Hagström J., Hägglund M., M. Holmroos, Lähteenmäki P., and Hörhammer I..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CC"/>
          <w:sz w:val="24"/>
          <w:szCs w:val="24"/>
        </w:rPr>
        <w:t xml:space="preserve">[48] G. Hancheng, W. Xiaoyu, H. Huang, L. Qi, and X. Yizheng. A Blockchain-Assisted Revocable and Efficient ABSE Scheme for Secure Medical Data Sharing. ACM Transactions on the Web,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Zhao, Jing and Su, Qianqian (corresponding). A threshold traceable delegation authorization scheme for data sharing in healthcare. Computers &amp; Security, vol. 139, art. 103686 (2024); Qingdao University, China, 2024. doi:10.1016/j.cose.2023.103686</w:t>
      </w:r>
    </w:p>
    <w:p>
      <w:pPr>
        <w:spacing w:after="140" w:line="300"/>
        <w:jc w:val="both"/>
      </w:pPr>
      <w:r>
        <w:rPr>
          <w:rFonts w:ascii="Cambria" w:cs="Cambria" w:eastAsia="Cambria" w:hAnsi="Cambria"/>
          <w:color w:val="0000CC"/>
          <w:sz w:val="24"/>
          <w:szCs w:val="24"/>
        </w:rPr>
        <w:t xml:space="preserve">[51] H. Li, D. Li, G. Lv, N. Crespi, R. Minerva, W. Shao, et al..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et al..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Zhang, Moli, Shao, Feijiao, Zheng, Ruijuan, Liu, Muhua, and Ji, Zhihang.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et al..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et al..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CC"/>
          <w:sz w:val="24"/>
          <w:szCs w:val="24"/>
        </w:rPr>
        <w:t xml:space="preserve">[64] S. Hema, G. B. Sai Reddy, and R. S.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S.L. Soohoo, M.S. Keller, Y. Chen, D. Hu, Huang S.-C., Kuo T.-T., et al..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CC"/>
          <w:sz w:val="24"/>
          <w:szCs w:val="24"/>
        </w:rPr>
        <w:t xml:space="preserve">[68] T. A. V. Y. Ranaweera et al.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Tan K.-L., Chi C.-H., and Lam K.-Y..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D. Tith, Lee J.-S., H. Suzuki, W.M.A.B. Wijesundara, N. Taira, T. Obi, et al..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Tseng C.-H., Hsieh Y.-H., Lin H.-Y., and Yuan S.-M..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J. Wagner, H. Schneiderheinze, M. Wurlitzer, Köckritz O., N. Dittberner, M. Bialke, et al..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DBB 2022 — Int. Conf. on Deep Learning, Big Data and Blockchain; LNNS vol. 541, pp. 3-14 (Springer, 2023); eds. Awan, Younas, Bentahar, Benbernou, 2023. doi:10.1007/978-3-031-16035-6_1</w:t>
      </w:r>
    </w:p>
    <w:p>
      <w:pPr>
        <w:spacing w:after="140" w:line="300"/>
        <w:jc w:val="both"/>
      </w:pPr>
      <w:r>
        <w:rPr>
          <w:rFonts w:ascii="Cambria" w:cs="Cambria" w:eastAsia="Cambria" w:hAnsi="Cambria"/>
          <w:color w:val="0000CC"/>
          <w:sz w:val="24"/>
          <w:szCs w:val="24"/>
        </w:rPr>
        <w:t xml:space="preserve">[76] Zuodong Wu and Dawei Zhang. HealthDID: An efficient and authorizable multi-party privacy-preserving EMR sharing system based on DID. Computer Standards &amp; Interfaces, vol. 93, art. 103967 (2025); Beijing Jiaotong University, 2025. doi:10.1016/j.csi.2024.103967</w:t>
      </w:r>
    </w:p>
    <w:p>
      <w:pPr>
        <w:spacing w:after="140" w:line="300"/>
        <w:jc w:val="both"/>
      </w:pPr>
      <w:r>
        <w:rPr>
          <w:rFonts w:ascii="Cambria" w:cs="Cambria" w:eastAsia="Cambria" w:hAnsi="Cambria"/>
          <w:color w:val="0000CC"/>
          <w:sz w:val="24"/>
          <w:szCs w:val="24"/>
        </w:rPr>
        <w:t xml:space="preserve">[77] G. Xu, C. Qi, W. Dong, L. Gong, S. Liu, S. Chen, et al..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Phuyal, S., Bhandari, M., Correia Bezerra, R., Bista, R., and Ferreira, J. C.. Dynamic Consent for Secondary Use of Health Data: Challenges and Opportunities Under European Law. JMIR MEDICAL INFORMATICS,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e534a290c527cb05bf4de99daf16a4b83cccc61b.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2026-09-29T08:43:20.761Z</dcterms:created>
  <dcterms:modified xsi:type="dcterms:W3CDTF">2026-09-29T08:43:20.762Z</dcterms:modified>
</cp:coreProperties>
</file>

<file path=docProps/custom.xml><?xml version="1.0" encoding="utf-8"?>
<Properties xmlns="http://schemas.openxmlformats.org/officeDocument/2006/custom-properties" xmlns:vt="http://schemas.openxmlformats.org/officeDocument/2006/docPropsVTypes"/>
</file>