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00"/>
          <w:sz w:val="28"/>
          <w:szCs w:val="28"/>
        </w:rPr>
        <w:t xml:space="preserve">Abstract</w:t>
      </w:r>
    </w:p>
    <w:p>
      <w:pPr>
        <w:spacing w:after="140" w:line="300"/>
        <w:jc w:val="both"/>
      </w:pPr>
      <w:r>
        <w:rPr>
          <w:rFonts w:ascii="Cambria" w:cs="Cambria" w:eastAsia="Cambria" w:hAnsi="Cambria"/>
          <w:color w:val="000000"/>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 conditions of such a decision individually, and several combine three or four of them. However, no reviewed system evaluates, in every access decision, the identity and authority of the participants, the required collective approval, the requested purpose and data scope, and the temporal validity of the consent together, and none assures that conjunction formally.</w:t>
      </w:r>
    </w:p>
    <w:p>
      <w:pPr>
        <w:spacing w:after="140" w:line="300"/>
        <w:jc w:val="both"/>
      </w:pPr>
      <w:r>
        <w:rPr>
          <w:rFonts w:ascii="Cambria" w:cs="Cambria" w:eastAsia="Cambria" w:hAnsi="Cambria"/>
          <w:color w:val="000000"/>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RO1 is a trust-centric consent model, and RO2 is decentralised identity and authority trust using decentralised identifiers and verifiable credentials. RO3 is trustworthy multi-party authorisation through a threshold N over the guardian set G, and RO4 is policy- and context-aware access control. RO5 is temporal and lifecycle trust with expiry and revocation, and RO6 is formal security assurance with empirical validation. A systematic literature review of 25 primary studies,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the prototype, consent activation and revocation are anchored as verifiable transactions. Every access decision is the conjunction of the five trust predicates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15</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16</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17</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32</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45</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49</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56</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60</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63</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66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69</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69</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71</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72</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74</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76</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78</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82</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82</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86</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86</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90</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91</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93</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96</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98</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98</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103</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106</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106</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108</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111</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111</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112</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116</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116</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117</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120</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121</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122</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123</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124</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128</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129</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129</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131</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133</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134</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135</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139</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140</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146</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148</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151</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156</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157</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161</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163</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163</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164</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165</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166</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168</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168</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168</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169</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169</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170</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171</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173</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174</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174</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174</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178</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179</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000000"/>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000000"/>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000000"/>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000000"/>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000000"/>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w:t>
      </w:r>
      <w:r>
        <w:rPr>
          <w:rFonts w:ascii="Cambria" w:cs="Cambria" w:eastAsia="Cambria" w:hAnsi="Cambria"/>
          <w:color w:val="000000"/>
          <w:sz w:val="24"/>
          <w:szCs w:val="24"/>
        </w:rPr>
        <w:t xml:space="preserve">Verifiable credentials can provide cryptographically verifiable evidence concerning roles, attributes, qualifications, or authority [20, 5], and cryptographic and policy-based access-control mechanisms can restrict access to authorised resources [2, 28, 25].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000000"/>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w:t>
      </w:r>
      <w:r>
        <w:rPr>
          <w:rFonts w:ascii="Cambria" w:cs="Cambria" w:eastAsia="Cambria" w:hAnsi="Cambria"/>
          <w:color w:val="000000"/>
          <w:sz w:val="24"/>
          <w:szCs w:val="24"/>
        </w:rPr>
        <w:t xml:space="preserve">Blockchain can preserve evidence that a consent event or transaction has occurred. However, the existence of an immutable record does not necessarily demonstrate that the participating entities were legitimate, that they possessed the required authority, or that all necessary parties participated in the decision. It also does not demonstrate that a subsequent data-access request remains consistent with the conditions originally authorised.</w:t>
      </w:r>
      <w:r>
        <w:rPr>
          <w:rFonts w:ascii="Cambria" w:cs="Cambria" w:eastAsia="Cambria" w:hAnsi="Cambria"/>
          <w:sz w:val="24"/>
          <w:szCs w:val="24"/>
        </w:rPr>
        <w:t xml:space="preserve">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000000"/>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w:t>
      </w:r>
      <w:r>
        <w:rPr>
          <w:rFonts w:ascii="Cambria" w:cs="Cambria" w:eastAsia="Cambria" w:hAnsi="Cambria"/>
          <w:color w:val="000000"/>
          <w:sz w:val="24"/>
          <w:szCs w:val="24"/>
        </w:rPr>
        <w:t xml:space="preserve">These mechanisms can improve record integrity, traceability, and auditability. However, in most systems consent remains a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000000"/>
          <w:sz w:val="24"/>
          <w:szCs w:val="24"/>
        </w:rPr>
        <w:t xml:space="preserve">The central problem addressed by this research is therefore the absence of a particular mechanism. In that mechanism, identity, authority, multi-party approval, policy, temporal and lifecycle conditions would be conjoined in every access decision. That conjunction would also be assured both formally and empirically.</w:t>
      </w:r>
      <w:r>
        <w:rPr>
          <w:rFonts w:ascii="Cambria" w:cs="Cambria" w:eastAsia="Cambria" w:hAnsi="Cambria"/>
          <w:color w:val="000000"/>
          <w:sz w:val="24"/>
          <w:szCs w:val="24"/>
        </w:rPr>
        <w:t xml:space="preserve"> The review in Chapter 2 shows that the individual conditions already exist, and that several partial combinations of them exist as well [58, 61, 45]. Existing approaches provide important technological components. These include decentralised identity and verifiable credentials [58, 76], blockchain-based consent records [53, 71], multi-party approval mechanisms of several kinds [53, 61, 69, 43] and policy-based access control [44, 57, 63, 15], as reviewed in Chapter 2. However, these mechanisms are usually investigated separately. </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00"/>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000000"/>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which is the Patient Consent Management Platform for History Access by Authorised Healthcare Providers described in Section 6.8. This testing covers per-dimension denial scenarios, guardian signature-rejection tests and tests of tampered and expired zero-knowledge proofs. It also includes a live negative evaluation on the Ethereum Sepolia testnet. Formal security analysis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00"/>
          <w:sz w:val="24"/>
          <w:szCs w:val="24"/>
        </w:rPr>
        <w:t xml:space="preserve">The term Trust Computing is used in this report to denote the evaluation of trust as a computable outcome of explicitly verified conditions on identity, authority, collective approval, policy and lifecycle. It should be distinguished from trusted computing in the hardware sense, such as trusted execution environments and attestation. Trusted computing in that sense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000000"/>
          <w:sz w:val="24"/>
          <w:szCs w:val="24"/>
        </w:rPr>
        <w:t xml:space="preserve">Multi-party authorisation concerns whether the required threshold of independently verified participants has jointly established the authorisation condition. Together, these conditions provide the foundation for determining whether the resulting authorisation decision has a sufficient basis to be trusted, and not merely whether access has been requested.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000000"/>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000000"/>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color w:val="000000"/>
          <w:sz w:val="24"/>
          <w:szCs w:val="24"/>
        </w:rPr>
        <w:t xml:space="preserve">The distinction between the empirical validation delivered at the current stage and the formal analysis planned for the next stage establishes a clear progression between the two stages of the research.</w:t>
      </w:r>
      <w:r>
        <w:rPr>
          <w:rFonts w:ascii="Cambria" w:cs="Cambria" w:eastAsia="Cambria" w:hAnsi="Cambria"/>
          <w:sz w:val="24"/>
          <w:szCs w:val="24"/>
        </w:rPr>
        <w:t xml:space="preserve">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00"/>
          <w:sz w:val="24"/>
          <w:szCs w:val="24"/>
        </w:rPr>
        <w:t xml:space="preserve">The remainder of this report is organised as follows. Chapter 2 presents the systematic literature review and derives six requirements for trustworthy multi-party consent authorisation. Chapter 3 formulates the research gap and the research questions. Chapter 4 states the research objectives. Chapter 5 describes the MVC-based research architecture. Chapter 6 presents the proposed solution, its algorithms and the live HALAH demonstration. Chapters 7 to 9 report the current progress, the publications and the research plan for the next stage. Appendix A traces the framework to the implemented system.</w:t>
      </w:r>
    </w:p>
    <w:p>
      <w:pPr>
        <w:spacing w:after="140" w:line="300"/>
        <w:jc w:val="both"/>
      </w:pPr>
      <w:r>
        <w:rPr>
          <w:rFonts w:ascii="Cambria" w:cs="Cambria" w:eastAsia="Cambria" w:hAnsi="Cambria"/>
          <w:color w:val="000000"/>
          <w:sz w:val="24"/>
          <w:szCs w:val="24"/>
        </w:rPr>
        <w:t xml:space="preserve">It should be noted that the scope of the current stage is bounded. </w:t>
      </w:r>
      <w:r>
        <w:rPr>
          <w:rFonts w:ascii="Cambria" w:cs="Cambria" w:eastAsia="Cambria" w:hAnsi="Cambria"/>
          <w:color w:val="000000"/>
          <w:sz w:val="24"/>
          <w:szCs w:val="24"/>
        </w:rPr>
        <w:t xml:space="preserve">The HALAH prototype is deployed on the Ethereum Sepolia testnet with synthetic healthcare records. The guardian approval rule is currently implemented as N-of-N over the guardian set G. The security properties of the framework are demonstrated through scenario-based, negative and adversarial testing rather than through formal proof, which is deferred to the next stage.</w:t>
      </w:r>
    </w:p>
    <w:p>
      <w:pPr>
        <w:spacing w:after="140" w:line="300"/>
        <w:jc w:val="both"/>
      </w:pPr>
      <w:r>
        <w:rPr>
          <w:rFonts w:ascii="Cambria" w:cs="Cambria" w:eastAsia="Cambria" w:hAnsi="Cambria"/>
          <w:color w:val="000000"/>
          <w:sz w:val="24"/>
          <w:szCs w:val="24"/>
        </w:rPr>
        <w:t xml:space="preserve">Table 1 summarises the scope of the research and the progression of the six objectives from the current stage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4860"/>
      </w:tblGrid>
      <w:tr>
        <w:trPr>
          <w:tblHeader/>
        </w:trPr>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48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RO1: Trust-Centric Consent Model</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RO4: Policy- and Context-Aware Access Control</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color w:val="000000"/>
          <w:sz w:val="24"/>
          <w:szCs w:val="24"/>
        </w:rPr>
        <w:t xml:space="preserve">The systematic literature review examines the current state of research on trustworthy and decentralised data sharing. Particular attention is given to healthcare consent management, blockchain-based consent governance, decentralised identity and authority, and multi-party authorisation. The review also covers policy- and context-aware access control, temporal validity and consent lifecycle, and formal security assurance and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purpose of the review is to examine how the existing approaches address the different conditions that are required for a trustworthy authorisation decision, and to identify where conceptual or architectural gaps remain. The review is therefore not limited to identifying technologies that can be applied to healthcare data sharing.</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color w:val="000000"/>
          <w:sz w:val="24"/>
          <w:szCs w:val="24"/>
        </w:rPr>
        <w:t xml:space="preserve">However, the literature also indicates that these mechanisms are commonly developed and evaluated as separate technological components. In this context, the availability of a security mechanism is not the same as the ability to construct a unified and trustworthy authorisation decision from several mechanisms. The following sections analyse these research areas and identify the gap that is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w:t>
      </w:r>
      <w:r>
        <w:rPr>
          <w:rFonts w:ascii="Cambria" w:cs="Cambria" w:eastAsia="Cambria" w:hAnsi="Cambria"/>
          <w:color w:val="000000"/>
          <w:sz w:val="24"/>
          <w:szCs w:val="24"/>
        </w:rPr>
        <w:t xml:space="preserve">A trustworthy framework therefore requires that consent is represented as a structured object. The components of this object are the participating identities, the authority requirements, the permitted purpose and data scope, the temporal validity, the jurisdiction and the supporting evidence. Each component can then be evaluated independently at the time of each request.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This is important because the same consent may be valid for one request and invalid for another request. The validity depends on the requesting party, the requested purpose and the time of the request.</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w:t>
      </w:r>
      <w:r>
        <w:rPr>
          <w:rFonts w:ascii="Cambria" w:cs="Cambria" w:eastAsia="Cambria" w:hAnsi="Cambria"/>
          <w:color w:val="000000"/>
          <w:sz w:val="24"/>
          <w:szCs w:val="24"/>
        </w:rPr>
        <w:t xml:space="preserve">This requirement is not satisfied by a workflow in which several participants simply record an approval in the system.</w:t>
      </w:r>
      <w:r>
        <w:rPr>
          <w:rFonts w:ascii="Cambria" w:cs="Cambria" w:eastAsia="Cambria" w:hAnsi="Cambria"/>
          <w:color w:val="000000"/>
          <w:sz w:val="24"/>
          <w:szCs w:val="24"/>
        </w:rPr>
        <w:t xml:space="preserve">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Valid identities and the required approvals are not sufficient on their own. An access request should be granted only if it conforms to the purpose and the data scope that the patient authorised. It should also satisfy the contextual constraints that apply to the request, such as the jurisdiction in which the data may be used.</w:t>
      </w:r>
      <w:r>
        <w:rPr>
          <w:rFonts w:ascii="Cambria" w:cs="Cambria" w:eastAsia="Cambria" w:hAnsi="Cambria"/>
          <w:color w:val="000000"/>
          <w:sz w:val="24"/>
          <w:szCs w:val="24"/>
        </w:rPr>
        <w:t xml:space="preserve"> A framework should evaluate every request against these constraints rather than relying on the existence of a valid consent record. </w:t>
      </w:r>
      <w:r>
        <w:rPr>
          <w:rFonts w:ascii="Cambria" w:cs="Cambria" w:eastAsia="Cambria" w:hAnsi="Cambria"/>
          <w:color w:val="000000"/>
          <w:sz w:val="24"/>
          <w:szCs w:val="24"/>
        </w:rPr>
        <w:t xml:space="preserve">This is important because many unauthorised disclosures in practice are not caused by unknown requesters. They are caused by legitimate requesters who exceed the scope of what was permitted. This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00"/>
          <w:sz w:val="24"/>
          <w:szCs w:val="24"/>
        </w:rPr>
        <w:t xml:space="preserve">The review corpus comprises the 25 primary studies that were identified, screened, coded and included through the process described in the remainder of this section. A further 19 reports passed the same screen and were coded in full, but they are not part of the corpus. They are retained as supporting references and are cited in the supporting-evidence paragraph of each review stream in Section 2.4. Together, the two groups are numbered [35]–[78] in the reference list. Three secondary studies [79, 80, 81] were also retained, but for background only. These three studies are not counted as primary evidence.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All 25 included studies were published between 2020 and 2026</w:t>
      </w:r>
      <w:r>
        <w:rPr>
          <w:rFonts w:ascii="Cambria" w:cs="Cambria" w:eastAsia="Cambria" w:hAnsi="Cambria"/>
          <w:color w:val="000000"/>
          <w:sz w:val="24"/>
          <w:szCs w:val="24"/>
        </w:rPr>
        <w:t xml:space="preserve">, which is the publication period fixed in the review protocol. </w:t>
      </w:r>
      <w:r>
        <w:rPr>
          <w:rFonts w:ascii="Cambria" w:cs="Cambria" w:eastAsia="Cambria" w:hAnsi="Cambria"/>
          <w:color w:val="000000"/>
          <w:sz w:val="24"/>
          <w:szCs w:val="24"/>
        </w:rPr>
        <w:t xml:space="preserve">Of the 25 studies, 13 were retrieved through Scopus, 10 through IEEE Xplore and two through ProQuest,</w:t>
      </w:r>
      <w:r>
        <w:rPr>
          <w:rFonts w:ascii="Cambria" w:cs="Cambria" w:eastAsia="Cambria" w:hAnsi="Cambria"/>
          <w:color w:val="000000"/>
          <w:sz w:val="24"/>
          <w:szCs w:val="24"/>
        </w:rPr>
        <w:t xml:space="preserve"> after the duplicate records that these databases share with SpringerLink, ScienceDirect and Web of Science had been removed. In the remainder of this chapter, </w:t>
      </w:r>
      <w:r>
        <w:rPr>
          <w:rFonts w:ascii="Cambria" w:cs="Cambria" w:eastAsia="Cambria" w:hAnsi="Cambria"/>
          <w:color w:val="000000"/>
          <w:sz w:val="24"/>
          <w:szCs w:val="24"/>
        </w:rPr>
        <w:t xml:space="preserve">each included study is referred to by the label Sn (S1 to S25)</w:t>
      </w:r>
      <w:r>
        <w:rPr>
          <w:rFonts w:ascii="Cambria" w:cs="Cambria" w:eastAsia="Cambria" w:hAnsi="Cambria"/>
          <w:color w:val="000000"/>
          <w:sz w:val="24"/>
          <w:szCs w:val="24"/>
        </w:rPr>
        <w:t xml:space="preserve"> together with its reference number, so that the reader can move between the tables, the text and the reference list without ambiguity. </w:t>
      </w:r>
      <w:r>
        <w:rPr>
          <w:rFonts w:ascii="Cambria" w:cs="Cambria" w:eastAsia="Cambria" w:hAnsi="Cambria"/>
          <w:color w:val="000000"/>
          <w:sz w:val="24"/>
          <w:szCs w:val="24"/>
        </w:rPr>
        <w:t xml:space="preserve">The rule by which the 25 included studies were separated from the 19 supporting references is explained in Section 2.3.7.</w:t>
      </w:r>
    </w:p>
    <w:p>
      <w:pPr>
        <w:pStyle w:val="Heading3"/>
        <w:spacing w:after="160" w:before="280"/>
      </w:pPr>
      <w:r>
        <w:rPr>
          <w:rFonts w:ascii="Cambria" w:cs="Cambria" w:eastAsia="Cambria" w:hAnsi="Cambria"/>
          <w:color w:val="000000"/>
          <w:sz w:val="24"/>
          <w:szCs w:val="24"/>
        </w:rPr>
        <w:t xml:space="preserve">2.3.1  Review Design and Reporting Framework</w:t>
      </w:r>
    </w:p>
    <w:p>
      <w:pPr>
        <w:spacing w:after="140" w:line="300"/>
        <w:jc w:val="both"/>
      </w:pPr>
      <w:r>
        <w:rPr>
          <w:rFonts w:ascii="Cambria" w:cs="Cambria" w:eastAsia="Cambria" w:hAnsi="Cambria"/>
          <w:color w:val="000000"/>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w:t>
      </w:r>
      <w:r>
        <w:rPr>
          <w:rFonts w:ascii="Cambria" w:cs="Cambria" w:eastAsia="Cambria" w:hAnsi="Cambria"/>
          <w:color w:val="000000"/>
          <w:sz w:val="24"/>
          <w:szCs w:val="24"/>
        </w:rPr>
        <w:t xml:space="preserve">In particular, the review considered whether a study addresses consent representation, identity, multi-party approval, policy enforcement, temporal validity or security assurance. It also considered whether these mechanisms are integrated into a single authorisation decision that can be trusted.</w:t>
      </w:r>
    </w:p>
    <w:p>
      <w:pPr>
        <w:spacing w:after="140" w:line="300"/>
        <w:jc w:val="both"/>
      </w:pPr>
      <w:r>
        <w:rPr>
          <w:rFonts w:ascii="Cambria" w:cs="Cambria" w:eastAsia="Cambria" w:hAnsi="Cambria"/>
          <w:color w:val="000000"/>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000000"/>
          <w:sz w:val="24"/>
          <w:szCs w:val="24"/>
        </w:rPr>
        <w:t xml:space="preserve">Screening and coding were organised as six review roles, and each role was responsible for one perspective of the review. Five of the roles covered review methodology, trust modelling, identity and multi-party authorisation, policy and temporal enforcement, and formal and empirical assurance. The sixth role was a chair who issued the final decision on each record.</w:t>
      </w:r>
      <w:r>
        <w:rPr>
          <w:rFonts w:ascii="Cambria" w:cs="Cambria" w:eastAsia="Cambria" w:hAnsi="Cambria"/>
          <w:color w:val="000000"/>
          <w:sz w:val="24"/>
          <w:szCs w:val="24"/>
        </w:rPr>
        <w:t xml:space="preserve">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w:t>
      </w:r>
      <w:r>
        <w:rPr>
          <w:rFonts w:ascii="Cambria" w:cs="Cambria" w:eastAsia="Cambria" w:hAnsi="Cambria"/>
          <w:color w:val="000000"/>
          <w:sz w:val="24"/>
          <w:szCs w:val="24"/>
        </w:rPr>
        <w:t xml:space="preserve">All panel decisions were entered in a decision log (D-001 to D-166). The log records the date, the subject, the position of each panel member, the evidence cited and the outcome. The author retained the right to ratify, veto or reopen any decision by its identifier.</w:t>
      </w:r>
      <w:r>
        <w:rPr>
          <w:rFonts w:ascii="Cambria" w:cs="Cambria" w:eastAsia="Cambria" w:hAnsi="Cambria"/>
          <w:color w:val="000000"/>
          <w:sz w:val="24"/>
          <w:szCs w:val="24"/>
        </w:rPr>
        <w:t xml:space="preserve"> The counts reported in this chapter are those of the checkpoint of 10 September 2026 (decision D-166).</w:t>
      </w:r>
    </w:p>
    <w:p>
      <w:pPr>
        <w:pStyle w:val="Heading3"/>
        <w:spacing w:after="160" w:before="280"/>
      </w:pPr>
      <w:r>
        <w:rPr>
          <w:rFonts w:ascii="Cambria" w:cs="Cambria" w:eastAsia="Cambria" w:hAnsi="Cambria"/>
          <w:color w:val="000000"/>
          <w:sz w:val="24"/>
          <w:szCs w:val="24"/>
        </w:rPr>
        <w:t xml:space="preserve">2.3.2  Questions for Review</w:t>
      </w:r>
    </w:p>
    <w:p>
      <w:pPr>
        <w:spacing w:after="140" w:line="300"/>
        <w:jc w:val="both"/>
      </w:pPr>
      <w:r>
        <w:rPr>
          <w:rFonts w:ascii="Cambria" w:cs="Cambria" w:eastAsia="Cambria" w:hAnsi="Cambria"/>
          <w:color w:val="000000"/>
          <w:sz w:val="24"/>
          <w:szCs w:val="24"/>
        </w:rPr>
        <w:t xml:space="preserve">This systematic literature review is guided by the following seven questions, </w:t>
      </w:r>
      <w:r>
        <w:rPr>
          <w:rFonts w:ascii="Cambria" w:cs="Cambria" w:eastAsia="Cambria" w:hAnsi="Cambria"/>
          <w:color w:val="000000"/>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00"/>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00"/>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00"/>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00"/>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00"/>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00"/>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00"/>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w:t>
      </w:r>
      <w:r>
        <w:rPr>
          <w:rFonts w:ascii="Cambria" w:cs="Cambria" w:eastAsia="Cambria" w:hAnsi="Cambria"/>
          <w:color w:val="000000"/>
          <w:sz w:val="24"/>
          <w:szCs w:val="24"/>
        </w:rPr>
        <w:t xml:space="preserve">This question is not a review question in its own right. It expresses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00"/>
          <w:sz w:val="24"/>
          <w:szCs w:val="24"/>
        </w:rPr>
        <w:t xml:space="preserve">2.3.3  Search Databases and Search Strategy</w:t>
      </w:r>
    </w:p>
    <w:p>
      <w:pPr>
        <w:spacing w:after="140" w:line="300"/>
        <w:jc w:val="both"/>
      </w:pPr>
      <w:r>
        <w:rPr>
          <w:rFonts w:ascii="Cambria" w:cs="Cambria" w:eastAsia="Cambria" w:hAnsi="Cambria"/>
          <w:color w:val="000000"/>
          <w:sz w:val="24"/>
          <w:szCs w:val="24"/>
        </w:rPr>
        <w:t xml:space="preserve">The literature search was conducted using the following seven academic databases: 1) IEEE Xplore, 2) SpringerLink, 3) ProQuest Science and Technology, 4) ScienceDirect, 5) Scopus, 6) Web of Science, and 7) ACM Digital Library. </w:t>
      </w:r>
      <w:r>
        <w:rPr>
          <w:rFonts w:ascii="Cambria" w:cs="Cambria" w:eastAsia="Cambria" w:hAnsi="Cambria"/>
          <w:color w:val="000000"/>
          <w:sz w:val="24"/>
          <w:szCs w:val="24"/>
        </w:rPr>
        <w:t xml:space="preserve">In addition, Google Scholar was used as a discovery arm for snowballing and for testing the sensitivity of the search, but not as a structured retrieval source. Its results are reported under the PRISMA 2020 heading of records identified through other methods. They are not summed into the database total.</w:t>
      </w:r>
    </w:p>
    <w:p>
      <w:pPr>
        <w:spacing w:after="140" w:line="300"/>
        <w:jc w:val="both"/>
      </w:pPr>
      <w:r>
        <w:rPr>
          <w:rFonts w:ascii="Cambria" w:cs="Cambria" w:eastAsia="Cambria" w:hAnsi="Cambria"/>
          <w:color w:val="000000"/>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00"/>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00"/>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00"/>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w:t>
      </w:r>
      <w:r>
        <w:rPr>
          <w:rFonts w:ascii="Cambria" w:cs="Cambria" w:eastAsia="Cambria" w:hAnsi="Cambria"/>
          <w:color w:val="000000"/>
          <w:sz w:val="24"/>
          <w:szCs w:val="24"/>
        </w:rPr>
        <w:t xml:space="preserve">It should also be noted that the review protocol originally listed eight family-specific sensitivity queries for IEEE Xplore. These queries were superseded by the single master query and were never executed. This is declared as a documented deviation from the protocol rather than as an unexecuted step.</w:t>
      </w:r>
    </w:p>
    <w:p>
      <w:pPr>
        <w:pStyle w:val="Heading3"/>
        <w:spacing w:after="160" w:before="280"/>
      </w:pPr>
      <w:r>
        <w:rPr>
          <w:rFonts w:ascii="Cambria" w:cs="Cambria" w:eastAsia="Cambria" w:hAnsi="Cambria"/>
          <w:color w:val="000000"/>
          <w:sz w:val="24"/>
          <w:szCs w:val="24"/>
        </w:rPr>
        <w:t xml:space="preserve">2.3.4  Search Period and Search Execution</w:t>
      </w:r>
    </w:p>
    <w:p>
      <w:pPr>
        <w:spacing w:after="140" w:line="300"/>
        <w:jc w:val="both"/>
      </w:pPr>
      <w:r>
        <w:rPr>
          <w:rFonts w:ascii="Cambria" w:cs="Cambria" w:eastAsia="Cambria" w:hAnsi="Cambria"/>
          <w:color w:val="000000"/>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w:t>
      </w:r>
      <w:r>
        <w:rPr>
          <w:rFonts w:ascii="Cambria" w:cs="Cambria" w:eastAsia="Cambria" w:hAnsi="Cambria"/>
          <w:color w:val="000000"/>
          <w:sz w:val="24"/>
          <w:szCs w:val="24"/>
        </w:rPr>
        <w:t xml:space="preserve">fall outside this period by design and could enter the review only through snowballing, and this date-range decision is recorded in the protocol.</w:t>
      </w:r>
    </w:p>
    <w:p>
      <w:pPr>
        <w:spacing w:after="140" w:line="300"/>
        <w:jc w:val="both"/>
      </w:pPr>
      <w:r>
        <w:rPr>
          <w:rFonts w:ascii="Cambria" w:cs="Cambria" w:eastAsia="Cambria" w:hAnsi="Cambria"/>
          <w:color w:val="000000"/>
          <w:sz w:val="24"/>
          <w:szCs w:val="24"/>
        </w:rPr>
        <w:t xml:space="preserve">The searches were executed on 24 and 25 August 2026 for IEEE Xplore, Scopus, Web of Science, ProQuest, ScienceDirect, SpringerLink and Google Scholar. The ACM Digital Library was searched on 5 September 2026, as a late arm added after the six other database searches had been frozen. This late addition is declared as a limitation of the search strategy.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Each query was frozen with a search identifier and a version number before its export was accepted. The frozen identifiers were IEEE-M v2, SCOPUS-M v3, WOS-M v2, PROQ-M v2, SD-M v2, SPR-M v3, GS-M v2 and ACM-M v1. A changed query was always recorded as a new version rather than overwriting the previous one.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Superseded versions were archived together with the cause of their rejection. For example, the first two Scopus versions were rejected because a subject-area limit had removed the medical-venue records. An initial ProQuest run over the full text was rejected because its scope was inconsistent with the title, abstract and keyword scope of the other databases.</w:t>
      </w:r>
      <w:r>
        <w:rPr>
          <w:rFonts w:ascii="Cambria" w:cs="Cambria" w:eastAsia="Cambria" w:hAnsi="Cambria"/>
          <w:color w:val="000000"/>
          <w:sz w:val="24"/>
          <w:szCs w:val="24"/>
        </w:rPr>
        <w:t xml:space="preserve">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00"/>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w:t>
      </w:r>
      <w:r>
        <w:rPr>
          <w:rFonts w:ascii="Cambria" w:cs="Cambria" w:eastAsia="Cambria" w:hAnsi="Cambria"/>
          <w:color w:val="000000"/>
          <w:sz w:val="24"/>
          <w:szCs w:val="24"/>
        </w:rPr>
        <w:t xml:space="preserve">ProQuest returned 1,180 records and ScienceDirect returned 65 records, which were reduced to 23 after within-source deduplication. Scopus returned 2,133 records. Web of Science returned 1,137 records, which had to be exported by e-mail because the direct download was blocked by the library proxy. The ACM Digital Library returned 40 records.</w:t>
      </w:r>
      <w:r>
        <w:rPr>
          <w:rFonts w:ascii="Cambria" w:cs="Cambria" w:eastAsia="Cambria" w:hAnsi="Cambria"/>
          <w:color w:val="000000"/>
          <w:sz w:val="24"/>
          <w:szCs w:val="24"/>
        </w:rPr>
        <w:t xml:space="preserve">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000000"/>
          <w:sz w:val="24"/>
          <w:szCs w:val="24"/>
        </w:rPr>
        <w:t xml:space="preserve">The purpose of the sentinel test was to validate the recall of the master query before it was frozen. Twelve sentinel papers that were already known to be relevant to the review questions were defined in advance, each chosen for one review dimension or for one protocol decision such as the date range. The frozen query was then tested for whether it retrieved each of them. The four healthcare-scoped sentinels, namely Madine et al. [53], Jaiman and Urovi [49], Tith et al. [71] and Albalwy et al. [37], were retrieved by the master query. The first two were retrieved through IEEE Xplore, and all four were retrieved through Scopus, Web of Science and ProQuest and were present in the merged register. The eight sentinels that were not retrieved were diagnosed individually. In five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sentinel is the 2016 MedRec proposal, which lies outside the date range by design. For one sentinel the cause of the miss had not been established at the checkpoint, and it is recorded as an open item. These misses were therefore attributed to venue or scope and not to a defect of the query. The protocol rule that no query is tuned to rescue a single paper was observed, and such papers can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00"/>
          <w:sz w:val="24"/>
          <w:szCs w:val="24"/>
        </w:rPr>
        <w:t xml:space="preserve">2.3.5  Eligibility Criteria</w:t>
      </w:r>
    </w:p>
    <w:p>
      <w:pPr>
        <w:spacing w:after="140" w:line="300"/>
        <w:jc w:val="both"/>
      </w:pPr>
      <w:r>
        <w:rPr>
          <w:rFonts w:ascii="Cambria" w:cs="Cambria" w:eastAsia="Cambria" w:hAnsi="Cambria"/>
          <w:color w:val="000000"/>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00"/>
          <w:sz w:val="24"/>
          <w:szCs w:val="24"/>
        </w:rPr>
        <w:t xml:space="preserve">A study was included if it satisfied all of the following criteria:</w:t>
      </w:r>
    </w:p>
    <w:p>
      <w:pPr>
        <w:spacing w:after="140" w:line="300"/>
        <w:jc w:val="both"/>
      </w:pPr>
      <w:r>
        <w:rPr>
          <w:rFonts w:ascii="Cambria" w:cs="Cambria" w:eastAsia="Cambria" w:hAnsi="Cambria"/>
          <w:color w:val="000000"/>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00"/>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00"/>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00"/>
          <w:sz w:val="24"/>
          <w:szCs w:val="24"/>
        </w:rPr>
        <w:t xml:space="preserve">4. IC4: Peer-reviewed journal or conference paper.</w:t>
      </w:r>
    </w:p>
    <w:p>
      <w:pPr>
        <w:spacing w:after="140" w:line="300"/>
        <w:jc w:val="both"/>
      </w:pPr>
      <w:r>
        <w:rPr>
          <w:rFonts w:ascii="Cambria" w:cs="Cambria" w:eastAsia="Cambria" w:hAnsi="Cambria"/>
          <w:color w:val="000000"/>
          <w:sz w:val="24"/>
          <w:szCs w:val="24"/>
        </w:rPr>
        <w:t xml:space="preserve">5. IC5: Available in English.</w:t>
      </w:r>
    </w:p>
    <w:p>
      <w:pPr>
        <w:spacing w:after="140" w:line="300"/>
        <w:jc w:val="both"/>
      </w:pPr>
      <w:r>
        <w:rPr>
          <w:rFonts w:ascii="Cambria" w:cs="Cambria" w:eastAsia="Cambria" w:hAnsi="Cambria"/>
          <w:color w:val="000000"/>
          <w:sz w:val="24"/>
          <w:szCs w:val="24"/>
        </w:rPr>
        <w:t xml:space="preserve">6. IC6: Full text available for final inclusion.</w:t>
      </w:r>
    </w:p>
    <w:p>
      <w:pPr>
        <w:spacing w:after="140" w:line="300"/>
        <w:jc w:val="both"/>
      </w:pPr>
      <w:r>
        <w:rPr>
          <w:rFonts w:ascii="Cambria" w:cs="Cambria" w:eastAsia="Cambria" w:hAnsi="Cambria"/>
          <w:color w:val="000000"/>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00"/>
          <w:sz w:val="24"/>
          <w:szCs w:val="24"/>
        </w:rPr>
        <w:t xml:space="preserve">A study was excluded if it satisfied one or more of the following criteria:</w:t>
      </w:r>
    </w:p>
    <w:p>
      <w:pPr>
        <w:spacing w:after="140" w:line="300"/>
        <w:jc w:val="both"/>
      </w:pPr>
      <w:r>
        <w:rPr>
          <w:rFonts w:ascii="Cambria" w:cs="Cambria" w:eastAsia="Cambria" w:hAnsi="Cambria"/>
          <w:color w:val="000000"/>
          <w:sz w:val="24"/>
          <w:szCs w:val="24"/>
        </w:rPr>
        <w:t xml:space="preserve">1. EC1: Outside healthcare.</w:t>
      </w:r>
    </w:p>
    <w:p>
      <w:pPr>
        <w:spacing w:after="140" w:line="300"/>
        <w:jc w:val="both"/>
      </w:pPr>
      <w:r>
        <w:rPr>
          <w:rFonts w:ascii="Cambria" w:cs="Cambria" w:eastAsia="Cambria" w:hAnsi="Cambria"/>
          <w:color w:val="000000"/>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00"/>
          <w:sz w:val="24"/>
          <w:szCs w:val="24"/>
        </w:rPr>
        <w:t xml:space="preserve">3. EC3: Blockchain consensus but not authorization trust.</w:t>
      </w:r>
    </w:p>
    <w:p>
      <w:pPr>
        <w:spacing w:after="140" w:line="300"/>
        <w:jc w:val="both"/>
      </w:pPr>
      <w:r>
        <w:rPr>
          <w:rFonts w:ascii="Cambria" w:cs="Cambria" w:eastAsia="Cambria" w:hAnsi="Cambria"/>
          <w:color w:val="000000"/>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00"/>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00"/>
          <w:sz w:val="24"/>
          <w:szCs w:val="24"/>
        </w:rPr>
        <w:t xml:space="preserve">6. EC6: Duplicate publication.</w:t>
      </w:r>
    </w:p>
    <w:p>
      <w:pPr>
        <w:spacing w:after="140" w:line="300"/>
        <w:jc w:val="both"/>
      </w:pPr>
      <w:r>
        <w:rPr>
          <w:rFonts w:ascii="Cambria" w:cs="Cambria" w:eastAsia="Cambria" w:hAnsi="Cambria"/>
          <w:color w:val="000000"/>
          <w:sz w:val="24"/>
          <w:szCs w:val="24"/>
        </w:rPr>
        <w:t xml:space="preserve">7. EC7: Secondary review (kept separately for background/snowballing).</w:t>
      </w:r>
    </w:p>
    <w:p>
      <w:pPr>
        <w:spacing w:after="140" w:line="300"/>
        <w:jc w:val="both"/>
      </w:pPr>
      <w:r>
        <w:rPr>
          <w:rFonts w:ascii="Cambria" w:cs="Cambria" w:eastAsia="Cambria" w:hAnsi="Cambria"/>
          <w:color w:val="000000"/>
          <w:sz w:val="24"/>
          <w:szCs w:val="24"/>
        </w:rPr>
        <w:t xml:space="preserve">8. EC8: Full text unobtainable after reasonable attempts.</w:t>
      </w:r>
    </w:p>
    <w:p>
      <w:pPr>
        <w:spacing w:after="140" w:line="300"/>
        <w:jc w:val="both"/>
      </w:pPr>
      <w:r>
        <w:rPr>
          <w:rFonts w:ascii="Cambria" w:cs="Cambria" w:eastAsia="Cambria" w:hAnsi="Cambria"/>
          <w:color w:val="000000"/>
          <w:sz w:val="24"/>
          <w:szCs w:val="24"/>
        </w:rPr>
        <w:t xml:space="preserve">9. EC9: Superficial mention of healthcare or consent; no evidence for SLR questions.</w:t>
      </w:r>
    </w:p>
    <w:p>
      <w:pPr>
        <w:spacing w:after="140" w:line="300"/>
        <w:jc w:val="both"/>
      </w:pPr>
      <w:r>
        <w:rPr>
          <w:rFonts w:ascii="Cambria" w:cs="Cambria" w:eastAsia="Cambria" w:hAnsi="Cambria"/>
          <w:color w:val="000000"/>
          <w:sz w:val="24"/>
          <w:szCs w:val="24"/>
        </w:rPr>
        <w:t xml:space="preserve">Two rules governed the application of these criteria. First, a study was never excluded because it does not support the proposed research gap. The criteria concern relevance, document type and availability only. A study whose findings contradict or weaken the gap was therefore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00"/>
          <w:sz w:val="24"/>
          <w:szCs w:val="24"/>
        </w:rPr>
        <w:t xml:space="preserve">2.3.6  Screening and Study Selection</w:t>
      </w:r>
    </w:p>
    <w:p>
      <w:pPr>
        <w:spacing w:after="140" w:line="300"/>
        <w:jc w:val="both"/>
      </w:pPr>
      <w:r>
        <w:rPr>
          <w:rFonts w:ascii="Cambria" w:cs="Cambria" w:eastAsia="Cambria" w:hAnsi="Cambria"/>
          <w:color w:val="000000"/>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00"/>
          <w:sz w:val="24"/>
          <w:szCs w:val="24"/>
        </w:rPr>
        <w:t xml:space="preserve">In the identification stage, the seven database searches returned 9,256 records (IEEE Xplore 1,806; SpringerLink 2,895; ProQuest 1,180; ScienceDirect 65; Scopus 2,133; Web of Science 1,137; ACM Digital Library 40). It should be noted that this raw yield reflects the breadth of the master query and the indexing mode of the databases rather than the size of the relevant literature. The two full-record searches, SpringerLink and IEEE Xplore, account for 4,701 of the 9,256 records, whereas the four field-restricted searches on title, abstract and keywords (Scopus, Web of Science, ScienceDirect and ACM Digital Library) returned 3,375 between them. The protocol accepted this over-retrieval deliberately, since a broad query was preferred to a query tuned to the sentinel papers, and the screening stages reduce the set to 1,800 full texts and 25 included studies.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000000"/>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00"/>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00"/>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00"/>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w:t>
      </w:r>
      <w:r>
        <w:rPr>
          <w:rFonts w:ascii="Cambria" w:cs="Cambria" w:eastAsia="Cambria" w:hAnsi="Cambria"/>
          <w:color w:val="000000"/>
          <w:sz w:val="24"/>
          <w:szCs w:val="24"/>
        </w:rPr>
        <w:t xml:space="preserve">The remaining 588 records, 575 of them from SpringerLink, could not be screened at this stage because the SpringerLink export does not contain abstracts. These records were marked as pending and were not advanced. They are reported as pending in the flow diagram rather than being counted as screened or excluded.</w:t>
      </w:r>
      <w:r>
        <w:rPr>
          <w:rFonts w:ascii="Cambria" w:cs="Cambria" w:eastAsia="Cambria" w:hAnsi="Cambria"/>
          <w:color w:val="000000"/>
          <w:sz w:val="24"/>
          <w:szCs w:val="24"/>
        </w:rPr>
        <w:t xml:space="preserve"> Therefore, 1,800 records advanced to full-text retrieval.</w:t>
      </w:r>
    </w:p>
    <w:p>
      <w:pPr>
        <w:spacing w:after="140" w:line="300"/>
        <w:jc w:val="both"/>
      </w:pPr>
      <w:r>
        <w:rPr>
          <w:rFonts w:ascii="Cambria" w:cs="Cambria" w:eastAsia="Cambria" w:hAnsi="Cambria"/>
          <w:color w:val="000000"/>
          <w:sz w:val="24"/>
          <w:szCs w:val="24"/>
        </w:rPr>
        <w:t xml:space="preserve">The full-text pool of 1,800 records was too large to be read exhaustively within the study period. It was therefore prioritised by signal detectors applied to the title and abstract of each record. The detectors covered the seven trust dimensions T1 to T7, the consent-core terms, formal-verification terms and evaluation terms.</w:t>
      </w:r>
      <w:r>
        <w:rPr>
          <w:rFonts w:ascii="Cambria" w:cs="Cambria" w:eastAsia="Cambria" w:hAnsi="Cambria"/>
          <w:color w:val="000000"/>
          <w:sz w:val="24"/>
          <w:szCs w:val="24"/>
        </w:rPr>
        <w:t xml:space="preserve">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w:t>
      </w:r>
      <w:r>
        <w:rPr>
          <w:rFonts w:ascii="Cambria" w:cs="Cambria" w:eastAsia="Cambria" w:hAnsi="Cambria"/>
          <w:color w:val="000000"/>
          <w:sz w:val="24"/>
          <w:szCs w:val="24"/>
        </w:rPr>
        <w:t xml:space="preserve">All 39 Tier A records were processed at full text, 38 of which were assessed, while one could not be retrieved, as reported below.</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Tier B and Tier C records were then read in a targeted order under a dimension-level saturation rule. Under this rule, saturation of a dimension is declared when eight consecutively coded studies that carry a positive signal for that dimension yield no new mechanism class for it. Saturation is declared for each dimension separately and never for the corpus as a whole.</w:t>
      </w:r>
      <w:r>
        <w:rPr>
          <w:rFonts w:ascii="Cambria" w:cs="Cambria" w:eastAsia="Cambria" w:hAnsi="Cambria"/>
          <w:color w:val="000000"/>
          <w:sz w:val="24"/>
          <w:szCs w:val="24"/>
        </w:rPr>
        <w:t xml:space="preserv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00"/>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00"/>
          <w:sz w:val="24"/>
          <w:szCs w:val="24"/>
        </w:rPr>
        <w:t xml:space="preserve">At the checkpoint, one full text could not be retrieved after five documented retrieval routes (EC8), and 64 full texts had been assessed for eligibility. </w:t>
      </w:r>
      <w:r>
        <w:rPr>
          <w:rFonts w:ascii="Cambria" w:cs="Cambria" w:eastAsia="Cambria" w:hAnsi="Cambria"/>
          <w:color w:val="000000"/>
          <w:sz w:val="24"/>
          <w:szCs w:val="24"/>
        </w:rPr>
        <w:t xml:space="preserve">Of these, 17 were excluded with reasons. Nine were excluded under EC9 for superficial healthcare or consent relevance, and several of these studies treated consent only as a clinical procedure or a machine-learning metric. The other eight were excluded under EC1 (outside healthcare, three), EC5 (non-peer-reviewed items, two), EC2 (no authorisation relevance, two) and EC4 (identity authentication only, one).</w:t>
      </w:r>
      <w:r>
        <w:rPr>
          <w:rFonts w:ascii="Cambria" w:cs="Cambria" w:eastAsia="Cambria" w:hAnsi="Cambria"/>
          <w:color w:val="000000"/>
          <w:sz w:val="24"/>
          <w:szCs w:val="24"/>
        </w:rPr>
        <w:t xml:space="preserve"> Three studies were classified as secondary reviews under EC7 and retained for background [79, 80, 81]. </w:t>
      </w:r>
      <w:r>
        <w:rPr>
          <w:rFonts w:ascii="Cambria" w:cs="Cambria" w:eastAsia="Cambria" w:hAnsi="Cambria"/>
          <w:color w:val="000000"/>
          <w:sz w:val="24"/>
          <w:szCs w:val="24"/>
        </w:rPr>
        <w:t xml:space="preserve">The remaining 44 reports were coded in full. Of these, 23 are classified as core studies and 21 as supporting studies under the synthesis rule described in Section 2.3.7.</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Every one of the 44 reports also passed the quality gate</w:t>
      </w:r>
      <w:r>
        <w:rPr>
          <w:rFonts w:ascii="Cambria" w:cs="Cambria" w:eastAsia="Cambria" w:hAnsi="Cambria"/>
          <w:color w:val="000000"/>
          <w:sz w:val="24"/>
          <w:szCs w:val="24"/>
        </w:rPr>
        <w:t xml:space="preserve"> described in Section 2.3.7, and the studies that fell exactly on the boundary of the gate were retained and tested in a sensitivity analysis rather than being excluded. </w:t>
      </w:r>
      <w:r>
        <w:rPr>
          <w:rFonts w:ascii="Cambria" w:cs="Cambria" w:eastAsia="Cambria" w:hAnsi="Cambria"/>
          <w:color w:val="000000"/>
          <w:sz w:val="24"/>
          <w:szCs w:val="24"/>
        </w:rPr>
        <w:t xml:space="preserve">The 23 core studies, together with the two highest-quality supporting studies, Albalwy et al. [37] and Li et al. [51], each with a quality score of 7.0, form the 25 primary studies included in the review. The remaining 19 supporting studies are retained as supporting references outside the corpus and are cited in the supporting-evidence paragraph of each review stream. This bound was adopted so that the review concentrates on the studies that bear most directly on the research gap, while every retained report remains traceable in the reference list.</w:t>
      </w:r>
    </w:p>
    <w:p>
      <w:pPr>
        <w:spacing w:after="140" w:line="300"/>
        <w:jc w:val="both"/>
      </w:pPr>
      <w:r>
        <w:rPr>
          <w:rFonts w:ascii="Cambria" w:cs="Cambria" w:eastAsia="Cambria" w:hAnsi="Cambria"/>
          <w:color w:val="000000"/>
          <w:sz w:val="24"/>
          <w:szCs w:val="24"/>
        </w:rPr>
        <w:t xml:space="preserve">Figure 2 presents the PRISMA 2020 flow diagram for this review. The diagram summarises the identification, screening, eligibility and inclusion stages described above. It also shows the records identified through the Google Scholar discovery arm, the pending-abstract records that were not advanced, the full text that could not be retrieved, and the reasons for exclusion at the full-text stage. The chain of counts in the diagram is internally consistent. The 9,256 identified records minus the 2,794 cross-database duplicates and the 423 within-source records give the 6,039 titles screened. The 6,039 titles minus the 2,910 title exclusions give the 3,129 records advanced to the abstract stage. The 3,129 records minus the 741 abstract exclusions and the 588 pending records give the 1,800 full texts sought. The 39 Tier A, 1,066 Tier B and 695 Tier C records add up to the same 1,800. The 64 full texts assessed comprise the 25 included primary studies, the 19 supporting references, the three secondary studies and the 17 excluded reports.</w:t>
      </w:r>
    </w:p>
    <w:p>
      <w:pPr>
        <w:keepNext/>
        <w:spacing w:after="60" w:before="140"/>
        <w:jc w:val="center"/>
      </w:pPr>
      <w:r>
        <w:drawing>
          <wp:inline distT="0" distB="0" distL="0" distR="0">
            <wp:extent cx="5715000" cy="5324475"/>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324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pStyle w:val="Heading3"/>
        <w:spacing w:after="160" w:before="280"/>
      </w:pPr>
      <w:r>
        <w:rPr>
          <w:rFonts w:ascii="Cambria" w:cs="Cambria" w:eastAsia="Cambria" w:hAnsi="Cambria"/>
          <w:color w:val="000000"/>
          <w:sz w:val="24"/>
          <w:szCs w:val="24"/>
        </w:rPr>
        <w:t xml:space="preserve">2.3.7  Data Extraction, Quality Assessment and Synthesis</w:t>
      </w:r>
    </w:p>
    <w:p>
      <w:pPr>
        <w:spacing w:after="140" w:line="300"/>
        <w:jc w:val="both"/>
      </w:pPr>
      <w:r>
        <w:rPr>
          <w:rFonts w:ascii="Cambria" w:cs="Cambria" w:eastAsia="Cambria" w:hAnsi="Cambria"/>
          <w:color w:val="000000"/>
          <w:sz w:val="24"/>
          <w:szCs w:val="24"/>
        </w:rPr>
        <w:t xml:space="preserve">The included studies were analysed using a predefined data extraction form that was implemented as the screening register of the workbook. </w:t>
      </w:r>
      <w:r>
        <w:rPr>
          <w:rFonts w:ascii="Cambria" w:cs="Cambria" w:eastAsia="Cambria" w:hAnsi="Cambria"/>
          <w:color w:val="000000"/>
          <w:sz w:val="24"/>
          <w:szCs w:val="24"/>
        </w:rPr>
        <w:t xml:space="preserve">For every study, the extracted information included the bibliographic record, the document type, and the coding of the seven trust dimensions and the seven requirements defined below. It also included the page reference and evidence note on which each positive coding rests. The technology flags were blockchain, decentralised identifier, verifiable credential, threshold mechanism, policy model, revocation mechanism, formal method, prototype and dataset. In addition, the eight quality assessment items, the evidence tier, the gap-impact verdict, the reviewer and any recorded dissent were extracted.</w:t>
      </w:r>
      <w:r>
        <w:rPr>
          <w:rFonts w:ascii="Cambria" w:cs="Cambria" w:eastAsia="Cambria" w:hAnsi="Cambria"/>
          <w:color w:val="000000"/>
          <w:sz w:val="24"/>
          <w:szCs w:val="24"/>
        </w:rPr>
        <w:t xml:space="preserve">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00"/>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w:t>
      </w:r>
      <w:r>
        <w:rPr>
          <w:rFonts w:ascii="Cambria" w:cs="Cambria" w:eastAsia="Cambria" w:hAnsi="Cambria"/>
          <w:color w:val="000000"/>
          <w:sz w:val="24"/>
          <w:szCs w:val="24"/>
        </w:rPr>
        <w:t xml:space="preserve">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w:t>
      </w:r>
      <w:r>
        <w:rPr>
          <w:rFonts w:ascii="Cambria" w:cs="Cambria" w:eastAsia="Cambria" w:hAnsi="Cambria"/>
          <w:color w:val="000000"/>
          <w:sz w:val="24"/>
          <w:szCs w:val="24"/>
        </w:rPr>
        <w:t xml:space="preserve">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00"/>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t>
      </w:r>
      <w:r>
        <w:rPr>
          <w:rFonts w:ascii="Cambria" w:cs="Cambria" w:eastAsia="Cambria" w:hAnsi="Cambria"/>
          <w:color w:val="000000"/>
          <w:sz w:val="24"/>
          <w:szCs w:val="24"/>
        </w:rPr>
        <w:t xml:space="preserve">with Partial awarded for a threat discussion only. The statement that a system is secure is not evidence.</w:t>
      </w:r>
      <w:r>
        <w:rPr>
          <w:rFonts w:ascii="Cambria" w:cs="Cambria" w:eastAsia="Cambria" w:hAnsi="Cambria"/>
          <w:color w:val="000000"/>
          <w:sz w:val="24"/>
          <w:szCs w:val="24"/>
        </w:rPr>
        <w:t xml:space="preserv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000000"/>
          <w:sz w:val="24"/>
          <w:szCs w:val="24"/>
        </w:rPr>
        <w:t xml:space="preserve">Each study that passed the relevance criteria at the full-text stage was additionally evaluated against eight quality assessment items</w:t>
      </w:r>
      <w:r>
        <w:rPr>
          <w:rFonts w:ascii="Cambria" w:cs="Cambria" w:eastAsia="Cambria" w:hAnsi="Cambria"/>
          <w:color w:val="000000"/>
          <w:sz w:val="24"/>
          <w:szCs w:val="24"/>
        </w:rPr>
        <w:t xml:space="preserve"> scored 1 for Yes, 0.5 for Partial and 0 for No. </w:t>
      </w:r>
      <w:r>
        <w:rPr>
          <w:rFonts w:ascii="Cambria" w:cs="Cambria" w:eastAsia="Cambria" w:hAnsi="Cambria"/>
          <w:color w:val="000000"/>
          <w:sz w:val="24"/>
          <w:szCs w:val="24"/>
        </w:rPr>
        <w:t xml:space="preserve">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QA4 asks whether the proposed methodology is validated by a proof of concept or an implementation.</w:t>
      </w:r>
      <w:r>
        <w:rPr>
          <w:rFonts w:ascii="Cambria" w:cs="Cambria" w:eastAsia="Cambria" w:hAnsi="Cambria"/>
          <w:color w:val="000000"/>
          <w:sz w:val="24"/>
          <w:szCs w:val="24"/>
        </w:rPr>
        <w:t xml:space="preserve"> A study was included when the sum of QA1 to QA4 was at least 3.0. </w:t>
      </w:r>
      <w:r>
        <w:rPr>
          <w:rFonts w:ascii="Cambria" w:cs="Cambria" w:eastAsia="Cambria" w:hAnsi="Cambria"/>
          <w:color w:val="000000"/>
          <w:sz w:val="24"/>
          <w:szCs w:val="24"/>
        </w:rPr>
        <w:t xml:space="preserve">The remaining four items, QA5 to QA8, do not affect inclusion but inform the evidence tier assigned to each study. Evidence Tier A denotes strong direct evidence, and evidence Tier B denotes direct evidence with limitations. Evidence Tier C denotes a supporting mechanism, and Background is assigned to the secondary studies.</w:t>
      </w:r>
      <w:r>
        <w:rPr>
          <w:rFonts w:ascii="Cambria" w:cs="Cambria" w:eastAsia="Cambria" w:hAnsi="Cambria"/>
          <w:color w:val="000000"/>
          <w:sz w:val="24"/>
          <w:szCs w:val="24"/>
        </w:rPr>
        <w:t xml:space="preserve"> It should be noted that these evidence tiers are distinct from the full-text priority tiers of Section 2.3.6, which use the same letters but rank records for reading order only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a low quality score was never treated as evidence for or against the research gap. Studies with low scores were retained, and their influence was tested in a sensitivity analysis.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Quality items were scored for every included study and for exclusions in which the relevance gate corroborated the decision. They were not scored for studies excluded as outside healthcare (EC1) or on document type, duplication, secondary status or unavailability (EC5 to EC8). These criteria precede quality assessment in the protocol.</w:t>
      </w:r>
    </w:p>
    <w:p>
      <w:pPr>
        <w:spacing w:after="140" w:line="300"/>
        <w:jc w:val="both"/>
      </w:pPr>
      <w:r>
        <w:rPr>
          <w:rFonts w:ascii="Cambria" w:cs="Cambria" w:eastAsia="Cambria" w:hAnsi="Cambria"/>
          <w:color w:val="000000"/>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44 eligible reports were divided into core and supporting studies. The distinction was adopted at decision D-164 and tightened at decision D-166 to the following rule: a study is a core study if, and only if, its gap-impact verdict is contradicts, weakens or narrows, or its T3 coding is Yes or Partial. Under this rule, 23 of the 44 eligible reports are core studies and 21 are supporting studies. The 23 core studies and the two supporting studies with the highest quality score, Albalwy et al. [37] and Li et al. [51], are the 25 primary studies included in the review, and they carry the argument of Sections 2.4 and 2.5. The other 19 supporting studies are retained as supporting references, and they are cited only as corroboration in Section 2.4.</w:t>
      </w:r>
    </w:p>
    <w:p>
      <w:pPr>
        <w:spacing w:after="140" w:line="300"/>
        <w:jc w:val="both"/>
      </w:pPr>
      <w:r>
        <w:rPr>
          <w:rFonts w:ascii="Cambria" w:cs="Cambria" w:eastAsia="Cambria" w:hAnsi="Cambria"/>
          <w:color w:val="000000"/>
          <w:sz w:val="24"/>
          <w:szCs w:val="24"/>
        </w:rPr>
        <w:t xml:space="preserve">Coding and synthesis followed the six-role review procedure described in Section 2.3.1.</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each full text, the panel executed a fixed review template. The first member verified the completeness of the full text and the bibliographic identity of the record and applied the eligibility and quality gates. The second member coded consent representation and trust modelling, and the third member coded identity, authority and multi-party authorisation. The fourth member coded policy, temporal and lifecycle enforcement, and the fifth member coded formal assurance and empirical validation. The chair issued the final decision and the gap-impact verdict.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Where a member disagreed with the final decision, the dissent was recorded in the register against the study together with the reason. The chair's decision stood subject to the author's ratification. A dissent was never removed from the log, so that the boundary cases remain visible in the sensitivity analysis.</w:t>
      </w:r>
      <w:r>
        <w:rPr>
          <w:rFonts w:ascii="Cambria" w:cs="Cambria" w:eastAsia="Cambria" w:hAnsi="Cambria"/>
          <w:color w:val="000000"/>
          <w:sz w:val="24"/>
          <w:szCs w:val="24"/>
        </w:rPr>
        <w:t xml:space="preserve">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00"/>
          <w:sz w:val="24"/>
          <w:szCs w:val="24"/>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25 included studies was analysed</w:t>
      </w:r>
      <w:r>
        <w:rPr>
          <w:rFonts w:ascii="Cambria" w:cs="Cambria" w:eastAsia="Cambria" w:hAnsi="Cambria"/>
          <w:color w:val="000000"/>
          <w:sz w:val="24"/>
          <w:szCs w:val="24"/>
        </w:rPr>
        <w:t xml:space="preserve">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w:t>
      </w:r>
      <w:r>
        <w:rPr>
          <w:rFonts w:ascii="Cambria" w:cs="Cambria" w:eastAsia="Cambria" w:hAnsi="Cambria"/>
          <w:color w:val="000000"/>
          <w:sz w:val="24"/>
          <w:szCs w:val="24"/>
        </w:rPr>
        <w:t xml:space="preserve">A study was placed in the stream of the requirement on which it is coded most strongly, even though most studies touch on more than one requirement</w:t>
      </w:r>
      <w:r>
        <w:rPr>
          <w:rFonts w:ascii="Cambria" w:cs="Cambria" w:eastAsia="Cambria" w:hAnsi="Cambria"/>
          <w:color w:val="000000"/>
          <w:sz w:val="24"/>
          <w:szCs w:val="24"/>
        </w:rPr>
        <w:t xml:space="preserve">, and the extent to which each study addresses every requirement is recorded in the study tables of Section 2.4. </w:t>
      </w:r>
      <w:r>
        <w:rPr>
          <w:rFonts w:ascii="Cambria" w:cs="Cambria" w:eastAsia="Cambria" w:hAnsi="Cambria"/>
          <w:color w:val="000000"/>
          <w:sz w:val="24"/>
          <w:szCs w:val="24"/>
        </w:rPr>
        <w:t xml:space="preserve">The studies are listed in Table 2 in the order of their labels S1 to S25, together with their reference numbers.</w:t>
      </w:r>
      <w:r>
        <w:rPr>
          <w:rFonts w:ascii="Cambria" w:cs="Cambria" w:eastAsia="Cambria" w:hAnsi="Cambria"/>
          <w:color w:val="000000"/>
          <w:sz w:val="24"/>
          <w:szCs w:val="24"/>
        </w:rPr>
        <w:t xml:space="preserve"> The studies in each stream are reviewed in the next section, and their issues and limitations with respect to the key requirements defined in Section 2.2 are discussed.</w:t>
      </w:r>
    </w:p>
    <w:p>
      <w:pPr>
        <w:spacing w:after="140" w:line="300"/>
        <w:jc w:val="both"/>
      </w:pPr>
      <w:r>
        <w:rPr>
          <w:rFonts w:ascii="Cambria" w:cs="Cambria" w:eastAsia="Cambria" w:hAnsi="Cambria"/>
          <w:color w:val="000000"/>
          <w:sz w:val="24"/>
          <w:szCs w:val="24"/>
        </w:rPr>
        <w:t xml:space="preserve">Figure 3 profiles the 25 included studies by publication year and by review stream.</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50"/>
        <w:gridCol w:w="620"/>
        <w:gridCol w:w="3970"/>
        <w:gridCol w:w="20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97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20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bl>
    <w:p>
      <w:pPr>
        <w:spacing w:after="180"/>
      </w:pPr>
    </w:p>
    <w:p>
      <w:pPr>
        <w:keepNext/>
        <w:spacing w:after="60" w:before="140"/>
        <w:jc w:val="center"/>
      </w:pPr>
      <w:r>
        <w:drawing>
          <wp:inline distT="0" distB="0" distL="0" distR="0">
            <wp:extent cx="5715000" cy="1943100"/>
            <wp:effectExtent t="0" r="0" b="0" l="0"/>
            <wp:docPr id="1" name="gfig2a.png" descr="Figure 3: Profile of the 25 included primary studies: distribution by publication year and by review stream. Each study is assigned to the stream of its strongest coded requirement." title="Figure 3: Profile of the 25 included primary studies: distribution by publication year and by review stream.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25 included primary studies: distribution by publication year and by review stream. Each study is assigned to the stream of its strongest coded requirement.</w:t>
      </w:r>
    </w:p>
    <w:p>
      <w:pPr>
        <w:pStyle w:val="Heading2"/>
        <w:spacing w:after="160" w:before="280"/>
      </w:pPr>
      <w:r>
        <w:rPr>
          <w:rFonts w:ascii="Cambria" w:cs="Cambria" w:eastAsia="Cambria" w:hAnsi="Cambria"/>
          <w:color w:val="000000"/>
          <w:sz w:val="24"/>
          <w:szCs w:val="24"/>
        </w:rPr>
        <w:t xml:space="preserve">2.4  Review</w:t>
      </w:r>
    </w:p>
    <w:p>
      <w:pPr>
        <w:spacing w:after="140" w:line="300"/>
        <w:jc w:val="both"/>
      </w:pPr>
      <w:r>
        <w:rPr>
          <w:rFonts w:ascii="Cambria" w:cs="Cambria" w:eastAsia="Cambria" w:hAnsi="Cambria"/>
          <w:color w:val="000000"/>
          <w:sz w:val="24"/>
          <w:szCs w:val="24"/>
        </w:rPr>
        <w:t xml:space="preserve">This section reviews the 25 primary studies that were included in Section 2.3.8. The review is organised by the six key requirements of Section 2.2, so that Sections 2.4.1 to 2.4.6 correspond to Req 1 to Req 6 respectively. It should be noted how the 25 studies were selected from the 44 reports that passed the full-text screen. Following the synthesis rule ratified by the coding panel (D-166), 23 reports were classified as core and the remaining 21 as supporting. A study was classified as core when its full-text evidence contradicts, weakens or narrows the research gap. A study was also classified as core when it involves more than one authorising party (T3 graded Yes or Partial). The review corpus therefore consists of the 23 core studies together with the two supporting studies with the highest quality-assessment score, Albalwy et al. [37] and Li et al. [51], each scored 7.0 of 8. The other 19 supporting reports are retained as supporting references. They are cited only in a short closing paragraph of the stream to which they were assigned, which states in general terms what they corroborate, and they do not appear in Table 2 or in the study tables. Each subsection reviews the included studies that were assigned to that stream and states their issues and limitations with respect to the requirement in question. Each subsection ends with a table that summarises the included studies and records their commitment to all six requirements. In the tables,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included studies only. In addition, a small number of studies outside the healthcare consent domain, concerning archival record-keeping [8], attested sensing with blockchain coordination [17], ledger immutability [18], attested execution environments [23] and decentralised decision-making [29], were consulted as background and are not part of the review corpus.</w:t>
      </w:r>
    </w:p>
    <w:p>
      <w:pPr>
        <w:spacing w:after="140" w:line="300"/>
        <w:jc w:val="both"/>
      </w:pPr>
      <w:r>
        <w:rPr>
          <w:rFonts w:ascii="Cambria" w:cs="Cambria" w:eastAsia="Cambria" w:hAnsi="Cambria"/>
          <w:color w:val="000000"/>
          <w:sz w:val="24"/>
          <w:szCs w:val="24"/>
        </w:rPr>
        <w:t xml:space="preserve">Figure 4 shows the correspondence between the seven review questions of Section 2.3.2 and the sections of this review in which each of them is answered.</w:t>
      </w:r>
    </w:p>
    <w:p>
      <w:pPr>
        <w:keepNext/>
        <w:spacing w:after="60" w:before="140"/>
        <w:jc w:val="center"/>
      </w:pPr>
      <w:r>
        <w:drawing>
          <wp:inline distT="0" distB="0" distL="0" distR="0">
            <wp:extent cx="5715000" cy="4391025"/>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91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00"/>
          <w:sz w:val="24"/>
          <w:szCs w:val="24"/>
        </w:rPr>
        <w:t xml:space="preserve">2.4.1  Consent Representation and Blockchain-Based Consent Governance</w:t>
      </w:r>
    </w:p>
    <w:p>
      <w:pPr>
        <w:spacing w:after="140" w:line="300"/>
        <w:jc w:val="both"/>
      </w:pPr>
      <w:r>
        <w:rPr>
          <w:rFonts w:ascii="Cambria" w:cs="Cambria" w:eastAsia="Cambria" w:hAnsi="Cambria"/>
          <w:color w:val="000000"/>
          <w:sz w:val="24"/>
          <w:szCs w:val="24"/>
        </w:rPr>
        <w:t xml:space="preserve">This section reviews the two included studies whose main contribution is the representation and governance of patient consent. Both are deployed platforms rather than research prototypes. The ten supporting references assigned to this stream, most of which govern consent on a blockchain, are cited at the end of the section.</w:t>
      </w:r>
      <w:r>
        <w:rPr>
          <w:rFonts w:ascii="Cambria" w:cs="Cambria" w:eastAsia="Cambria" w:hAnsi="Cambria"/>
          <w:color w:val="000000"/>
          <w:sz w:val="24"/>
          <w:szCs w:val="24"/>
        </w:rPr>
        <w:t xml:space="preserve">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w:t>
      </w:r>
      <w:r>
        <w:rPr>
          <w:rFonts w:ascii="Cambria" w:cs="Cambria" w:eastAsia="Cambria" w:hAnsi="Cambria"/>
          <w:color w:val="000000"/>
          <w:sz w:val="24"/>
          <w:szCs w:val="24"/>
        </w:rPr>
        <w:t xml:space="preserve">The full-text coding shows that both included studies of this stream, and all ten supporting references assigned to it, were graded Partial on Req 1 and that none was graded Yes.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this context, three situations recur across the stream. In the first, consent is represented but absent from the decision. In the second, consent is present in the decision but reduced to a boolean flag. In the third, consent is held in a registry whose status is displayed or queried but never enforced.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two included studies illustrate</w:t>
      </w:r>
      <w:r>
        <w:rPr>
          <w:rFonts w:ascii="Cambria" w:cs="Cambria" w:eastAsia="Cambria" w:hAnsi="Cambria"/>
          <w:color w:val="000000"/>
          <w:sz w:val="24"/>
          <w:szCs w:val="24"/>
        </w:rPr>
        <w:t xml:space="preserve"> the first and the third of these situations in production settings.</w:t>
      </w:r>
    </w:p>
    <w:p>
      <w:pPr>
        <w:spacing w:after="140" w:line="300"/>
        <w:jc w:val="both"/>
      </w:pPr>
      <w:r>
        <w:rPr>
          <w:rFonts w:ascii="Cambria" w:cs="Cambria" w:eastAsia="Cambria" w:hAnsi="Cambria"/>
          <w:color w:val="000000"/>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00"/>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w:t>
      </w:r>
      <w:r>
        <w:rPr>
          <w:rFonts w:ascii="Cambria" w:cs="Cambria" w:eastAsia="Cambria" w:hAnsi="Cambria"/>
          <w:color w:val="000000"/>
          <w:sz w:val="24"/>
          <w:szCs w:val="24"/>
        </w:rPr>
        <w:t xml:space="preserve">The consent object is the richest in this stream. However, the paper specifies no check semantics, no term list and no allow or deny protocol. Therefore, the way in which a directive is evaluated at the time of a request cannot be established from the publication.</w:t>
      </w:r>
      <w:r>
        <w:rPr>
          <w:rFonts w:ascii="Cambria" w:cs="Cambria" w:eastAsia="Cambria" w:hAnsi="Cambria"/>
          <w:color w:val="000000"/>
          <w:sz w:val="24"/>
          <w:szCs w:val="24"/>
        </w:rPr>
        <w:t xml:space="preserve">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000000"/>
          <w:sz w:val="24"/>
          <w:szCs w:val="24"/>
        </w:rPr>
        <w:t xml:space="preserve">The two included studies show that the representation of consent and the evaluation of consent have been developed separately, even in production systems. In both studies the consent object is comparatively rich. In iAgree [67] it is a preference matrix of data category by recipient type, and in Mainzelliste [72] it is a set of FHIR consent directives scoped by use type. However, neither paper specifies the semantics by which an access decision evaluates that object. Enforcement is out of scope in the first study and unspecified in the second. In addition, neither study verifies its own authorisation decisions.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not found in this stream. They are found in the on-chain consent object of Phuyal et al. [58] in Section 2.4.2 and in the patient-driven policy of Al Amin et al. [38] in Section 2.4.3. Therefore, Req 1 is partially addressed in this stream. However, consent as an object that is evaluated on every request against identity, authority, purpose, scope, time and jurisdiction is not provided by either of the reviewed consent-governance platforms. Table 3 presents a summary of the included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references. Ten further reports were assigned to this stream and coded, but they are not part of the review corpus</w:t>
      </w:r>
      <w:r>
        <w:rPr>
          <w:rFonts w:ascii="Cambria" w:cs="Cambria" w:eastAsia="Cambria" w:hAnsi="Cambria"/>
          <w:color w:val="000000"/>
          <w:sz w:val="24"/>
          <w:szCs w:val="24"/>
        </w:rPr>
        <w:t xml:space="preserve"> [36], [39], [41], [42], [60], [65], [68], [70], [74], [78]. </w:t>
      </w:r>
      <w:r>
        <w:rPr>
          <w:rFonts w:ascii="Cambria" w:cs="Cambria" w:eastAsia="Cambria" w:hAnsi="Cambria"/>
          <w:color w:val="000000"/>
          <w:sz w:val="24"/>
          <w:szCs w:val="24"/>
        </w:rPr>
        <w:t xml:space="preserve">They corroborate the pattern described above.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The two conceptual designs [39], [41] remain unimplemented.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All ten supporting references were graded Partial</w:t>
      </w:r>
      <w:r>
        <w:rPr>
          <w:rFonts w:ascii="Cambria" w:cs="Cambria" w:eastAsia="Cambria" w:hAnsi="Cambria"/>
          <w:color w:val="000000"/>
          <w:sz w:val="24"/>
          <w:szCs w:val="24"/>
        </w:rPr>
        <w:t xml:space="preserve">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2.4.2  Decentralised Identity and Authority Trust</w:t>
      </w:r>
    </w:p>
    <w:p>
      <w:pPr>
        <w:spacing w:after="140" w:line="300"/>
        <w:jc w:val="both"/>
      </w:pPr>
      <w:r>
        <w:rPr>
          <w:rFonts w:ascii="Cambria" w:cs="Cambria" w:eastAsia="Cambria" w:hAnsi="Cambria"/>
          <w:color w:val="000000"/>
          <w:sz w:val="24"/>
          <w:szCs w:val="24"/>
        </w:rPr>
        <w:t xml:space="preserve">This section reviews the three included studies whose main contribution is the decentralised verification of the participants in a consent decision. The two supporting references assigned to this stream are cited at the end of the section.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Req 2 requires that the patient, the guardians, the healthcare professional and the institution can be identified without a single central identity provider. It also requires that establishing who a participant is (identity) is treated separately from establishing what that participant may do (authority). Each of the two is supported by its own evidence.</w:t>
      </w:r>
      <w:r>
        <w:rPr>
          <w:rFonts w:ascii="Cambria" w:cs="Cambria" w:eastAsia="Cambria" w:hAnsi="Cambria"/>
          <w:color w:val="000000"/>
          <w:sz w:val="24"/>
          <w:szCs w:val="24"/>
        </w:rPr>
        <w:t xml:space="preserv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w:t>
      </w:r>
      <w:r>
        <w:rPr>
          <w:rFonts w:ascii="Cambria" w:cs="Cambria" w:eastAsia="Cambria" w:hAnsi="Cambria"/>
          <w:color w:val="000000"/>
          <w:sz w:val="24"/>
          <w:szCs w:val="24"/>
        </w:rPr>
        <w:t xml:space="preserve">Across the 25 included studies, T2 was graded Yes in only 10 studies and Partial in 15. That is, in three fifths of the corpus, authority over a particular patient's data is not established directly. A verified identity, a platform role or an administratively assigned attribute stands in for it instead.</w:t>
      </w:r>
    </w:p>
    <w:p>
      <w:pPr>
        <w:spacing w:after="140" w:line="300"/>
        <w:jc w:val="both"/>
      </w:pPr>
      <w:r>
        <w:rPr>
          <w:rFonts w:ascii="Cambria" w:cs="Cambria" w:eastAsia="Cambria" w:hAnsi="Cambria"/>
          <w:color w:val="000000"/>
          <w:sz w:val="24"/>
          <w:szCs w:val="24"/>
        </w:rPr>
        <w:t xml:space="preserve">Phuyal et al. </w:t>
      </w:r>
      <w:r>
        <w:rPr>
          <w:rFonts w:ascii="Cambria" w:cs="Cambria" w:eastAsia="Cambria" w:hAnsi="Cambria"/>
          <w:color w:val="000000"/>
          <w:sz w:val="24"/>
          <w:szCs w:val="24"/>
        </w:rPr>
        <w:t xml:space="preserve">[58] present the most integrated system in the corpus. It is a simulated Norwegian cross-institution exchange in which patients and professionals hold EUDI-compatible wallets with W3C decentralised identifiers and verifiable credentials. Consent is an executable on-chain object on a Hyperledger Besu ledger that carries the patient identifier, the requester identifier, the data scope and an expiry, together with an ACTIVE or REVOKED state. Access proofs are generated with Groth16 circuits.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Identity verification checks the issuer registry, the signature and the credential expiry. With respect to Req 2, a licensing-body credential asserts the professional's role, specialisation and scope of practice, and the system verifies this credential separately from authentication.</w:t>
      </w:r>
      <w:r>
        <w:rPr>
          <w:rFonts w:ascii="Cambria" w:cs="Cambria" w:eastAsia="Cambria" w:hAnsi="Cambria"/>
          <w:color w:val="000000"/>
          <w:sz w:val="24"/>
          <w:szCs w:val="24"/>
        </w:rPr>
        <w:t xml:space="preserve"> This is the strongest Req 2 evidence in the corpus. Revocation is enforced at run time in 1.45 seconds and subsequent access returns an error, and allow and deny cases are tested over 100 runs per workflow. </w:t>
      </w:r>
      <w:r>
        <w:rPr>
          <w:rFonts w:ascii="Cambria" w:cs="Cambria" w:eastAsia="Cambria" w:hAnsi="Cambria"/>
          <w:color w:val="000000"/>
          <w:sz w:val="24"/>
          <w:szCs w:val="24"/>
        </w:rPr>
        <w:t xml:space="preserve">The limitations should also be noted. A single patient grants a bilateral data-sharing agreement, and there is no multi-party approval. The expiry field is stored on the ledger, but the access algorithm checks only the state and the proof. Purpose exists only at the user-interface level. There is no threat model, formal verification or adversarial test.</w:t>
      </w:r>
      <w:r>
        <w:rPr>
          <w:rFonts w:ascii="Cambria" w:cs="Cambria" w:eastAsia="Cambria" w:hAnsi="Cambria"/>
          <w:color w:val="000000"/>
          <w:sz w:val="24"/>
          <w:szCs w:val="24"/>
        </w:rPr>
        <w:t xml:space="preserve"> The companion architecture of Phuyal et al. </w:t>
      </w:r>
      <w:r>
        <w:rPr>
          <w:rFonts w:ascii="Cambria" w:cs="Cambria" w:eastAsia="Cambria" w:hAnsi="Cambria"/>
          <w:color w:val="000000"/>
          <w:sz w:val="24"/>
          <w:szCs w:val="24"/>
        </w:rPr>
        <w:t xml:space="preserve">[59]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In addition, the proxy or guardian delegation mentioned as an option is substitution rather than joint approval.</w:t>
      </w:r>
    </w:p>
    <w:p>
      <w:pPr>
        <w:spacing w:after="140" w:line="300"/>
        <w:jc w:val="both"/>
      </w:pPr>
      <w:r>
        <w:rPr>
          <w:rFonts w:ascii="Cambria" w:cs="Cambria" w:eastAsia="Cambria" w:hAnsi="Cambria"/>
          <w:color w:val="000000"/>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w:t>
      </w:r>
      <w:r>
        <w:rPr>
          <w:rFonts w:ascii="Cambria" w:cs="Cambria" w:eastAsia="Cambria" w:hAnsi="Cambria"/>
          <w:color w:val="000000"/>
          <w:sz w:val="24"/>
          <w:szCs w:val="24"/>
        </w:rPr>
        <w:t xml:space="preserve">Its limitations with respect to the later requirements are as follows. The patient and requester co-signature on a request is bilateral authentication rather than independent approval. Purpose is logged in the transaction record but never evaluated, and scope is at the hospital level. The token expiry enforced at the validator is a session bound rather than a consent validity window, and revocation of the access list does not invalidate tokens already issued. The security discussion is narrative.</w:t>
      </w:r>
    </w:p>
    <w:p>
      <w:pPr>
        <w:spacing w:after="140" w:line="300"/>
        <w:jc w:val="both"/>
      </w:pPr>
      <w:r>
        <w:rPr>
          <w:rFonts w:ascii="Cambria" w:cs="Cambria" w:eastAsia="Cambria" w:hAnsi="Cambria"/>
          <w:color w:val="000000"/>
          <w:sz w:val="24"/>
          <w:szCs w:val="24"/>
        </w:rPr>
        <w:t xml:space="preserve">Identity is the strongest dimension of this stream. T1 is graded Yes in two of the three included studies and Partial in the design-only architecture of Phuyal et al. [59]. Authority verified with its own evidence is found in Phuyal et al. [58], through licensing-body credentials, and in Tseng et al. [73], through authority-issued roles. The remaining eight Yes gradings for T2 among the 25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included study that comes closest to an evaluable consent object, Phuyal et al. [58], is a single-party design and is not formally assured. It is also the only one of the three included studies that verifies allow and deny outcomes. Therefore, the literature provides mature mechanisms for decentralised identity and, increasingly, for credential-based authority. However, it does not yet combine separated identity and authority evidence with multi-party approval, policy evaluation and formal assurance in one decision. Table 4 presents a summary of the included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references. Two further reports were assigned to this stream and coded. They are not part of the review corpus, but they corroborate these findings without altering them [45], [66].</w:t>
      </w:r>
      <w:r>
        <w:rPr>
          <w:rFonts w:ascii="Cambria" w:cs="Cambria" w:eastAsia="Cambria" w:hAnsi="Cambria"/>
          <w:color w:val="000000"/>
          <w:sz w:val="24"/>
          <w:szCs w:val="24"/>
        </w:rPr>
        <w:t xml:space="preserve"> Ferreira et al. </w:t>
      </w:r>
      <w:r>
        <w:rPr>
          <w:rFonts w:ascii="Cambria" w:cs="Cambria" w:eastAsia="Cambria" w:hAnsi="Cambria"/>
          <w:color w:val="000000"/>
          <w:sz w:val="24"/>
          <w:szCs w:val="24"/>
        </w:rPr>
        <w:t xml:space="preserve">[45] design the widest authorisation predicate in the corpus, in which a single call conjoins the subject, the purpose, the scope and the time over the current consent state. Shanmugham and Senthilkumar [66] propose a consent token carrying an identifier, a role, a scope, a validity interval and a three-state lifecycle. This token is the closest single-party structural analogue of the consent object required by the proposed framework.</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both, however, case-specific authority reduces to a credential together with the consent state, and the guardians named in [45] are a key-recovery mechanism rather than co-authorisers. No denial after revocation or expiry is tested, and neither study is formally assured. Consequently, both were graded Partial on Req 2 and No on Req 3.</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2.4.3  Multi-Party Authorisation and Collaborative Consent</w:t>
      </w:r>
    </w:p>
    <w:p>
      <w:pPr>
        <w:spacing w:after="140" w:line="300"/>
        <w:jc w:val="both"/>
      </w:pPr>
      <w:r>
        <w:rPr>
          <w:rFonts w:ascii="Cambria" w:cs="Cambria" w:eastAsia="Cambria" w:hAnsi="Cambria"/>
          <w:color w:val="000000"/>
          <w:sz w:val="24"/>
          <w:szCs w:val="24"/>
        </w:rPr>
        <w:t xml:space="preserve">This section reviews the eight included studies of stream 3</w:t>
      </w:r>
      <w:r>
        <w:rPr>
          <w:rFonts w:ascii="Cambria" w:cs="Cambria" w:eastAsia="Cambria" w:hAnsi="Cambria"/>
          <w:color w:val="000000"/>
          <w:sz w:val="24"/>
          <w:szCs w:val="24"/>
        </w:rPr>
        <w:t xml:space="preserve">, whose main contribution involves the participation of more than one party in a consent or access decision. </w:t>
      </w:r>
      <w:r>
        <w:rPr>
          <w:rFonts w:ascii="Cambria" w:cs="Cambria" w:eastAsia="Cambria" w:hAnsi="Cambria"/>
          <w:color w:val="000000"/>
          <w:sz w:val="24"/>
          <w:szCs w:val="24"/>
        </w:rPr>
        <w:t xml:space="preserve">Req 3 applies where a single party cannot lawfully authorise access on its own. In that case, a predefined number of designated parties must each provide an independently verifiable approval. This threshold condition must be represented within the consent object, and it must be possible for any party to check it at a later time.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background surveys and position papers [1]–[34] reviewed in Section 2.3 give the impression that multi-party joint authorisation of patient data access has not been realised in the literature. The full-text coding of the included studies does not support that impression.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Across the 25 included studies, T3 (at least two distinct independent participants must approve) was graded Yes in 6 studies, Partial in 4 and No in 15,</w:t>
      </w:r>
      <w:r>
        <w:rPr>
          <w:rFonts w:ascii="Cambria" w:cs="Cambria" w:eastAsia="Cambria" w:hAnsi="Cambria"/>
          <w:color w:val="000000"/>
          <w:sz w:val="24"/>
          <w:szCs w:val="24"/>
        </w:rPr>
        <w:t xml:space="preserve"> and the coding panel ratified six distinct mechanism classes of multi-party authorisation. </w:t>
      </w:r>
      <w:r>
        <w:rPr>
          <w:rFonts w:ascii="Cambria" w:cs="Cambria" w:eastAsia="Cambria" w:hAnsi="Cambria"/>
          <w:color w:val="000000"/>
          <w:sz w:val="24"/>
          <w:szCs w:val="24"/>
        </w:rPr>
        <w:t xml:space="preserve">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w:t>
      </w:r>
      <w:r>
        <w:rPr>
          <w:rFonts w:ascii="Cambria" w:cs="Cambria" w:eastAsia="Cambria" w:hAnsi="Cambria"/>
          <w:color w:val="000000"/>
          <w:sz w:val="24"/>
          <w:szCs w:val="24"/>
        </w:rPr>
        <w:t xml:space="preserve">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00"/>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w:t>
      </w:r>
      <w:r>
        <w:rPr>
          <w:rFonts w:ascii="Cambria" w:cs="Cambria" w:eastAsia="Cambria" w:hAnsi="Cambria"/>
          <w:color w:val="000000"/>
          <w:sz w:val="24"/>
          <w:szCs w:val="24"/>
        </w:rPr>
        <w:t xml:space="preserve">However, on the normal path a single patient key authorises access. Joint approval is therefore a fallback that applies only when the principal is absent, and it is not a condition of every decision.</w:t>
      </w:r>
      <w:r>
        <w:rPr>
          <w:rFonts w:ascii="Cambria" w:cs="Cambria" w:eastAsia="Cambria" w:hAnsi="Cambria"/>
          <w:color w:val="000000"/>
          <w:sz w:val="24"/>
          <w:szCs w:val="24"/>
        </w:rPr>
        <w:t xml:space="preserve">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w:t>
      </w:r>
      <w:r>
        <w:rPr>
          <w:rFonts w:ascii="Cambria" w:cs="Cambria" w:eastAsia="Cambria" w:hAnsi="Cambria"/>
          <w:color w:val="000000"/>
          <w:sz w:val="24"/>
          <w:szCs w:val="24"/>
        </w:rPr>
        <w:t xml:space="preserve">[35] present Nexa, a public-blockchain record system in which a Shamir (5, 3) threshold protects each record key. A clinical access combines the requester's own share with two automated oracle shares released on the basis of the current on-chain role. There is therefore a single authorisation locus and no human co-approval, and the patient's share is not required. The institutional multi-signature for bulk access is proposed but outside the prototype.</w:t>
      </w:r>
      <w:r>
        <w:rPr>
          <w:rFonts w:ascii="Cambria" w:cs="Cambria" w:eastAsia="Cambria" w:hAnsi="Cambria"/>
          <w:color w:val="000000"/>
          <w:sz w:val="24"/>
          <w:szCs w:val="24"/>
        </w:rPr>
        <w:t xml:space="preserv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00"/>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t>
      </w:r>
      <w:r>
        <w:rPr>
          <w:rFonts w:ascii="Cambria" w:cs="Cambria" w:eastAsia="Cambria" w:hAnsi="Cambria"/>
          <w:color w:val="000000"/>
          <w:sz w:val="24"/>
          <w:szCs w:val="24"/>
        </w:rPr>
        <w:t xml:space="preserve">The threshold does not apply to all operations in the same way. The admission of a trial record to the ledger requires a majority of investigators and the revocation of a consent requires half of them, whereas the consent grant itself is submitted unilaterally by the patient.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addition, each investigator's vote consists of recomputing and confirming the hash of the message,</w:t>
      </w:r>
      <w:r>
        <w:rPr>
          <w:rFonts w:ascii="Cambria" w:cs="Cambria" w:eastAsia="Cambria" w:hAnsi="Cambria"/>
          <w:color w:val="000000"/>
          <w:sz w:val="24"/>
          <w:szCs w:val="24"/>
        </w:rPr>
        <w:t xml:space="preserve"> so the threshold is a threshold of integrity verifiers rather than of authorisers, and the voters act for the institution rather than for the patient. The third class is institutional custodian approval conjoined with a policy engine. </w:t>
      </w:r>
      <w:r>
        <w:rPr>
          <w:rFonts w:ascii="Cambria" w:cs="Cambria" w:eastAsia="Cambria" w:hAnsi="Cambria"/>
          <w:color w:val="000000"/>
          <w:sz w:val="24"/>
          <w:szCs w:val="24"/>
        </w:rPr>
        <w:t xml:space="preserve">Punia et al. [61] implement MedXBlock, a permissioned Ethereum access-control system. In this system, an M-of-N multi-signature contract over registered doctors and administrators, for example two of three, governs high-sensitivity and cross-departmental requests. An implemented hybrid attribute- and role-based policy engine evaluates a conjunctive grant predicate with deny-by-default over a stateful policy store.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This is the only study among the 25 included studies in which</w:t>
      </w:r>
      <w:r>
        <w:rPr>
          <w:rFonts w:ascii="Cambria" w:cs="Cambria" w:eastAsia="Cambria" w:hAnsi="Cambria"/>
          <w:color w:val="000000"/>
          <w:sz w:val="24"/>
          <w:szCs w:val="24"/>
        </w:rPr>
        <w:t xml:space="preserve"> multi-party approval and an enforced policy predicate co-occur. </w:t>
      </w:r>
      <w:r>
        <w:rPr>
          <w:rFonts w:ascii="Cambria" w:cs="Cambria" w:eastAsia="Cambria" w:hAnsi="Cambria"/>
          <w:color w:val="000000"/>
          <w:sz w:val="24"/>
          <w:szCs w:val="24"/>
        </w:rPr>
        <w:t xml:space="preserve">Even so, the threshold applies only to high-sensitivity and cross-departmental requests, since ordinary access is token-only, and it can be bypassed by a single emergency officer. In addition, it is implemented outside the grant predicate as a separate layer.</w:t>
      </w:r>
      <w:r>
        <w:rPr>
          <w:rFonts w:ascii="Cambria" w:cs="Cambria" w:eastAsia="Cambria" w:hAnsi="Cambria"/>
          <w:color w:val="000000"/>
          <w:sz w:val="24"/>
          <w:szCs w:val="24"/>
        </w:rPr>
        <w:t xml:space="preserve"> The patient enters the predicate as a boolean consent attribute rather than as an authoriser, and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00"/>
          <w:sz w:val="24"/>
          <w:szCs w:val="24"/>
        </w:rPr>
        <w:t xml:space="preserve">The fourth class appoints witnesses. </w:t>
      </w:r>
      <w:r>
        <w:rPr>
          <w:rFonts w:ascii="Cambria" w:cs="Cambria" w:eastAsia="Cambria" w:hAnsi="Cambria"/>
          <w:color w:val="000000"/>
          <w:sz w:val="24"/>
          <w:szCs w:val="24"/>
        </w:rPr>
        <w:t xml:space="preserve">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Without t shares, no key and no plaintext exist.</w:t>
      </w:r>
      <w:r>
        <w:rPr>
          <w:rFonts w:ascii="Cambria" w:cs="Cambria" w:eastAsia="Cambria" w:hAnsi="Cambria"/>
          <w:color w:val="000000"/>
          <w:sz w:val="24"/>
          <w:szCs w:val="24"/>
        </w:rPr>
        <w:t xml:space="preserve"> This is the first threshold in the corpus whose authorisers are appointed by the patient for the patient's own access decision, and expiry is checked at the point of approval. </w:t>
      </w:r>
      <w:r>
        <w:rPr>
          <w:rFonts w:ascii="Cambria" w:cs="Cambria" w:eastAsia="Cambria" w:hAnsi="Cambria"/>
          <w:color w:val="000000"/>
          <w:sz w:val="24"/>
          <w:szCs w:val="24"/>
        </w:rPr>
        <w:t xml:space="preserve">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The security argument is a STRIDE and LINDDUN enumeration with no proof over the authorisation protocol.</w:t>
      </w:r>
      <w:r>
        <w:rPr>
          <w:rFonts w:ascii="Cambria" w:cs="Cambria" w:eastAsia="Cambria" w:hAnsi="Cambria"/>
          <w:color w:val="000000"/>
          <w:sz w:val="24"/>
          <w:szCs w:val="24"/>
        </w:rPr>
        <w:t xml:space="preserve">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00"/>
          <w:sz w:val="24"/>
          <w:szCs w:val="24"/>
        </w:rPr>
        <w:t xml:space="preserve">The sixth class is register-verified guardian co-consent at consent registration, and it is the only class found in deployed systems. Ekholm et al. </w:t>
      </w:r>
      <w:r>
        <w:rPr>
          <w:rFonts w:ascii="Cambria" w:cs="Cambria" w:eastAsia="Cambria" w:hAnsi="Cambria"/>
          <w:color w:val="000000"/>
          <w:sz w:val="24"/>
          <w:szCs w:val="24"/>
        </w:rPr>
        <w:t xml:space="preserve">[43] report the implementation of electronic informed consent in rare disease genomics on a commercial platform used by three genomic medicine centres in Sweden. The consent of a minor is valid only when all legal guardians, one or two, have signed. Guardianship is verified in real time against the national Population Register, and 61 paediatric trio consents were obtained under this rule.</w:t>
      </w:r>
      <w:r>
        <w:rPr>
          <w:rFonts w:ascii="Cambria" w:cs="Cambria" w:eastAsia="Cambria" w:hAnsi="Cambria"/>
          <w:color w:val="000000"/>
          <w:sz w:val="24"/>
          <w:szCs w:val="24"/>
        </w:rPr>
        <w:t xml:space="preserve"> This is a deployed n-of-n guardian condition with authority verified separately from the national electronic identity used for authentication, and it is the cleanest separation of identity and authority in the corpus. </w:t>
      </w:r>
      <w:r>
        <w:rPr>
          <w:rFonts w:ascii="Cambria" w:cs="Cambria" w:eastAsia="Cambria" w:hAnsi="Cambria"/>
          <w:color w:val="000000"/>
          <w:sz w:val="24"/>
          <w:szCs w:val="24"/>
        </w:rPr>
        <w:t xml:space="preserve">However, the condition applies at the registration of consent and not at the access decision. The only decision-time touchpoint is an interface that answers whether a valid consent exists, without purpose, scope or time parameters. The platform is centralised, and the paper provides no formal or authorisation-correctness evidence.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Hagström et al. [47] examine the national patient portals of Sweden and Finland in a retrospective comparative case study. In both portals, guardian proxy access to a minor's record is gated jointly by a healthcare professional's assessment of the minor's capacity and by the minor's own consent, and guardianship is verified against a population register. Age windows are also enforced, and their enforcement is demonstrated by the absence of use within blocked windows and by the consent of 95.8 per cent of capable minors to disclosure.</w:t>
      </w:r>
      <w:r>
        <w:rPr>
          <w:rFonts w:ascii="Cambria" w:cs="Cambria" w:eastAsia="Cambria" w:hAnsi="Cambria"/>
          <w:color w:val="000000"/>
          <w:sz w:val="24"/>
          <w:szCs w:val="24"/>
        </w:rPr>
        <w:t xml:space="preserv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w:t>
      </w:r>
      <w:r>
        <w:rPr>
          <w:rFonts w:ascii="Cambria" w:cs="Cambria" w:eastAsia="Cambria" w:hAnsi="Cambria"/>
          <w:color w:val="000000"/>
          <w:sz w:val="24"/>
          <w:szCs w:val="24"/>
        </w:rPr>
        <w:t xml:space="preserve">The only multi-party element is a two-of-two multi-signature wallet in the experimental harness, in which every member must sign to store a consent. The members are not named, the mechanism gates registration rather than access, and it is absent from the model. No purpose term exists, and the Goerli deployment reports no measured result or allow or deny case.</w:t>
      </w:r>
      <w:r>
        <w:rPr>
          <w:rFonts w:ascii="Cambria" w:cs="Cambria" w:eastAsia="Cambria" w:hAnsi="Cambria"/>
          <w:color w:val="000000"/>
          <w:sz w:val="24"/>
          <w:szCs w:val="24"/>
        </w:rPr>
        <w:t xml:space="preserve"> The panel recorded it as a candidate class only.</w:t>
      </w:r>
    </w:p>
    <w:p>
      <w:pPr>
        <w:spacing w:after="140" w:line="300"/>
        <w:jc w:val="both"/>
      </w:pPr>
      <w:r>
        <w:rPr>
          <w:rFonts w:ascii="Cambria" w:cs="Cambria" w:eastAsia="Cambria" w:hAnsi="Cambria"/>
          <w:color w:val="000000"/>
          <w:sz w:val="24"/>
          <w:szCs w:val="24"/>
        </w:rPr>
        <w:t xml:space="preserve">The position of the literature with respect to Req 3 can therefore be stated precisely. What exists is multi-party authorisation in six forms. The first two are joint approval on a contingency path when the principal is absent [53, 69], and guardian or bilateral co-consent at the time of consent registration [43, 47, 38]. The next two are institution-side thresholds over record admission and consent revocation [75], and custodial M-of-N approval around, but not inside, a policy predicate [61]. The last two are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25 included studies is a threshold predicate over the guardian set G with threshold N that is constitutive of the access decision. Such a predicate would be evaluated on every access request in a decentralised exchange. It would be a conjunct of the same predicate that evaluates the policy conditions of purpose and data scope, the temporal validity and the jurisdiction of the consent object C. It would also be supported by allow and deny correctness evidence and by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except the observational study of Hagström et al. [47], whose Req 6 tick rests on empirical evidence alone. The two T3-positive studies elsewhere that carry a proof [50, 54] prove the threshold gate or confidentiality in isolation. Therefore,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included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2.4.4  Policy- and Context-Aware Access Control</w:t>
      </w:r>
    </w:p>
    <w:p>
      <w:pPr>
        <w:spacing w:after="140" w:line="300"/>
        <w:jc w:val="both"/>
      </w:pPr>
      <w:r>
        <w:rPr>
          <w:rFonts w:ascii="Cambria" w:cs="Cambria" w:eastAsia="Cambria" w:hAnsi="Cambria"/>
          <w:color w:val="000000"/>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w:t>
      </w:r>
      <w:r>
        <w:rPr>
          <w:rFonts w:ascii="Cambria" w:cs="Cambria" w:eastAsia="Cambria" w:hAnsi="Cambria"/>
          <w:color w:val="000000"/>
          <w:sz w:val="24"/>
          <w:szCs w:val="24"/>
        </w:rPr>
        <w:t xml:space="preserve">This section reviews the four included studies of stream 4</w:t>
      </w:r>
      <w:r>
        <w:rPr>
          <w:rFonts w:ascii="Cambria" w:cs="Cambria" w:eastAsia="Cambria" w:hAnsi="Cambria"/>
          <w:color w:val="000000"/>
          <w:sz w:val="24"/>
          <w:szCs w:val="24"/>
        </w:rPr>
        <w:t xml:space="preserve"> against Req 4. </w:t>
      </w:r>
      <w:r>
        <w:rPr>
          <w:rFonts w:ascii="Cambria" w:cs="Cambria" w:eastAsia="Cambria" w:hAnsi="Cambria"/>
          <w:color w:val="000000"/>
          <w:sz w:val="24"/>
          <w:szCs w:val="24"/>
        </w:rPr>
        <w:t xml:space="preserve">The question asked of each study is not whether a policy exists. It is whether purpose, data scope, requester role and contextual constraints influence the decision at the time of access. It is also whether the evaluated policy is bound to the consent object rather than to the requester alone.</w:t>
      </w:r>
      <w:r>
        <w:rPr>
          <w:rFonts w:ascii="Cambria" w:cs="Cambria" w:eastAsia="Cambria" w:hAnsi="Cambria"/>
          <w:color w:val="000000"/>
          <w:sz w:val="24"/>
          <w:szCs w:val="24"/>
        </w:rPr>
        <w:t xml:space="preserv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00"/>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w:t>
      </w:r>
      <w:r>
        <w:rPr>
          <w:rFonts w:ascii="Cambria" w:cs="Cambria" w:eastAsia="Cambria" w:hAnsi="Cambria"/>
          <w:color w:val="000000"/>
          <w:sz w:val="24"/>
          <w:szCs w:val="24"/>
        </w:rPr>
        <w:t xml:space="preserve">However, the consent tuple carries no temporal element. Withdrawal is implemented in chaincode, but its effect on subsequent access is not tested. Identity rests on the Fabric membership service without decentralised identifiers or authority credentials. The prototype on four nodes reports functional targets without quantitative results, attack cases or a formal argument.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Jaiman and Urovi [49] developed a consent model for blockchain-based health data sharing platforms. In this model, the purpose of a request is matched inside the smart contract against the patient's consent. The matching uses the Data Use Ontology and the Automatable Discovery and Access Matrix ontology, and denial is tested across several requester profiles.</w:t>
      </w:r>
      <w:r>
        <w:rPr>
          <w:rFonts w:ascii="Cambria" w:cs="Cambria" w:eastAsia="Cambria" w:hAnsi="Cambria"/>
          <w:color w:val="000000"/>
          <w:sz w:val="24"/>
          <w:szCs w:val="24"/>
        </w:rPr>
        <w:t xml:space="preserve">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00"/>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w:t>
      </w:r>
      <w:r>
        <w:rPr>
          <w:rFonts w:ascii="Cambria" w:cs="Cambria" w:eastAsia="Cambria" w:hAnsi="Cambria"/>
          <w:color w:val="000000"/>
          <w:sz w:val="24"/>
          <w:szCs w:val="24"/>
        </w:rPr>
        <w:t xml:space="preserve">The evaluation is a rigid exact-match of hashes rather than a policy engine, and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w:t>
      </w:r>
      <w:r>
        <w:rPr>
          <w:rFonts w:ascii="Cambria" w:cs="Cambria" w:eastAsia="Cambria" w:hAnsi="Cambria"/>
          <w:color w:val="000000"/>
          <w:sz w:val="24"/>
          <w:szCs w:val="24"/>
        </w:rPr>
        <w:t xml:space="preser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000000"/>
          <w:sz w:val="24"/>
          <w:szCs w:val="24"/>
        </w:rPr>
        <w:t xml:space="preserve">Across the 25 included studies, T4 is coded Yes in 11, Partial in 10 and No in 4. A policy or attribute condition therefore influences the access decision in a substantial share of the reviewed systems, and the requirement cannot be described as unaddressed. However, the nature of the policy is narrower than Req 4 demands. In most of the T4-positive studies the evaluated policy is bound to the requester, that is, to a role, a department, an institution or an attribute set. This is the case in Punia et al. [61], in Li et al. [51], in the attribute-based access control of Ghosh et al. [46] and in the attribute-based encryption schemes of stream 6. Purpose-of-use enters the evaluated decision in only six of the 25 included studies [37, 44, 49, 57, 63, 71], and in one supporting reference [45]. Purpose and data scope are jointly present in the decision by design in fewer still, in Albalwy et al. [37], Eneh et al. [44], Tith et al. [71] and the supporting reference [45]. Jurisdiction appears as a rule field only in Eneh et al. [44]; other contextual conditions are limited to the duty-hours term of Punia et al. [61] and the location and network-address conditions specified but not enforced by Al Amin et al. [38].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The deficit is that purpose-of-use and data-scope constraints are not carried by the consent object C itself and evaluated together with the identity, authority and multi-party conditions, with evidence that requests outside the authorised scope are refused. Table 6 presents a summary of the four included studies of stream 4 and their commitment to the key requirements.</w:t>
      </w:r>
    </w:p>
    <w:p>
      <w:pPr>
        <w:spacing w:after="140" w:line="300"/>
        <w:jc w:val="both"/>
      </w:pPr>
      <w:r>
        <w:rPr>
          <w:rFonts w:ascii="Cambria" w:cs="Cambria" w:eastAsia="Cambria" w:hAnsi="Cambria"/>
          <w:color w:val="000000"/>
          <w:sz w:val="24"/>
          <w:szCs w:val="24"/>
        </w:rPr>
        <w:t xml:space="preserve">Supporting reference. One further report of stream 4 was coded and retained outside the corpus.</w:t>
      </w:r>
      <w:r>
        <w:rPr>
          <w:rFonts w:ascii="Cambria" w:cs="Cambria" w:eastAsia="Cambria" w:hAnsi="Cambria"/>
          <w:color w:val="000000"/>
          <w:sz w:val="24"/>
          <w:szCs w:val="24"/>
        </w:rPr>
        <w:t xml:space="preserve"> The quantum-safe attribute-based access control scheme of Ghosh et al. </w:t>
      </w:r>
      <w:r>
        <w:rPr>
          <w:rFonts w:ascii="Cambria" w:cs="Cambria" w:eastAsia="Cambria" w:hAnsi="Cambria"/>
          <w:color w:val="000000"/>
          <w:sz w:val="24"/>
          <w:szCs w:val="24"/>
        </w:rPr>
        <w:t xml:space="preserve">[46] corroborates the finding that an attribute policy can operate inside the access decision and be enforced cryptographically, with attribute revocation checked at every access. It also confirms the residual deficit.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2.4.5  Temporal Validity and Consent Lifecycle</w:t>
      </w:r>
    </w:p>
    <w:p>
      <w:pPr>
        <w:spacing w:after="140" w:line="300"/>
        <w:jc w:val="both"/>
      </w:pPr>
      <w:r>
        <w:rPr>
          <w:rFonts w:ascii="Cambria" w:cs="Cambria" w:eastAsia="Cambria" w:hAnsi="Cambria"/>
          <w:color w:val="000000"/>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w:t>
      </w:r>
      <w:r>
        <w:rPr>
          <w:rFonts w:ascii="Cambria" w:cs="Cambria" w:eastAsia="Cambria" w:hAnsi="Cambria"/>
          <w:color w:val="000000"/>
          <w:sz w:val="24"/>
          <w:szCs w:val="24"/>
        </w:rPr>
        <w:t xml:space="preserve">This section reviews the four included studies of stream 5</w:t>
      </w:r>
      <w:r>
        <w:rPr>
          <w:rFonts w:ascii="Cambria" w:cs="Cambria" w:eastAsia="Cambria" w:hAnsi="Cambria"/>
          <w:color w:val="000000"/>
          <w:sz w:val="24"/>
          <w:szCs w:val="24"/>
        </w:rPr>
        <w:t xml:space="preserve">, namely Eneh et al. [44], Li et al. [51], Panagoulias et al. [57] and Hema et al. [64], and draws on the lifecycle evidence </w:t>
      </w:r>
      <w:r>
        <w:rPr>
          <w:rFonts w:ascii="Cambria" w:cs="Cambria" w:eastAsia="Cambria" w:hAnsi="Cambria"/>
          <w:color w:val="000000"/>
          <w:sz w:val="24"/>
          <w:szCs w:val="24"/>
        </w:rPr>
        <w:t xml:space="preserve">recorded for the included studies of the other streams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w:t>
      </w:r>
      <w:r>
        <w:rPr>
          <w:rFonts w:ascii="Cambria" w:cs="Cambria" w:eastAsia="Cambria" w:hAnsi="Cambria"/>
          <w:color w:val="000000"/>
          <w:sz w:val="24"/>
          <w:szCs w:val="24"/>
        </w:rPr>
        <w:t xml:space="preserve">The lifecycle is nevertheless limited to an active flag and the temporal bounds, without pending, suspended or renewed states. Identity is a wallet address with an attribute registry whose issuance governance is unspecified, and a single patient authors the rules. There is no threat model. The evaluation is a two-page demonstration on a local network with gas measurements and an integration test suite.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
Hema et al. [64] take a different approach in a patient-centric cryptographic protection scheme for cloud EHRs.</w:t>
      </w:r>
      <w:r>
        <w:rPr>
          <w:rFonts w:ascii="Cambria" w:cs="Cambria" w:eastAsia="Cambria" w:hAnsi="Cambria"/>
          <w:color w:val="000000"/>
          <w:sz w:val="24"/>
          <w:szCs w:val="24"/>
        </w:rPr>
        <w:t xml:space="preserve"> In this scheme the patient's signed consent token, the requester role and the expiry time are inputs to the key derivation function. Once the expiry has passed, the decryption key cannot be reconstructed, and revocation likewise causes derivation to fail without re-encryption.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Therefore, the expiry is enforced by the key derivation itself rather than by an explicit comparison in a decision function, and authority is separated from identity through role-scoped keys.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However, there is no lifecycle state machine, and the consent is issued by a single patient key. Identity relies on a commercial authentication service without credentials. The security argument is an adversary model with a probabilistic statement rather than a proof, and only operation latency is measured.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Panagoulias et al. [57] proposed a blockchain-enabled governance overlay for clinical artificial intelligence pipelines. In this overlay, a formal policy object carries identifiers, roles, purposes, a validity window and a revoked flag with a version number. Access is allowed only if the policy is valid at time t and the role and purpose conditions hold.</w:t>
      </w:r>
      <w:r>
        <w:rPr>
          <w:rFonts w:ascii="Cambria" w:cs="Cambria" w:eastAsia="Cambria" w:hAnsi="Cambria"/>
          <w:color w:val="000000"/>
          <w:sz w:val="24"/>
          <w:szCs w:val="24"/>
        </w:rPr>
        <w:t xml:space="preserve"> Revocation is enforced mid-stream at decision time and is verified through a consent-drift metric over 43,500 simulated attempts across nine scenarios, with denials recorded as ledger events. </w:t>
      </w:r>
      <w:r>
        <w:rPr>
          <w:rFonts w:ascii="Cambria" w:cs="Cambria" w:eastAsia="Cambria" w:hAnsi="Cambria"/>
          <w:color w:val="000000"/>
          <w:sz w:val="24"/>
          <w:szCs w:val="24"/>
        </w:rPr>
        <w:t xml:space="preserve">The temporal conjunct is implemented, but interval-bound denials are not separately exercised, and the lifecycle is a binary active or revoked state. The ledger is a single-node hash chain without consensus, and identity is inherited from an existing clinical identity provider. The authors explicitly declare that no formal verification was performed.</w:t>
      </w:r>
    </w:p>
    <w:p>
      <w:pPr>
        <w:spacing w:after="140" w:line="300"/>
        <w:jc w:val="both"/>
      </w:pPr>
      <w:r>
        <w:rPr>
          <w:rFonts w:ascii="Cambria" w:cs="Cambria" w:eastAsia="Cambria" w:hAnsi="Cambria"/>
          <w:color w:val="000000"/>
          <w:sz w:val="24"/>
          <w:szCs w:val="24"/>
        </w:rPr>
        <w:t xml:space="preserve">The fourth included study illustrates</w:t>
      </w:r>
      <w:r>
        <w:rPr>
          <w:rFonts w:ascii="Cambria" w:cs="Cambria" w:eastAsia="Cambria" w:hAnsi="Cambria"/>
          <w:color w:val="000000"/>
          <w:sz w:val="24"/>
          <w:szCs w:val="24"/>
        </w:rPr>
        <w:t xml:space="preserve"> a pattern that the coding panel describes as displacement, in which time is enforced on an artefact issued to the requester rather than on the consent itself. Li et al. </w:t>
      </w:r>
      <w:r>
        <w:rPr>
          <w:rFonts w:ascii="Cambria" w:cs="Cambria" w:eastAsia="Cambria" w:hAnsi="Cambria"/>
          <w:color w:val="000000"/>
          <w:sz w:val="24"/>
          <w:szCs w:val="24"/>
        </w:rPr>
        <w:t xml:space="preserve">[51] presented a hybrid role-based and smart-contract scheme with attribute-based authorisation for IoMT records. The expiry of a signed credential is compared with the current time at every sharing interaction, and a grant ledger records authorisations. The credential window is therefore enforced. However, the consent or authorisation object itself carries no enforced validity window, and there is no consent state machine.</w:t>
      </w:r>
      <w:r>
        <w:rPr>
          <w:rFonts w:ascii="Cambria" w:cs="Cambria" w:eastAsia="Cambria" w:hAnsi="Cambria"/>
          <w:color w:val="000000"/>
          <w:sz w:val="24"/>
          <w:szCs w:val="24"/>
        </w:rPr>
        <w:t xml:space="preserv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000000"/>
          <w:sz w:val="24"/>
          <w:szCs w:val="24"/>
        </w:rPr>
        <w:t xml:space="preserve">Across the 25 included studies, T5 is coded Yes in 8 and T6 in 7. Req 5, which requires enforcement in the decision, is Yes in 8.</w:t>
      </w:r>
      <w:r>
        <w:rPr>
          <w:rFonts w:ascii="Cambria" w:cs="Cambria" w:eastAsia="Cambria" w:hAnsi="Cambria"/>
          <w:color w:val="000000"/>
          <w:sz w:val="24"/>
          <w:szCs w:val="24"/>
        </w:rPr>
        <w:t xml:space="preserve">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w:t>
      </w:r>
      <w:r>
        <w:rPr>
          <w:rFonts w:ascii="Cambria" w:cs="Cambria" w:eastAsia="Cambria" w:hAnsi="Cambria"/>
          <w:color w:val="000000"/>
          <w:sz w:val="24"/>
          <w:szCs w:val="24"/>
        </w:rPr>
        <w:t xml:space="preserve">among the included studies a post-revocation denial</w:t>
      </w:r>
      <w:r>
        <w:rPr>
          <w:rFonts w:ascii="Cambria" w:cs="Cambria" w:eastAsia="Cambria" w:hAnsi="Cambria"/>
          <w:color w:val="000000"/>
          <w:sz w:val="24"/>
          <w:szCs w:val="24"/>
        </w:rPr>
        <w:t xml:space="preserve"> is actually demonstrated only by Phuyal et al. [58], Panagoulias et al. [57] and Eneh et al. [44]. In this context, the residual deficit for Req 5 is not the absence of decision-time temporal enforcement, which Eneh et al. [44], Hema et al. [64] and Panagoulias et al. [57] each achieve in isolation. </w:t>
      </w:r>
      <w:r>
        <w:rPr>
          <w:rFonts w:ascii="Cambria" w:cs="Cambria" w:eastAsia="Cambria" w:hAnsi="Cambria"/>
          <w:color w:val="000000"/>
          <w:sz w:val="24"/>
          <w:szCs w:val="24"/>
        </w:rPr>
        <w:t xml:space="preserve">The deficit is that temporal and lifecycle enforcement at the level of the consent object has not been verified in a deployed multi-institution exchange.</w:t>
      </w:r>
      <w:r>
        <w:rPr>
          <w:rFonts w:ascii="Cambria" w:cs="Cambria" w:eastAsia="Cambria" w:hAnsi="Cambria"/>
          <w:color w:val="000000"/>
          <w:sz w:val="24"/>
          <w:szCs w:val="24"/>
        </w:rPr>
        <w:t xml:space="preserve"> In addition, the three stream-5 systems which enforce time inside the decision are all single-party. Of the eight included studies coded Yes on Req 5, including the multi-party designs of Madine et al. [53] and Punia et al. [61], only the encryption scheme of Mei et al. [55] carries a formal proof. That proof concerns the static encryption predicate rather than the consent decision.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Table 7 presents a summary of the included stream-5 studies</w:t>
      </w:r>
      <w:r>
        <w:rPr>
          <w:rFonts w:ascii="Cambria" w:cs="Cambria" w:eastAsia="Cambria" w:hAnsi="Cambria"/>
          <w:color w:val="000000"/>
          <w:sz w:val="24"/>
          <w:szCs w:val="24"/>
        </w:rPr>
        <w:t xml:space="preserve"> and their commitment to the key requirements.</w:t>
      </w:r>
    </w:p>
    <w:p>
      <w:pPr>
        <w:spacing w:after="140" w:line="300"/>
        <w:jc w:val="both"/>
      </w:pPr>
      <w:r>
        <w:rPr>
          <w:rFonts w:ascii="Cambria" w:cs="Cambria" w:eastAsia="Cambria" w:hAnsi="Cambria"/>
          <w:color w:val="000000"/>
          <w:sz w:val="24"/>
          <w:szCs w:val="24"/>
        </w:rPr>
        <w:t xml:space="preserve">Supporting reference. One further report of stream 5 was coded and retained outside the corpus.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revocable attribute-based encryption scheme of Xu et al. [77], organised in key epochs for hospital-to-hospital sharing, corroborates the displacement pattern. Revocation is realised by key rollover, so that a revoked user retains access until the epoch ends. The word consent does not appear, and keyword matching is a discovery mechanism rather than an approval.</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distinction between recorded and enforced time is likewise corroborated by the supporting references of the other streams. In several of them a timestamp is stored, logged or used only as a replay window without being read by the decision [46], [60], [62], [78]. In others, automatic expiry is claimed without specifying where the clock is read [68], [70]. Among the supporting references, a post-revocation denial is reported only in results captioned as illustrative [45] or in a single narrated scenario [68]. Named consent states gating the decision appear in one further supporting reference [66].</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2.4.6  Formal Security Assurance and Empirical Validation</w:t>
      </w:r>
    </w:p>
    <w:p>
      <w:pPr>
        <w:spacing w:after="140" w:line="300"/>
        <w:jc w:val="both"/>
      </w:pPr>
      <w:r>
        <w:rPr>
          <w:rFonts w:ascii="Cambria" w:cs="Cambria" w:eastAsia="Cambria" w:hAnsi="Cambria"/>
          <w:color w:val="000000"/>
          <w:sz w:val="24"/>
          <w:szCs w:val="24"/>
        </w:rPr>
        <w:t xml:space="preserve">Req 6 has two components. </w:t>
      </w:r>
      <w:r>
        <w:rPr>
          <w:rFonts w:ascii="Cambria" w:cs="Cambria" w:eastAsia="Cambria" w:hAnsi="Cambria"/>
          <w:color w:val="000000"/>
          <w:sz w:val="24"/>
          <w:szCs w:val="24"/>
        </w:rPr>
        <w:t xml:space="preserve">The first is that the security properties of the authorisation mechanism are formally defined and demonstrated. This may be done through a security proof, a model, a verification tool or an explicit adversary model with a theorem. Under the codebook, the statement that a system is secure is not evidence, and a threat discussion alone is coded Partial.</w:t>
      </w:r>
      <w:r>
        <w:rPr>
          <w:rFonts w:ascii="Cambria" w:cs="Cambria" w:eastAsia="Cambria" w:hAnsi="Cambria"/>
          <w:color w:val="000000"/>
          <w:sz w:val="24"/>
          <w:szCs w:val="24"/>
        </w:rPr>
        <w:t xml:space="preserve">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w:t>
      </w:r>
      <w:r>
        <w:rPr>
          <w:rFonts w:ascii="Cambria" w:cs="Cambria" w:eastAsia="Cambria" w:hAnsi="Cambria"/>
          <w:color w:val="000000"/>
          <w:sz w:val="24"/>
          <w:szCs w:val="24"/>
        </w:rPr>
        <w:t xml:space="preserve">Stream 6 gathers the four included studies</w:t>
      </w:r>
      <w:r>
        <w:rPr>
          <w:rFonts w:ascii="Cambria" w:cs="Cambria" w:eastAsia="Cambria" w:hAnsi="Cambria"/>
          <w:color w:val="000000"/>
          <w:sz w:val="24"/>
          <w:szCs w:val="24"/>
        </w:rPr>
        <w:t xml:space="preserve">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00"/>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w:t>
      </w:r>
      <w:r>
        <w:rPr>
          <w:rFonts w:ascii="Cambria" w:cs="Cambria" w:eastAsia="Cambria" w:hAnsi="Cambria"/>
          <w:color w:val="000000"/>
          <w:sz w:val="24"/>
          <w:szCs w:val="24"/>
        </w:rPr>
        <w:t xml:space="preserve">authorisation is therefore separated from the DID challenge-response authentication.</w:t>
      </w:r>
      <w:r>
        <w:rPr>
          <w:rFonts w:ascii="Cambria" w:cs="Cambria" w:eastAsia="Cambria" w:hAnsi="Cambria"/>
          <w:color w:val="000000"/>
          <w:sz w:val="24"/>
          <w:szCs w:val="24"/>
        </w:rPr>
        <w:t xml:space="preserve">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w:t>
      </w:r>
      <w:r>
        <w:rPr>
          <w:rFonts w:ascii="Cambria" w:cs="Cambria" w:eastAsia="Cambria" w:hAnsi="Cambria"/>
          <w:color w:val="000000"/>
          <w:sz w:val="24"/>
          <w:szCs w:val="24"/>
        </w:rPr>
        <w:t xml:space="preserve">This is the first complete formal assurance in the corpus. However, what is proven concerns the identity and authority fragment only.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There is no theorem of the form that access is granted only under stated conditions. The proofs cannot cover policy, temporal or lifecycle conjuncts because the system has none. Access is all-or-nothing per authorising owner, the only time values are index and document fields that no algorithm reads, and there is no revocation, withdrawal or state.</w:t>
      </w:r>
      <w:r>
        <w:rPr>
          <w:rFonts w:ascii="Cambria" w:cs="Cambria" w:eastAsia="Cambria" w:hAnsi="Cambria"/>
          <w:color w:val="000000"/>
          <w:sz w:val="24"/>
          <w:szCs w:val="24"/>
        </w:rPr>
        <w:t xml:space="preserve"> The term multi-party denotes several stakeholders whose privacy requirements are satisfied simultaneously, not several parties authorising one decision. </w:t>
      </w:r>
      <w:r>
        <w:rPr>
          <w:rFonts w:ascii="Cambria" w:cs="Cambria" w:eastAsia="Cambria" w:hAnsi="Cambria"/>
          <w:color w:val="000000"/>
          <w:sz w:val="24"/>
          <w:szCs w:val="24"/>
        </w:rPr>
        <w:t xml:space="preserve">The evaluation is a reproducible performance study with a public repository, but it includes no allow-and-deny tests, executed attacks or dataset.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Zhao and Su [50] proposed a threshold traceable delegation authorisation scheme in which the data owner delegates to l of d already-authorised users. Each of these users must run an authorisation algorithm bound to a private key before an out-of-policy requester can restore the data. Unforgeability below the threshold rests on the bilinear Diffie-Hellman assumption, and confidentiality is proven under an IND-CPA game with reduction.</w:t>
      </w:r>
      <w:r>
        <w:rPr>
          <w:rFonts w:ascii="Cambria" w:cs="Cambria" w:eastAsia="Cambria" w:hAnsi="Cambria"/>
          <w:color w:val="000000"/>
          <w:sz w:val="24"/>
          <w:szCs w:val="24"/>
        </w:rPr>
        <w:t xml:space="preserve"> The proof covers the threshold gate in isolation, the delegates are consumer-side clinicians rather than patient-side stakeholders, there is no time, expiry, revocation or state, and the Java benchmark measures performance only. </w:t>
      </w:r>
      <w:r>
        <w:rPr>
          <w:rFonts w:ascii="Cambria" w:cs="Cambria" w:eastAsia="Cambria" w:hAnsi="Cambria"/>
          <w:color w:val="000000"/>
          <w:sz w:val="24"/>
          <w:szCs w:val="24"/>
        </w:rPr>
        <w:t xml:space="preserve">Maruthi and Singh [54] addressed the unconscious patient with a threshold proxy re-encryption scheme. In this scheme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w:t>
      </w:r>
      <w:r>
        <w:rPr>
          <w:rFonts w:ascii="Cambria" w:cs="Cambria" w:eastAsia="Cambria" w:hAnsi="Cambria"/>
          <w:color w:val="000000"/>
          <w:sz w:val="24"/>
          <w:szCs w:val="24"/>
        </w:rPr>
        <w:t xml:space="preserve"> The collective mechanism is genuine and decision-time, but policy and temporal conditions are both absent, so the proof again covers a narrow predicate. Mei et al. </w:t>
      </w:r>
      <w:r>
        <w:rPr>
          <w:rFonts w:ascii="Cambria" w:cs="Cambria" w:eastAsia="Cambria" w:hAnsi="Cambria"/>
          <w:color w:val="000000"/>
          <w:sz w:val="24"/>
          <w:szCs w:val="24"/>
        </w:rPr>
        <w:t xml:space="preserve">[55] proposed a dual-revocation ciphertext-policy attribute-based encryption scheme for IoMT in which a direct mode terminates access immediately through a ciphertext update. The authors motivate this construction by patient consent withdrawal. The scheme offers user-level and attribute-level granularity and an IND-CPA reduction under the q-BDHE assumption. It has no audit element and no multi-party approval, and the proof concerns the static encryption predicate.</w:t>
      </w:r>
    </w:p>
    <w:p>
      <w:pPr>
        <w:spacing w:after="140" w:line="300"/>
        <w:jc w:val="both"/>
      </w:pPr>
      <w:r>
        <w:rPr>
          <w:rFonts w:ascii="Cambria" w:cs="Cambria" w:eastAsia="Cambria" w:hAnsi="Cambria"/>
          <w:color w:val="000000"/>
          <w:sz w:val="24"/>
          <w:szCs w:val="24"/>
        </w:rPr>
        <w:t xml:space="preserve">Two observations follow at corpus level. The first concerns formal assurance in the sense of the workbook's Req6. It is coded Yes in only 4 of the 25 included studies, all of them in this stream. Two supporting references of this stream, both encryption schemes, also carry a proof. In every case the proven property attaches to a narrow predicate. It is an identity-and-authority fragment in HealthDID [76], a threshold gate in Zhao and Su [50] and Maruthi and Singh [54], and a static attribute policy in the encryption scheme of Mei et al. [55]. By contrast,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Panagoulias et al. [57], whose decision is the best verified in the corpus, state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useful, but they were coded Partial because they enumerate threats without demonstrating properties.</w:t>
      </w:r>
    </w:p>
    <w:p>
      <w:pPr>
        <w:spacing w:after="140" w:line="300"/>
        <w:jc w:val="both"/>
      </w:pPr>
      <w:r>
        <w:rPr>
          <w:rFonts w:ascii="Cambria" w:cs="Cambria" w:eastAsia="Cambria" w:hAnsi="Cambria"/>
          <w:color w:val="000000"/>
          <w:sz w:val="24"/>
          <w:szCs w:val="24"/>
        </w:rPr>
        <w:t xml:space="preserve">The second observation concerns empirical validation in the sense of the workbook's Req7. It is coded Yes in only 5 of the 25 included studies, Partial in 19 and No in 1. In the large majority of the Partial cases, evaluation means throughput, latency, gas cost, block time or encryption timing. Abbasi et al. [35] measure hundreds to a thousand transactions per operation on a public test network with a published repository and a Synthea-generated dataset, but execute no allow-or-deny test. Punia et al. [61] instrument 100 transactions and describe, but do not run, the single denial scenario. The four cryptographic studies of this stream report benchmarks of their primitives without exercising a single denial. The coding panel describes this pattern as built and measured but never validated as an authorisation decision, and it is the dominant form of evidence in the corpus.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included stream-6 studies and their commitment to the key requirements.</w:t>
      </w:r>
    </w:p>
    <w:p>
      <w:pPr>
        <w:spacing w:after="140" w:line="300"/>
        <w:jc w:val="both"/>
      </w:pPr>
      <w:r>
        <w:rPr>
          <w:rFonts w:ascii="Cambria" w:cs="Cambria" w:eastAsia="Cambria" w:hAnsi="Cambria"/>
          <w:color w:val="000000"/>
          <w:sz w:val="24"/>
          <w:szCs w:val="24"/>
        </w:rPr>
        <w:t xml:space="preserve">Supporting references. Five further reports of stream 6 were coded and retained outside the corpus. Two of them are coded Yes on formal assurance. These are the revocable attribute-based searchable encryption scheme of Gao et al. [48] and the bilateral proxy re-encryption scheme of Luo et al. [52]. They corroborate the first observation, since each proof concerns a static encryption predicate. The threshold among authorisation nodes in [48] is key-management resilience rather than approval, and the bilateral matching in [52] is policy symmetry rather than co-approval.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2.4.7  Comparative Analysis of Existing Approaches</w:t>
      </w:r>
    </w:p>
    <w:p>
      <w:pPr>
        <w:spacing w:after="140" w:line="300"/>
        <w:jc w:val="both"/>
      </w:pPr>
      <w:r>
        <w:rPr>
          <w:rFonts w:ascii="Cambria" w:cs="Cambria" w:eastAsia="Cambria" w:hAnsi="Cambria"/>
          <w:color w:val="000000"/>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They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These include the guardian and agency approvals of Madine et al. [53], the patient-appointed verifiers of Tan et al. [69],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Verified allow-and-deny behaviour is reported by Panagoulias et al. [57] and Phuyal et al. [58].</w:t>
      </w:r>
    </w:p>
    <w:p>
      <w:pPr>
        <w:spacing w:after="140" w:line="300"/>
        <w:jc w:val="both"/>
      </w:pPr>
      <w:r>
        <w:rPr>
          <w:rFonts w:ascii="Cambria" w:cs="Cambria" w:eastAsia="Cambria" w:hAnsi="Cambria"/>
          <w:color w:val="000000"/>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provide no formal argument. The systems that provide multi-party approval carry no purpose or data-scope condition and no formal argument.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In that sense, the identity, authority, multi-party, policy and temporal conditions must hold together, and this conjunction must be both formally argued and empirically tested.</w:t>
      </w:r>
    </w:p>
    <w:p>
      <w:pPr>
        <w:spacing w:after="140" w:line="300"/>
        <w:jc w:val="both"/>
      </w:pPr>
      <w:r>
        <w:rPr>
          <w:rFonts w:ascii="Cambria" w:cs="Cambria" w:eastAsia="Cambria" w:hAnsi="Cambria"/>
          <w:color w:val="000000"/>
          <w:sz w:val="24"/>
          <w:szCs w:val="24"/>
        </w:rPr>
        <w:t xml:space="preserve">Table 9 summarises the position of the 25 included studies</w:t>
      </w:r>
      <w:r>
        <w:rPr>
          <w:rFonts w:ascii="Cambria" w:cs="Cambria" w:eastAsia="Cambria" w:hAnsi="Cambria"/>
          <w:color w:val="000000"/>
          <w:sz w:val="24"/>
          <w:szCs w:val="24"/>
        </w:rPr>
        <w:t xml:space="preserve"> against the six key requirements and positions the proposed framework relative to the existing literature. </w:t>
      </w:r>
      <w:r>
        <w:rPr>
          <w:rFonts w:ascii="Cambria" w:cs="Cambria" w:eastAsia="Cambria" w:hAnsi="Cambria"/>
          <w:color w:val="000000"/>
          <w:sz w:val="24"/>
          <w:szCs w:val="24"/>
        </w:rPr>
        <w:t xml:space="preserve">The included studies are the 23 core studies ratified by the coding panel, together with the two highest-quality supporting studies, Albalwy et al. [37] and Li et al. [51]. The core studies are those whose coding narrows, weakens or contradicts one of the deficits of the gap statement. Studies that carry a multi-party signal (T3 Yes or Partial) are also core studies.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19 supporting references are cited in the supporting-reference paragraphs of Sections 2.4.1 to 2.4.6 and are outside the corpus, so that the comparison rests on the studies closest to the research problem.</w:t>
      </w:r>
      <w:r>
        <w:rPr>
          <w:rFonts w:ascii="Cambria" w:cs="Cambria" w:eastAsia="Cambria" w:hAnsi="Cambria"/>
          <w:color w:val="000000"/>
          <w:sz w:val="24"/>
          <w:szCs w:val="24"/>
        </w:rPr>
        <w:t xml:space="preserve">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the included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00"/>
          <w:sz w:val="24"/>
          <w:szCs w:val="24"/>
        </w:rPr>
        <w:t xml:space="preserve">The matrix supports four observations. First, counting only full satisfaction, Req 1 is met by 12 of the 25 included studies, Req 2 by 7, Req 3 by 6, Req 4 by 10, Req 5 by 8 and Req 6 by 9. No requirement is unaddressed. However, none is met by a majority of the included studies, and Req 1, at 12 of 25, comes closest. Second, no study satisfies all six requirements together. The largest number of requirements fully satisfied by a single study is four. This number is reached by Madine et al. [53] on Req 1, Req 2, Req 3 and Req 5 and by Panagoulias et al. [57] on Req 1, Req 4, Req 5 and Req 6. Six studies, namely Abbasi et al. [35], Al Amin et al. [38], Hagström et al. [47], Madine et al. [53], Punia et al. [61] and Wu et al. [75], carry no cross in any column, but each of them relies on Partial codes for at least two requirements. Five studies, namely Abbasi et al. [35], Phuyal et al. [59], Soohoo et al. [67], Tremper et al. [72] and Wu et al. [75], fully satisfy no requirement at all. Third, the pair of requirements that co-occurs most often is Req 1 with Req 4, which is found in seven studies (Albalwy et al. [37], Eneh et al. [44], Jaiman and Urovi [49], Panagoulias et al. [57], Román-Martínez et al. [63], Hema et al. [64] and Tith et al. [71]). The next most frequent pair is Req 4 with Req 5, which is found in six studies (Eneh et al. [44], Li et al. [51], Mei et al. [55], Panagoulias et al. [57], Punia et al. [61] and Hema et al. [64]). These two pairs reflect the maturity of single-party consent objects with purpose and time conditions. In contrast, Req 2 and Req 4 never co-occur in full. Req 3 co-occurs with Req 4 only in Punia et al. [61]. Req 3 co-occurs with Req 6 only in the two cryptographic threshold schemes of Zhao and Su [50] and Maruthi and Singh [54], neither of which has policy or temporal enforcement. Two triples are the most frequent, and each is found in three studies. The first is Req 1 with Req 4 and Req 5, in Eneh et al. [44], Panagoulias et al. [57] and Hema et al. [64], all of them single-party systems. The second is Req 1 with Req 4 and Req 6, in Albalwy et al. [37], Jaiman and Urovi [49] and Panagoulias et al. [57], all of them single-party systems whose Req 6 tick rests on empirical validation rather than a formal proof. The triples that include Req 3 are fewer. Req 1, Req 2 and Req 3 co-occur in Madine et al. [53] and in Tan et al. [69], neither of which enforces purpose or data scope or provides a formal argument; the quadruple of Madine et al. [53] also yields Req 1 or Req 2 with Req 3 and Req 5. Req 3, Req 4 and Req 5 co-occur in Punia et al. [61], where the threshold lies outside the policy predicate and no purpose term exists. Fourth, the two quadruples among the included studies share only Req 1 and Req 5 and are otherwise complementary in the way that the gap predicts. Madine et al. [53] combine multi-party approval with identity, consent representation and time, but not with policy or assurance. Panagoulias et al. [57] combine consent representation, policy, time and validation, but not with multi-party approval or identity depth.</w:t>
      </w:r>
    </w:p>
    <w:p>
      <w:pPr>
        <w:spacing w:after="140" w:line="300"/>
        <w:jc w:val="both"/>
      </w:pPr>
      <w:r>
        <w:rPr>
          <w:rFonts w:ascii="Cambria" w:cs="Cambria" w:eastAsia="Cambria" w:hAnsi="Cambria"/>
          <w:color w:val="000000"/>
          <w:sz w:val="24"/>
          <w:szCs w:val="24"/>
        </w:rPr>
        <w:t xml:space="preserve">The comparison therefore indicates that the principal contribution of the proposed framework is not the replacement of existing technologies, each of which the literature has developed to a high standard in isolation. The contribution lies in establishing an explicit and verifiable relationship among them. In the proposed framework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No reviewed study occupies this integrated position, which is represented by the final row of Table 9. The next section states the resulting research gap requirement by requirement.</w:t>
      </w:r>
    </w:p>
    <w:p>
      <w:pPr>
        <w:pStyle w:val="Heading2"/>
        <w:spacing w:after="160" w:before="280"/>
      </w:pPr>
      <w:r>
        <w:rPr>
          <w:rFonts w:ascii="Cambria" w:cs="Cambria" w:eastAsia="Cambria" w:hAnsi="Cambria"/>
          <w:color w:val="000000"/>
          <w:sz w:val="24"/>
          <w:szCs w:val="24"/>
        </w:rPr>
        <w:t xml:space="preserve">2.5  Synthesis and Research Gap</w:t>
      </w:r>
    </w:p>
    <w:p>
      <w:pPr>
        <w:spacing w:after="140" w:line="300"/>
        <w:jc w:val="both"/>
      </w:pPr>
      <w:r>
        <w:rPr>
          <w:rFonts w:ascii="Cambria" w:cs="Cambria" w:eastAsia="Cambria" w:hAnsi="Cambria"/>
          <w:color w:val="000000"/>
          <w:sz w:val="24"/>
          <w:szCs w:val="24"/>
        </w:rPr>
        <w:t xml:space="preserve">This section synthesises the review of Section 2.4 against the six requirements defined in Section 2.2. The counts stated in this section refer to the 25 included studies. Across the corpus, the requirement that is most often satisfied is the representation of consent as an evaluable authorisation object (Req 1), which 12 studies satisfy fully and 13 satisfy in part. Policy- and context-aware enforcement (Req 4) is satisfied fully by 10 studies, in part by 11 and not at all by 4. Temporal validity and lifecycle control (Req 5) is satisfied fully by 8 studies, in part by 13 and not at all by 4. Decentralised verification of identity and authority (Req 2) is satisfied fully by 7 studies and in part by 18, and no included study is without an identity mechanism. Multi-party authorisation through a verifiable threshold (Req 3) is the least satisfied requirement: 6 studies satisfy it fully, 4 satisfy it in part and 15 do not address it. With respect to Req 6, formal security assurance of the authorisation decision is provided by 4 studies and argued informally by 9, while 12 studies offer no security analysis beyond assertion; empirical validation is complete in 5 studies, partial in 19 and absent in 1. It should be noted that these proportions are consistent with the signal prevalence in the wider full-text pool of 1,800 records described in Section 2.3.6, as recorded by the signal detectors of the screening workbook,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000000"/>
          <w:sz w:val="24"/>
          <w:szCs w:val="24"/>
        </w:rPr>
        <w:t xml:space="preserve">It should be noted that the most important correction which the review makes to the framing of this research concerns multi-party authorisation.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Read on their own, the background surveys [1]–[34] suggest that multi-party authorisation of patient consent does not exist in the literature. The full-text coding does not support that suggestion.</w:t>
      </w:r>
      <w:r>
        <w:rPr>
          <w:rFonts w:ascii="Cambria" w:cs="Cambria" w:eastAsia="Cambria" w:hAnsi="Cambria"/>
          <w:color w:val="000000"/>
          <w:sz w:val="24"/>
          <w:szCs w:val="24"/>
        </w:rPr>
        <w:t xml:space="preserv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w:t>
      </w:r>
      <w:r>
        <w:rPr>
          <w:rFonts w:ascii="Cambria" w:cs="Cambria" w:eastAsia="Cambria" w:hAnsi="Cambria"/>
          <w:color w:val="000000"/>
          <w:sz w:val="24"/>
          <w:szCs w:val="24"/>
        </w:rPr>
        <w:t xml:space="preserve">Ekholm et al. [43] report a deployed platform in which all legal guardians must co-sign at consent registration, and Hagström et al. [47] report national patient portals in which guardian proxy access is gated by register-verified guardianship, a professional's capacity assessment and the minor's own consent.</w:t>
      </w:r>
      <w:r>
        <w:rPr>
          <w:rFonts w:ascii="Cambria" w:cs="Cambria" w:eastAsia="Cambria" w:hAnsi="Cambria"/>
          <w:color w:val="000000"/>
          <w:sz w:val="24"/>
          <w:szCs w:val="24"/>
        </w:rPr>
        <w:t xml:space="preserve"> In addition, Maruthi and Singh [54] distribute a threshold key among patient-designated relatives, and Abbasi et al. [35] among automated oracles, so that the threshold protects key custody rather than expressing an authorisation judgement. </w:t>
      </w:r>
      <w:r>
        <w:rPr>
          <w:rFonts w:ascii="Cambria" w:cs="Cambria" w:eastAsia="Cambria" w:hAnsi="Cambria"/>
          <w:color w:val="000000"/>
          <w:sz w:val="24"/>
          <w:szCs w:val="24"/>
        </w:rPr>
        <w:t xml:space="preserve">Therefore, multi-party approval exists in the reviewed literature in six forms. The first three are joint approval on a contingency path with key-share reconstruction, an institution-side admission gate and a consumer-side delegated threshold. The other three are a patient-appointed witness threshold, a custodial M-of-N around a policy engine and a guardian co-consent at consent registration.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No reviewed study treats it as a constitutive predicate that every access decision must satisfy together with the identity, policy and temporal conditions. In addition, no study defines the approving set through the patient and evaluates it on every request.</w:t>
      </w:r>
    </w:p>
    <w:p>
      <w:pPr>
        <w:spacing w:after="140" w:line="300"/>
        <w:jc w:val="both"/>
      </w:pPr>
      <w:r>
        <w:rPr>
          <w:rFonts w:ascii="Cambria" w:cs="Cambria" w:eastAsia="Cambria" w:hAnsi="Cambria"/>
          <w:color w:val="000000"/>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w:t>
      </w:r>
      <w:r>
        <w:rPr>
          <w:rFonts w:ascii="Cambria" w:cs="Cambria" w:eastAsia="Cambria" w:hAnsi="Cambria"/>
          <w:color w:val="000000"/>
          <w:sz w:val="24"/>
          <w:szCs w:val="24"/>
        </w:rPr>
        <w:t xml:space="preserve">In most other studies the time element takes one of four forms. It is a stored timestamp [37, 71] or an expiry field that the decision algorithm never reads [58]. Otherwise it is a session or token lifetime rather than a consent validity window [73, 67, 51], or a claimed auto-expiry with no enforcement locus [68, 70].</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00"/>
          <w:sz w:val="24"/>
          <w:szCs w:val="24"/>
        </w:rPr>
        <w:t xml:space="preserve">; elsewhere revocation is specified and its cost measured, but its effect on a subsequent request is not exercised [61, 62, 60]. </w:t>
      </w:r>
      <w:r>
        <w:rPr>
          <w:rFonts w:ascii="Cambria" w:cs="Cambria" w:eastAsia="Cambria" w:hAnsi="Cambria"/>
          <w:color w:val="000000"/>
          <w:sz w:val="24"/>
          <w:szCs w:val="24"/>
        </w:rPr>
        <w:t xml:space="preserve">Therefore, the gap under Req 5 is not the absence of temporal mechanisms. The gap is that the validity interval, revocation and state transitions are not enforced at the consent object itself and verified at decision time in a multi-institution exchange.</w:t>
      </w:r>
    </w:p>
    <w:p>
      <w:pPr>
        <w:spacing w:after="140" w:line="300"/>
        <w:jc w:val="both"/>
      </w:pPr>
      <w:r>
        <w:rPr>
          <w:rFonts w:ascii="Cambria" w:cs="Cambria" w:eastAsia="Cambria" w:hAnsi="Cambria"/>
          <w:color w:val="000000"/>
          <w:sz w:val="24"/>
          <w:szCs w:val="24"/>
        </w:rPr>
        <w:t xml:space="preserve">Formal assurance of the authorisation decision is almost absent, and where it exists it is narrow. The four included studies with a formal proof, Wu and Zhang [76], Zhao and Su [50], Maruthi and Singh [54] and Mei et al. [55], together with the two supporting references that carry a proof,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They report no outcome for the access-control function that they formalise. When the formal and empirical halves of Req 6 are combined, nine of the 25 included studies would reach a tick in the combined Req 6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000000"/>
          <w:sz w:val="24"/>
          <w:szCs w:val="24"/>
        </w:rPr>
        <w:t xml:space="preserve">Therefore, the review establishes two gaps rather than one. The first is a conjunction gap. Identity and authority verification, collective approval, purpose and data-scope policy, temporal validity and lifecycle control each exist in the literature. Several of them exist in mature form. A number of studies combine three or four of them in one design [58, 61, 45, 66, 57]. However, no study conjoins identity, authority, threshold, policy, temporal,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It is positioned on the conjunction of the conditions and on the assurance of that conjunction.</w:t>
      </w:r>
    </w:p>
    <w:p>
      <w:pPr>
        <w:pStyle w:val="Heading3"/>
        <w:spacing w:after="160" w:before="280"/>
      </w:pPr>
      <w:r>
        <w:rPr>
          <w:rFonts w:ascii="Cambria" w:cs="Cambria" w:eastAsia="Cambria" w:hAnsi="Cambria"/>
          <w:color w:val="000000"/>
          <w:sz w:val="24"/>
          <w:szCs w:val="24"/>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w:t>
      </w:r>
      <w:r>
        <w:rPr>
          <w:rFonts w:ascii="Cambria" w:cs="Cambria" w:eastAsia="Cambria" w:hAnsi="Cambria"/>
          <w:color w:val="000000"/>
          <w:sz w:val="24"/>
          <w:szCs w:val="24"/>
        </w:rPr>
        <w:t xml:space="preserve">In the 13 included studies coded as partial, and in the supporting references, the consent is</w:t>
      </w:r>
      <w:r>
        <w:rPr>
          <w:rFonts w:ascii="Cambria" w:cs="Cambria" w:eastAsia="Cambria" w:hAnsi="Cambria"/>
          <w:color w:val="000000"/>
          <w:sz w:val="24"/>
          <w:szCs w:val="24"/>
        </w:rPr>
        <w:t xml:space="preserve">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00"/>
          <w:sz w:val="24"/>
          <w:szCs w:val="24"/>
        </w:rPr>
        <w:t xml:space="preserve">Gap 2 (Req 2): </w:t>
      </w:r>
      <w:r>
        <w:rPr>
          <w:rFonts w:ascii="Cambria" w:cs="Cambria" w:eastAsia="Cambria" w:hAnsi="Cambria"/>
          <w:color w:val="000000"/>
          <w:sz w:val="24"/>
          <w:szCs w:val="24"/>
        </w:rPr>
        <w:t xml:space="preserve">The clearest separations of identity from authority are found in five places. In Ekholm et al. [43] and Hagström et al. [47] guardianship is verified against a national population register independently of the eID login. In Phuyal et al. [58] a licensing-body credential asserts role and scope of practice separately from the wallet identity. In Wu and Zhang [76] a zero-knowledge proof binds the owner's authorisation to a specific requester key. Separate authority evidence is also found in Tan et al. [69], Madine et al. [53] and Tseng et al. [73].</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18 included studies coded as partial the identity is</w:t>
      </w:r>
      <w:r>
        <w:rPr>
          <w:rFonts w:ascii="Cambria" w:cs="Cambria" w:eastAsia="Cambria" w:hAnsi="Cambria"/>
          <w:color w:val="000000"/>
          <w:sz w:val="24"/>
          <w:szCs w:val="24"/>
        </w:rPr>
        <w:t xml:space="preserve">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00"/>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w:t>
      </w:r>
      <w:r>
        <w:rPr>
          <w:rFonts w:ascii="Cambria" w:cs="Cambria" w:eastAsia="Cambria" w:hAnsi="Cambria"/>
          <w:color w:val="000000"/>
          <w:sz w:val="24"/>
          <w:szCs w:val="24"/>
        </w:rPr>
        <w:t xml:space="preserve">As set out above, the joint approval in these studies is limited in one of four ways. In some studies it is contingent on the absence of the patient [53, 69, 54], or it is reserved for particular request classes and bypassable in an emergency [61]. In others it is placed among consumer-side delegates or institution-side investigators rather than patient-side parties [50, 75], or it is applied at consent registration rather than at each access decision [43, 47, 38].</w:t>
      </w:r>
      <w:r>
        <w:rPr>
          <w:rFonts w:ascii="Cambria" w:cs="Cambria" w:eastAsia="Cambria" w:hAnsi="Cambria"/>
          <w:color w:val="000000"/>
          <w:sz w:val="24"/>
          <w:szCs w:val="24"/>
        </w:rPr>
        <w:t xml:space="preserve">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00"/>
          <w:sz w:val="24"/>
          <w:szCs w:val="24"/>
        </w:rPr>
        <w:t xml:space="preserve">Gap 4 (Req 4): </w:t>
      </w:r>
      <w:r>
        <w:rPr>
          <w:rFonts w:ascii="Cambria" w:cs="Cambria" w:eastAsia="Cambria" w:hAnsi="Cambria"/>
          <w:color w:val="000000"/>
          <w:sz w:val="24"/>
          <w:szCs w:val="24"/>
        </w:rPr>
        <w:t xml:space="preserve">The strongest policy enforcement is found in Eneh et al. [44], whose on-chain rules evaluate purpose, data category, sensitivity, jurisdiction and action with deny-by-default, and in Panagoulias et al. [57], who verify a purpose conjunct over thousands of requests. Román-Martínez et al. [63], Tith et al. [71], Albalwy et al. [37] and Jaiman and Urovi [49] evaluate purpose against the consent. The key-derivation scheme of [64] binds role and consent into the key, and the attribute policy of Punia et al. [61] is evaluated in a conjunctive predicate.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remaining studies the policy is bound to the requester's role or attributes or to the ciphertext rather than to what the patient authorised [46, 56, 78, 36]. Alternatively, the purpose is captured for audit but not adjudicated [72, 73]. In other cases the policy is described but not enforced [39, 41, 59].</w:t>
      </w:r>
      <w:r>
        <w:rPr>
          <w:rFonts w:ascii="Cambria" w:cs="Cambria" w:eastAsia="Cambria" w:hAnsi="Cambria"/>
          <w:color w:val="000000"/>
          <w:sz w:val="24"/>
          <w:szCs w:val="24"/>
        </w:rPr>
        <w:t xml:space="preserve">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00"/>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w:t>
      </w:r>
      <w:r>
        <w:rPr>
          <w:rFonts w:ascii="Cambria" w:cs="Cambria" w:eastAsia="Cambria" w:hAnsi="Cambria"/>
          <w:color w:val="000000"/>
          <w:sz w:val="24"/>
          <w:szCs w:val="24"/>
        </w:rPr>
        <w:t xml:space="preserve">However, the enforced window is usually attached to a token, a key or a credential rather than to the consent [73, 51, 77]. The stored expiry of the consent is not read by the decision [58], and revocation does not invalidate tokens already issued [73]. No study verifies expiry, revocation and state transition together at the consent level in a multi-institution exchange.</w:t>
      </w:r>
      <w:r>
        <w:rPr>
          <w:rFonts w:ascii="Cambria" w:cs="Cambria" w:eastAsia="Cambria" w:hAnsi="Cambria"/>
          <w:color w:val="000000"/>
          <w:sz w:val="24"/>
          <w:szCs w:val="24"/>
        </w:rPr>
        <w:t xml:space="preserv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00"/>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w:t>
      </w:r>
      <w:r>
        <w:rPr>
          <w:rFonts w:ascii="Cambria" w:cs="Cambria" w:eastAsia="Cambria" w:hAnsi="Cambria"/>
          <w:color w:val="000000"/>
          <w:sz w:val="24"/>
          <w:szCs w:val="24"/>
        </w:rPr>
        <w:t xml:space="preserve">No study provides both. 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00"/>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represents the jurisdictional constraint. This is the rule enforced by the implemented Consent Engine, in which every access request is evaluated over the complete tuple. All five predicates are enforced in the implemented Consent Engine and are evaluated empirically in the later chapters of this report.</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000000"/>
          <w:sz w:val="24"/>
          <w:szCs w:val="24"/>
        </w:rPr>
        <w:t xml:space="preserve">In this context, the principal research opportunity identified by the literature is not the development of another isolated blockchain consent mechanism or identity-management system. Instead, the opportunity lies in constructing a coherent trust-oriented authorisation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policy, temporal and jurisdictional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00"/>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000000"/>
          <w:sz w:val="24"/>
          <w:szCs w:val="24"/>
        </w:rPr>
        <w:t xml:space="preserve">Seven frozen database searches, supplemented by a Google Scholar discovery arm, identified 9,256 records,</w:t>
      </w:r>
      <w:r>
        <w:rPr>
          <w:rFonts w:ascii="Cambria" w:cs="Cambria" w:eastAsia="Cambria" w:hAnsi="Cambria"/>
          <w:color w:val="000000"/>
          <w:sz w:val="24"/>
          <w:szCs w:val="24"/>
        </w:rPr>
        <w:t xml:space="preserve"> of which 6,039 unique records were screened by title. </w:t>
      </w:r>
      <w:r>
        <w:rPr>
          <w:rFonts w:ascii="Cambria" w:cs="Cambria" w:eastAsia="Cambria" w:hAnsi="Cambria"/>
          <w:color w:val="000000"/>
          <w:sz w:val="24"/>
          <w:szCs w:val="24"/>
        </w:rPr>
        <w:t xml:space="preserve">After abstract screening, full-text assessment and quality appraisal, 25 primary studies published between 2020 and 2026 were included, together with 19 supporting references retained outside the corpus and three secondary studies that were used as background only.</w:t>
      </w:r>
      <w:r>
        <w:rPr>
          <w:rFonts w:ascii="Cambria" w:cs="Cambria" w:eastAsia="Cambria" w:hAnsi="Cambria"/>
          <w:color w:val="000000"/>
          <w:sz w:val="24"/>
          <w:szCs w:val="24"/>
        </w:rPr>
        <w:t xml:space="preserve">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00"/>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000000"/>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and temporal validity and revocation are enforced at decision time in a few. Identity and authority are separated most clearly where guardianship or professional licensing is verified against an external register or credential. Multi-party approval exists in six mechanism classes. The review also found that these conditions are not conjoined. Multi-party approval does not appear as a standing condition of every access decision. It appears instead as joint approval on a contingency path with key-share reconstruction, an institution-side gate or a consumer-side delegated threshold. In other studies it appears as a patient-appointed witness threshold, a custodial M-of-N around a policy engine, or a guardian co-consent at consent registration. The purpose and data-scope policy is never conjoined with multi-party approval. Temporal and lifecycle enforcement at the consent level is rarely verified.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00"/>
          <w:sz w:val="24"/>
          <w:szCs w:val="24"/>
        </w:rPr>
        <w:t xml:space="preserve">These two gaps define the research undertaken in the remainder of this report. </w:t>
      </w:r>
      <w:r>
        <w:rPr>
          <w:rFonts w:ascii="Cambria" w:cs="Cambria" w:eastAsia="Cambria" w:hAnsi="Cambria"/>
          <w:color w:val="000000"/>
          <w:sz w:val="24"/>
          <w:szCs w:val="24"/>
        </w:rPr>
        <w:t xml:space="preserve">The conjunction gap motivates a consent object whose components are evaluated as separate predicates. These components are the participating identities, the guardian set G and the threshold N, the purpose and data scope, and the validity interval. They also include the jurisdiction, the lifecycle state and the evidence, and the conjunction of these predicates determines every access decision.</w:t>
      </w:r>
      <w:r>
        <w:rPr>
          <w:rFonts w:ascii="Cambria" w:cs="Cambria" w:eastAsia="Cambria" w:hAnsi="Cambria"/>
          <w:color w:val="000000"/>
          <w:sz w:val="24"/>
          <w:szCs w:val="24"/>
        </w:rPr>
        <w:t xml:space="preserve">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00"/>
          <w:sz w:val="24"/>
          <w:szCs w:val="24"/>
        </w:rPr>
        <w:t xml:space="preserve">Figure 5 summarises this synthesis, showing that </w:t>
      </w:r>
      <w:r>
        <w:rPr>
          <w:rFonts w:ascii="Cambria" w:cs="Cambria" w:eastAsia="Cambria" w:hAnsi="Cambria"/>
          <w:color w:val="000000"/>
          <w:sz w:val="24"/>
          <w:szCs w:val="24"/>
        </w:rPr>
        <w:t xml:space="preserve">each requirement is satisfied by some of the 25 studies</w:t>
      </w:r>
      <w:r>
        <w:rPr>
          <w:rFonts w:ascii="Cambria" w:cs="Cambria" w:eastAsia="Cambria" w:hAnsi="Cambria"/>
          <w:color w:val="000000"/>
          <w:sz w:val="24"/>
          <w:szCs w:val="24"/>
        </w:rPr>
        <w:t xml:space="preserve">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000000"/>
          <w:sz w:val="24"/>
          <w:szCs w:val="24"/>
        </w:rPr>
        <w:t xml:space="preserve">The systematic literature review of 25 primary studies presented in Chapter 2 (Section 2.5) indicates that substantial research</w:t>
      </w:r>
      <w:r>
        <w:rPr>
          <w:rFonts w:ascii="Cambria" w:cs="Cambria" w:eastAsia="Cambria" w:hAnsi="Cambria"/>
          <w:color w:val="000000"/>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000000"/>
          <w:sz w:val="24"/>
          <w:szCs w:val="24"/>
        </w:rPr>
        <w:t xml:space="preserve">policy-based authorisation, and multi-party approval. Representative examples are the blockchain EHR review of [1] and the dynamic consent model of [13], the DID and VC survey of [20], the attribute-based encryption scheme of [32], the access-control survey of [25] and the multi-party mechanisms of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000000"/>
          <w:sz w:val="24"/>
          <w:szCs w:val="24"/>
        </w:rPr>
        <w:t xml:space="preserve">They are commonly investigated as independent technical solutions. The few studies that coordinate several of them in one decision</w:t>
      </w:r>
      <w:r>
        <w:rPr>
          <w:rFonts w:ascii="Cambria" w:cs="Cambria" w:eastAsia="Cambria" w:hAnsi="Cambria"/>
          <w:color w:val="000000"/>
          <w:sz w:val="24"/>
          <w:szCs w:val="24"/>
        </w:rPr>
        <w:t xml:space="preserve">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000000"/>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w:t>
      </w:r>
      <w:r>
        <w:rPr>
          <w:rFonts w:ascii="Cambria" w:cs="Cambria" w:eastAsia="Cambria" w:hAnsi="Cambria"/>
          <w:color w:val="000000"/>
          <w:sz w:val="24"/>
          <w:szCs w:val="24"/>
        </w:rPr>
        <w:t xml:space="preserve">Such a model establishes evidence that a consent decision occurred. It does not necessarily establish that the requester possesses the required authority, or that all required parties have independently approved the access. It also does not establish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000000"/>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000000"/>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color w:val="000000"/>
          <w:sz w:val="24"/>
          <w:szCs w:val="24"/>
        </w:rPr>
        <w:t xml:space="preserve">From a Trust Computing perspective, this leads to a more fundamental research problem. Trustworthy access should be understood as the outcome of several independent conditions that are each verified and that are all satisfied together. The relevant conditions are the legitimacy of the participating identities, the authority associated with those identities, the satisfaction of the required collective approval and the compliance of the requested operation with the policy defined by the consent. In this context, the research does not treat trust as a static attribute of a particular entity or technology. It treats trust as a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color w:val="000000"/>
          <w:sz w:val="24"/>
          <w:szCs w:val="24"/>
        </w:rPr>
        <w:t xml:space="preserve">The identified gap can therefore be stated as follows. Existing healthcare consent and access-control research provides many of the necessary technological building blocks. However, there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00"/>
          <w:sz w:val="24"/>
          <w:szCs w:val="24"/>
        </w:rPr>
        <w:t xml:space="preserve">In the terms of Section 2.5, these two requirements correspond to the conjunction gap and the assurance gap respectively. </w:t>
      </w:r>
      <w:r>
        <w:rPr>
          <w:rFonts w:ascii="Cambria" w:cs="Cambria" w:eastAsia="Cambria" w:hAnsi="Cambria"/>
          <w:color w:val="000000"/>
          <w:sz w:val="24"/>
          <w:szCs w:val="24"/>
        </w:rPr>
        <w:t xml:space="preserve">It should be noted that the approving set must be defined by the patient rather than by an institution. In the reviewed studies, the approving set is either defined on the institutional or delegate side [61, 50, 75], or it is appointed by the patient [69, 54]. In the latter case, it is evaluated only as a contingency path or as a key-custody threshold rather than on every access request.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00"/>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000000"/>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000000"/>
          <w:sz w:val="24"/>
          <w:szCs w:val="24"/>
        </w:rPr>
        <w:t xml:space="preserve">The formal component of security assurance therefore forms the remaining research scope and is developed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00"/>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w:t>
      </w:r>
      <w:r>
        <w:rPr>
          <w:rFonts w:ascii="Cambria" w:cs="Cambria" w:eastAsia="Cambria" w:hAnsi="Cambria"/>
          <w:color w:val="000000"/>
          <w:sz w:val="24"/>
          <w:szCs w:val="24"/>
        </w:rPr>
        <w:t xml:space="preserve">are referred to as RQ1 to RQ6 in Chapter 4 and in the remaining chapters, except in Section 5.1, where the full label SRQ is retained in the mapping of each sub-research question to the MVC layers.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color w:val="000000"/>
          <w:sz w:val="24"/>
          <w:szCs w:val="24"/>
        </w:rPr>
        <w:t xml:space="preserve">This formulation changes the role of consent from a passive record into an evaluable authorisation object. The security significance of the consent is not determined merely by the existence of a consent record. It is determined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000000"/>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w:t>
      </w:r>
      <w:r>
        <w:rPr>
          <w:rFonts w:ascii="Cambria" w:cs="Cambria" w:eastAsia="Cambria" w:hAnsi="Cambria"/>
          <w:color w:val="000000"/>
          <w:sz w:val="24"/>
          <w:szCs w:val="24"/>
        </w:rPr>
        <w:t xml:space="preserve">denote the set of independently verified authorisation participants and let N denote the required authorisation threshold. In this context,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is the subset of the guardian set G whose approvals have been independently verified, so that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G and 1 ≤ N ≤ |G|.</w:t>
      </w:r>
      <w:r>
        <w:rPr>
          <w:rFonts w:ascii="Cambria" w:cs="Cambria" w:eastAsia="Cambria" w:hAnsi="Cambria"/>
          <w:sz w:val="24"/>
          <w:szCs w:val="24"/>
        </w:rPr>
        <w:t xml:space="preserve">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color w:val="000000"/>
          <w:sz w:val="24"/>
          <w:szCs w:val="24"/>
        </w:rPr>
        <w:t xml:space="preserve">In the implemented framework, N is instantiated as |G|, the number of designated guardians, so that activation requires the approval of every listed guardian. Configurable k-of-n thresholds are identified as future work (Section 9.2), and the evaluated configuration is 2-of-2.</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color w:val="000000"/>
          <w:sz w:val="24"/>
          <w:szCs w:val="24"/>
        </w:rPr>
        <w:t xml:space="preserve">In this context, SRQ3 changes the interpretation of trust. Trust is no longer an assumption about a single trusted entity. It is a property that is established when several independently verified participants have jointly satisfied the authorisation requirement.</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color w:val="000000"/>
          <w:sz w:val="24"/>
          <w:szCs w:val="24"/>
        </w:rPr>
        <w:t xml:space="preserve">The consent object against which this predicate is evaluated is the six-component object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000000"/>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question of SRQ1 and Equation (2) name four dimensions, namely identity, authority requirements, policy constraints and authorisation evidence, whereas the consent object contains six components.</w:t>
      </w:r>
      <w:r>
        <w:rPr>
          <w:rFonts w:ascii="Cambria" w:cs="Cambria" w:eastAsia="Cambria" w:hAnsi="Cambria"/>
          <w:color w:val="000000"/>
          <w:sz w:val="24"/>
          <w:szCs w:val="24"/>
        </w:rPr>
        <w:t xml:space="preserve"> The temporal component T and the jurisdictional </w:t>
      </w:r>
      <w:r>
        <w:rPr>
          <w:rFonts w:ascii="Cambria" w:cs="Cambria" w:eastAsia="Cambria" w:hAnsi="Cambria"/>
          <w:color w:val="000000"/>
          <w:sz w:val="24"/>
          <w:szCs w:val="24"/>
        </w:rPr>
        <w:t xml:space="preserve">component L are required by Gap 1 of Section 2.5.1 and were made explicit during implementation as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defined in Section 6.5</w:t>
      </w:r>
      <w:r>
        <w:rPr>
          <w:rFonts w:ascii="Cambria" w:cs="Cambria" w:eastAsia="Cambria" w:hAnsi="Cambria"/>
          <w:color w:val="000000"/>
          <w:sz w:val="24"/>
          <w:szCs w:val="24"/>
        </w:rPr>
        <w:t xml:space="preserve"> rather than as an additional sub-research question.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example, if a consent authorises access to the data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access request declares the scope</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color w:val="000000"/>
          <w:sz w:val="24"/>
          <w:szCs w:val="24"/>
        </w:rPr>
        <w:t xml:space="preserve">Therefore, trustworthy authorisation requires trusted participants and sufficient approvals, and in addition it requires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000000"/>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1, t</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 ≤ t ≤ t</w:t>
      </w:r>
      <w:r>
        <w:rPr>
          <w:rFonts w:ascii="Cambria Math" w:cs="Cambria Math" w:eastAsia="Cambria Math" w:hAnsi="Cambria Math"/>
          <w:i/>
          <w:iCs/>
          <w:color w:val="000000"/>
          <w:sz w:val="22"/>
          <w:szCs w:val="22"/>
          <w:vertAlign w:val="subscript"/>
        </w:rPr>
        <w:t xml:space="preserve">e</w:t>
      </w:r>
      <w:r>
        <w:rPr>
          <w:rFonts w:ascii="Cambria Math" w:cs="Cambria Math" w:eastAsia="Cambria Math" w:hAnsi="Cambria Math"/>
          <w:i/>
          <w:iCs/>
          <w:color w:val="000000"/>
          <w:sz w:val="22"/>
          <w:szCs w:val="22"/>
        </w:rPr>
        <w:t xml:space="preserve">; 0, otherwise.</w:t>
      </w:r>
      <w:r>
        <w:rPr>
          <w:rFonts w:ascii="Cambria" w:cs="Cambria" w:eastAsia="Cambria" w:hAnsi="Cambria"/>
          <w:sz w:val="22"/>
          <w:szCs w:val="22"/>
        </w:rPr>
        <w:t xml:space="preserve">	(10)</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state and revocation conditions of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are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whereas Section 6.5 additionally evaluates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as a composite temporal and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that includes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w:t>
      </w:r>
      <w:r>
        <w:rPr>
          <w:rFonts w:ascii="Cambria" w:cs="Cambria" w:eastAsia="Cambria" w:hAnsi="Cambria"/>
          <w:color w:val="000000"/>
          <w:sz w:val="24"/>
          <w:szCs w:val="24"/>
        </w:rPr>
        <w:t xml:space="preserve">It should also be noted that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w:t>
      </w:r>
      <w:r>
        <w:rPr>
          <w:rFonts w:ascii="Cambria" w:cs="Cambria" w:eastAsia="Cambria" w:hAnsi="Cambria"/>
          <w:color w:val="000000"/>
          <w:sz w:val="24"/>
          <w:szCs w:val="24"/>
        </w:rPr>
        <w:t xml:space="preserve"> jurisdictional predicate, which corresponds to the component L of the consent object.</w:t>
      </w:r>
    </w:p>
    <w:p>
      <w:pPr>
        <w:spacing w:after="140" w:line="300"/>
        <w:jc w:val="both"/>
      </w:pPr>
      <w:r>
        <w:rPr>
          <w:rFonts w:ascii="Cambria" w:cs="Cambria" w:eastAsia="Cambria" w:hAnsi="Cambria"/>
          <w:color w:val="000000"/>
          <w:sz w:val="24"/>
          <w:szCs w:val="24"/>
        </w:rPr>
        <w:t xml:space="preserve">It should be noted that Section 6.4 also writes the data-scope condition of Equation (9) as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for this reason the lifecycle predicate is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w:t>
      </w:r>
      <w:r>
        <w:rPr>
          <w:rFonts w:ascii="Cambria" w:cs="Cambria" w:eastAsia="Cambria" w:hAnsi="Cambria"/>
          <w:color w:val="000000"/>
          <w:sz w:val="24"/>
          <w:szCs w:val="24"/>
        </w:rPr>
        <w:t xml:space="preserve">The purpose is to determine whether the prototype can execute valid consent workflows. In addition, the purpose is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color w:val="000000"/>
          <w:sz w:val="24"/>
          <w:szCs w:val="24"/>
        </w:rPr>
        <w:t xml:space="preserve">SRQ6 therefore represents the final assurance stage of the research programme. It connects formal security reasoning with evidence from the implementation. Together, these two forms of analysis provide evidence that the proposed framework is conceptually defined and that it can also enforce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color w:val="000000"/>
          <w:sz w:val="24"/>
          <w:szCs w:val="24"/>
        </w:rPr>
        <w:t xml:space="preserve">The six sub-research questions are not independent technical questions. They represent successive and interdependent trust conditions within a single healthcare data authorisation problem.</w:t>
      </w:r>
      <w:r>
        <w:rPr>
          <w:rFonts w:ascii="Cambria" w:cs="Cambria" w:eastAsia="Cambria" w:hAnsi="Cambria"/>
          <w:sz w:val="24"/>
          <w:szCs w:val="24"/>
        </w:rPr>
        <w:t xml:space="preserve">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00"/>
          <w:sz w:val="24"/>
          <w:szCs w:val="24"/>
        </w:rPr>
        <w:t xml:space="preserve">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000000"/>
          <w:sz w:val="24"/>
          <w:szCs w:val="24"/>
        </w:rPr>
        <w:t xml:space="preserve">The research questions are ordered so that each one builds on the previous one. SRQ1 establishes the consent representation. SRQ2 establishes participant trust on that representation. SRQ3 uses trusted participants to establish collective authorisation, and SRQ4 adds policy enforcement to the resulting decision. SRQ5 adds temporal and lifecycle control over the decision, and SRQ6 provides security assurance and validation of the whole. In this way the questions connect the interaction of the participants with the authorisation checks that the system performs.</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color w:val="000000"/>
          <w:sz w:val="24"/>
          <w:szCs w:val="24"/>
        </w:rPr>
        <w:t xml:space="preserve">This progression provides a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 the proposed framework they are complementary mechanisms within a single trust-oriented authorisation model.</w:t>
      </w:r>
    </w:p>
    <w:p>
      <w:pPr>
        <w:spacing w:after="140" w:line="300"/>
        <w:jc w:val="both"/>
      </w:pPr>
      <w:r>
        <w:rPr>
          <w:rFonts w:ascii="Cambria" w:cs="Cambria" w:eastAsia="Cambria" w:hAnsi="Cambria"/>
          <w:color w:val="000000"/>
          <w:sz w:val="24"/>
          <w:szCs w:val="24"/>
        </w:rPr>
        <w:t xml:space="preserve">Accordingly, the contribution of the research is not simply the implementation of a blockchain-based consent prototype. The research investigates how multiple trust conditions can be represented explicitly, evaluated independently and enforced jointly in a decentralised healthcare data-sharing environment, and how the resulting decision can be reasoned about formally and validated empirically. The six research questions therefore define the integrated research problem together, and they correspond directly to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000000"/>
          <w:sz w:val="24"/>
          <w:szCs w:val="24"/>
        </w:rPr>
        <w:t xml:space="preserve">The first four objectives establish the foundational trust-oriented authorisation mechanisms investigated during the current stage, RO5 has been operationalised in the current prototype. The empirical component of RO6 has been partially delivered, so that the formal component of RO6 and the remaining empirical work are carried into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color w:val="000000"/>
          <w:sz w:val="24"/>
          <w:szCs w:val="24"/>
        </w:rPr>
        <w:t xml:space="preserve">In the implemented framework, the designated guardians are defined at consent creation, each EIP-712 approval is verified through signature recovery, and a valid signature is required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000000"/>
          <w:sz w:val="24"/>
          <w:szCs w:val="24"/>
        </w:rPr>
        <w:t xml:space="preserve">In the implemented framework, the policy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records notBefore and expiry on-chain within the consent token. It also implements end-to-end revocation, including an on-chain revoke transaction, and manages the consent through an explicit lifecycle state machine. The remaining work therefore concerns hardening these controls and extending them to consent modification, delegation and guardian-set changes (Section 9.2), rather than introducing them.</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t>
      </w:r>
      <w:r>
        <w:rPr>
          <w:rFonts w:ascii="Cambria" w:cs="Cambria" w:eastAsia="Cambria" w:hAnsi="Cambria"/>
          <w:color w:val="000000"/>
          <w:sz w:val="24"/>
          <w:szCs w:val="24"/>
        </w:rPr>
        <w:t xml:space="preserve">Whereas the current stage establishes whether an authorisation can be considered valid</w:t>
      </w:r>
      <w:r>
        <w:rPr>
          <w:rFonts w:ascii="Cambria" w:cs="Cambria" w:eastAsia="Cambria" w:hAnsi="Cambria"/>
          <w:sz w:val="24"/>
          <w:szCs w:val="24"/>
        </w:rPr>
        <w:t xml:space="preserve">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of this objective has been partially delivered in the current stage, as reported in Section 7.6 and summarised later in this section. The automated tests cover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of the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color w:val="000000"/>
          <w:sz w:val="24"/>
          <w:szCs w:val="24"/>
        </w:rPr>
        <w:t xml:space="preserve">RO6 addresses RQ6 and combines formal security assurance with empirical validation of the proposed framework. The formal component, which is planned for the next stage, will specify and analyse the security properties, consistency requirements and soundness conditions of the trust-oriented authorisation mechanism. The empirical component evaluates the implementation through representative consent workflows, negative and adversarial scenarios and testing of the HALAH prototype.</w:t>
      </w:r>
      <w:r>
        <w:rPr>
          <w:rFonts w:ascii="Cambria" w:cs="Cambria" w:eastAsia="Cambria" w:hAnsi="Cambria"/>
          <w:sz w:val="24"/>
          <w:szCs w:val="24"/>
        </w:rPr>
        <w:t xml:space="preserve"> </w:t>
      </w:r>
    </w:p>
    <w:p>
      <w:pPr>
        <w:spacing w:after="140" w:line="300"/>
        <w:jc w:val="both"/>
      </w:pPr>
      <w:r>
        <w:rPr>
          <w:rFonts w:ascii="Cambria" w:cs="Cambria" w:eastAsia="Cambria" w:hAnsi="Cambria"/>
          <w:color w:val="000000"/>
          <w:sz w:val="24"/>
          <w:szCs w:val="24"/>
        </w:rPr>
        <w:t xml:space="preserve">The objective is to establish that the prototype can execute valid consent workflows. In addition, the objective is to establish that the prototype behaves correctly when one or more trust conditions are violated.</w:t>
      </w:r>
      <w:r>
        <w:rPr>
          <w:rFonts w:ascii="Cambria" w:cs="Cambria" w:eastAsia="Cambria" w:hAnsi="Cambria"/>
          <w:sz w:val="24"/>
          <w:szCs w:val="24"/>
        </w:rPr>
        <w:t xml:space="preserve">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000000"/>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Because each research question corresponds to one requirement of Section 2.2 and to one gap of Section 2.5.1, </w:t>
      </w:r>
      <w:r>
        <w:rPr>
          <w:rFonts w:ascii="Cambria" w:cs="Cambria" w:eastAsia="Cambria" w:hAnsi="Cambria"/>
          <w:color w:val="000000"/>
          <w:sz w:val="24"/>
          <w:szCs w:val="24"/>
        </w:rPr>
        <w:t xml:space="preserve">each objective also corresponds to the gap of the same number, so that RO1 addresses Gap 1,</w:t>
      </w:r>
      <w:r>
        <w:rPr>
          <w:rFonts w:ascii="Cambria" w:cs="Cambria" w:eastAsia="Cambria" w:hAnsi="Cambria"/>
          <w:color w:val="000000"/>
          <w:sz w:val="24"/>
          <w:szCs w:val="24"/>
        </w:rPr>
        <w:t xml:space="preserve"> RO2 addresses Gap 2, and so on to RO6 and Gap 6.</w:t>
      </w:r>
    </w:p>
    <w:p>
      <w:pPr>
        <w:spacing w:after="140" w:line="300"/>
        <w:jc w:val="both"/>
      </w:pPr>
      <w:r>
        <w:rPr>
          <w:rFonts w:ascii="Cambria" w:cs="Cambria" w:eastAsia="Cambria" w:hAnsi="Cambria"/>
          <w:color w:val="000000"/>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000000"/>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can be formally demonstrated, building on the empirical evidence already obtained.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6.1 (progress in Section 7.1)</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6.2 (progress in Section 7.2)</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6.4 (progress in Section 7.4)</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6.5 (progress in Section 7.5)</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6.6 (progress in Section 7.6)</w:t>
            </w:r>
          </w:p>
        </w:tc>
      </w:tr>
    </w:tbl>
    <w:p>
      <w:pPr>
        <w:spacing w:after="180"/>
      </w:pPr>
    </w:p>
    <w:p>
      <w:pPr>
        <w:spacing w:after="140" w:line="300"/>
        <w:jc w:val="both"/>
      </w:pPr>
      <w:r>
        <w:rPr>
          <w:rFonts w:ascii="Cambria" w:cs="Cambria" w:eastAsia="Cambria" w:hAnsi="Cambria"/>
          <w:color w:val="000000"/>
          <w:sz w:val="24"/>
          <w:szCs w:val="24"/>
        </w:rPr>
        <w:t xml:space="preserve">The overall research argument is that trustworthy patient consent should not be understood as a single technological artefact or as the outcome of a single access-control operation. It should be understood as a security decision that results from a set of independently verifiable conditions. The contribution of the research is therefore a trust-oriented authorisation framework through which these conditions can be represented, evaluated, enforced and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000000"/>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000000"/>
          <w:sz w:val="24"/>
          <w:szCs w:val="24"/>
        </w:rPr>
        <w:t xml:space="preserve">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(C, t) represents temporal validity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 represents jurisdictional compliance, while the lifecycle state and its transitions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000000"/>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w:t>
      </w:r>
      <w:r>
        <w:rPr>
          <w:rFonts w:ascii="Cambria" w:cs="Cambria" w:eastAsia="Cambria" w:hAnsi="Cambria"/>
          <w:color w:val="000000"/>
          <w:sz w:val="24"/>
          <w:szCs w:val="24"/>
        </w:rPr>
        <w:t xml:space="preserve">The purpose of this architectural decomposition is not simply to follow a conventional software engineering pattern. Its purpose is to establish explicit boundaries between the information that represents trust and the interfaces through which participants express their actions. It also separates both of these from the mechanisms that determine whether those actions should result in an authorisation decision.</w:t>
      </w:r>
      <w:r>
        <w:rPr>
          <w:rFonts w:ascii="Cambria" w:cs="Cambria" w:eastAsia="Cambria" w:hAnsi="Cambria"/>
          <w:sz w:val="24"/>
          <w:szCs w:val="24"/>
        </w:rPr>
        <w:t xml:space="preserve">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000000"/>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00"/>
          <w:sz w:val="24"/>
          <w:szCs w:val="24"/>
        </w:rPr>
        <w:t xml:space="preserve">MVC was selected in preference to a purely on-chain design for two reasons. First, the authorisation decision must combine the identity, threshold, policy, temporal and jurisdictional evaluation performed by the Controller with the anchoring of consent state on the blockchain. Second, the pattern allows each stakeholder interface to be replaced without altering the enforcement logic. This is necessary if the trust predicates are to be evaluated independently of any particular user interface.</w:t>
      </w:r>
      <w:r>
        <w:rPr>
          <w:rFonts w:ascii="Cambria" w:cs="Cambria" w:eastAsia="Cambria" w:hAnsi="Cambria"/>
          <w:color w:val="000000"/>
          <w:sz w:val="24"/>
          <w:szCs w:val="24"/>
        </w:rPr>
        <w:t xml:space="preserve">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476625"/>
            <wp:effectExtent t="0" r="0" b="0" l="0"/>
            <wp:docPr id="1" name="arch6.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766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two implementation components. The first is a ZK Proof Service, which generates and verifies the Groth16 proof and feeds its result directly into the Authorisation Decision. The second is an On-chain Anchor Service, which performs the minting and revocation transactions asynchronously. The Model layer correspondingly contains the ConsentSBTv3 contract deployed on Sepolia together with the application audit ledger. A revocation path flows from the Patient interface through the Controller to both the ledger and the contract. In addition, an external independent verification tool, described in Section 6.8.9,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check that each DID is well formed, and that the requester's role and jurisdiction are declared in the interface rather than authenticated. Wallet-held signing keys and authenticated verifiable credentials are deferred to the production design and are therefore identified as future work. Guardian approvals are nevertheless verified cryptographically in the prototype. Each approval is an EIP-712 typed-data signature bound to the consent identifier. Consequently,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000000"/>
          <w:sz w:val="24"/>
          <w:szCs w:val="24"/>
        </w:rPr>
        <w:t xml:space="preserve">In the implemented prototype the Controller layer comprises eight principal functions rather than the six functions of the conceptual model described below. The two additional functions are Cryptographic Proof Generation and Verification, which is realised through the Groth16 proving system, and On-chain Anchoring and State Synchronisation, which performs the Sepolia mint and revoke operations as a background process. The Controller row of Figure 7 shows the six functions of the conceptual model; the two additional implementation components are described in Chapter 6.</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w:t>
      </w:r>
      <w:r>
        <w:rPr>
          <w:rFonts w:ascii="Cambria" w:cs="Cambria" w:eastAsia="Cambria" w:hAnsi="Cambria"/>
          <w:color w:val="000000"/>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w:t>
      </w:r>
      <w:r>
        <w:rPr>
          <w:rFonts w:ascii="Cambria" w:cs="Cambria" w:eastAsia="Cambria" w:hAnsi="Cambria"/>
          <w:color w:val="000000"/>
          <w:sz w:val="24"/>
          <w:szCs w:val="24"/>
        </w:rPr>
        <w:t xml:space="preserve">The DID component represents decentralised identity information, and the VC component represents credential and authority evidence. The Consent component represents the structured patient authorisation object, the Approval component represents verified multi-party approval evidence, and the Policy component represents purpose and data-scope constraints. The Evidence component represents evidence generated throughout the authorisation process, and the Lifecycle component represents the current state of the consent object and its permissible transitions.</w:t>
      </w:r>
      <w:r>
        <w:rPr>
          <w:rFonts w:ascii="Cambria" w:cs="Cambria" w:eastAsia="Cambria" w:hAnsi="Cambria"/>
          <w:sz w:val="24"/>
          <w:szCs w:val="24"/>
        </w:rPr>
        <w:t xml:space="preserve">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keepNext/>
        <w:spacing w:after="60" w:before="140"/>
        <w:jc w:val="center"/>
      </w:pPr>
      <w:r>
        <w:drawing>
          <wp:inline distT="0" distB="0" distL="0" distR="0">
            <wp:extent cx="5715000" cy="2209800"/>
            <wp:effectExtent t="0" r="0" b="0" l="0"/>
            <wp:docPr id="1" name="arch7.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w:t>
      </w:r>
      <w:r>
        <w:rPr>
          <w:rFonts w:ascii="Cambria" w:cs="Cambria" w:eastAsia="Cambria" w:hAnsi="Cambria"/>
          <w:color w:val="000000"/>
          <w:sz w:val="24"/>
          <w:szCs w:val="24"/>
        </w:rPr>
        <w:t xml:space="preserve">The relationship between the MVC components and the trust predicates introduced by SRQ1–SRQ5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Figure 8 the corresponding component is labelled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where j = Jur(R) is the jurisdiction declared in the request. This is the same predicate that is written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in Eq. (59) and abbreviated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257800"/>
            <wp:effectExtent t="0" r="0" b="0" l="0"/>
            <wp:docPr id="1" name="arch8.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257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w:t>
      </w:r>
      <w:r>
        <w:rPr>
          <w:rFonts w:ascii="Cambria" w:cs="Cambria" w:eastAsia="Cambria" w:hAnsi="Cambria"/>
          <w:color w:val="000000"/>
          <w:sz w:val="24"/>
          <w:szCs w:val="24"/>
        </w:rPr>
        <w:t xml:space="preserve">This ensures that the architecture supports accountability and subsequent verification in addition to access enforcement.</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00"/>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000000"/>
          <w:sz w:val="24"/>
          <w:szCs w:val="24"/>
        </w:rPr>
        <w:t xml:space="preserve">and the independent verification tool described in Section 6.8.9 provide</w:t>
      </w:r>
      <w:r>
        <w:rPr>
          <w:rFonts w:ascii="Cambria" w:cs="Cambria" w:eastAsia="Cambria" w:hAnsi="Cambria"/>
          <w:color w:val="000000"/>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000000"/>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000000"/>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w:t>
      </w:r>
      <w:r>
        <w:rPr>
          <w:rFonts w:ascii="Cambria" w:cs="Cambria" w:eastAsia="Cambria" w:hAnsi="Cambria"/>
          <w:color w:val="000000"/>
          <w:sz w:val="24"/>
          <w:szCs w:val="24"/>
        </w:rPr>
        <w:t xml:space="preserve">It should be noted that the framework explicitly separates identity authentication from 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000000"/>
          <w:sz w:val="24"/>
          <w:szCs w:val="24"/>
        </w:rPr>
        <w:t xml:space="preserve">Multi-party authorisation is satisfied when the threshold condition of Eq. (28) holds.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keepNext/>
        <w:spacing w:after="60" w:before="140"/>
        <w:jc w:val="center"/>
      </w:pPr>
      <w:r>
        <w:drawing>
          <wp:inline distT="0" distB="0" distL="0" distR="0">
            <wp:extent cx="4191000" cy="6819900"/>
            <wp:effectExtent t="0" r="0" b="0" l="0"/>
            <wp:docPr id="1" name="arch9.png" descr="Figure 9: End-to-end workflow of the trust-oriented consent authorisation framework" title="Figure 9: 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6819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the trust-oriented consent authorisation framework</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color w:val="000000"/>
          <w:sz w:val="24"/>
          <w:szCs w:val="24"/>
        </w:rPr>
        <w:t xml:space="preserve">Figure 9 further shows the steps that follow the threshold check. Once all |G| guardians have signed and the N-of-N condition of Eq. (28) is satisfied, the consent token is minted in the local ledger, and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before access is granted, and the audit evidence is recorded. The flow then continues through patient-initiated revocation and the corresponding on-chain revoke transaction. Finally, the auditor reviews the record, and the verification tool of Section 6.8.9 performs an independent verification.</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000000"/>
          <w:sz w:val="24"/>
          <w:szCs w:val="24"/>
        </w:rPr>
        <w:t xml:space="preserve">For the foundational authorisation core established by RO1–RO4, the decision can be expressed, as in Equation (24),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w:t>
      </w:r>
      <w:r>
        <w:rPr>
          <w:rFonts w:ascii="Cambria" w:cs="Cambria" w:eastAsia="Cambria" w:hAnsi="Cambria"/>
          <w:color w:val="000000"/>
          <w:sz w:val="24"/>
          <w:szCs w:val="24"/>
        </w:rPr>
        <w:t xml:space="preserve">It should be noted that both successful and denied decisions should be recorded. A trustworthy authorisation framework requires accountability for the data that were released and also for the access attempts that were rejected.</w:t>
      </w:r>
      <w:r>
        <w:rPr>
          <w:rFonts w:ascii="Cambria" w:cs="Cambria" w:eastAsia="Cambria" w:hAnsi="Cambria"/>
          <w:sz w:val="24"/>
          <w:szCs w:val="24"/>
        </w:rPr>
        <w:t xml:space="preserve">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00"/>
          <w:sz w:val="24"/>
          <w:szCs w:val="24"/>
        </w:rPr>
        <w:t xml:space="preserve">It should be noted that Eq. (30) expresses the foundational core only. In the complete model,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000000"/>
          <w:sz w:val="24"/>
          <w:szCs w:val="24"/>
        </w:rPr>
        <w:t xml:space="preserve">In this representation, I represents identity-related information associated with the relevant participants, and A represents the authorisation requirements that must be satisfied before access can be granted. P represents the policy conditions governing purpose and healthcare data scope, and E represents the evidence generated throughout the authorisation process.</w:t>
      </w:r>
      <w:r>
        <w:rPr>
          <w:rFonts w:ascii="Cambria" w:cs="Cambria" w:eastAsia="Cambria" w:hAnsi="Cambria"/>
          <w:sz w:val="24"/>
          <w:szCs w:val="24"/>
        </w:rPr>
        <w:t xml:space="preserve">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000000"/>
          <w:sz w:val="24"/>
          <w:szCs w:val="24"/>
        </w:rPr>
        <w:t xml:space="preserve">Let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w:t>
      </w:r>
      <w:r>
        <w:rPr>
          <w:rFonts w:ascii="Cambria" w:cs="Cambria" w:eastAsia="Cambria" w:hAnsi="Cambria"/>
          <w:color w:val="000000"/>
          <w:sz w:val="24"/>
          <w:szCs w:val="24"/>
        </w:rPr>
        <w:t xml:space="preserve">The authorisation condition can then be represented, as in Eq. (28),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000000"/>
          <w:sz w:val="24"/>
          <w:szCs w:val="24"/>
        </w:rPr>
        <w:t xml:space="preserve">This mechanism differs from the reviewed systems. In those systems joint approval is a contingency path [53], a witness or notary threshold [69], a registration-time co-consent [43, 47], an institution-side admission gate [75], a custodial M-of-N signature [61] or a key-share reconstruction [35, 54]. In a single-owner model, the compromise, error or misuse of one privileged account may be sufficient to produce an authorisation decision. In the proposed framework, trust is instead distributed across multiple independently verified participants. A sensitive access decision becomes valid only when the defined collective authorisation condition has been satisfied.</w:t>
      </w:r>
    </w:p>
    <w:p>
      <w:pPr>
        <w:spacing w:after="140" w:line="300"/>
        <w:jc w:val="both"/>
      </w:pPr>
      <w:r>
        <w:rPr>
          <w:rFonts w:ascii="Cambria" w:cs="Cambria" w:eastAsia="Cambria" w:hAnsi="Cambria"/>
          <w:color w:val="000000"/>
          <w:sz w:val="24"/>
          <w:szCs w:val="24"/>
        </w:rPr>
        <w:t xml:space="preserve">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denote the healthcare data scope authorised by the consent object and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(C), as stated in Section 6.5.</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000000"/>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spacing w:after="140" w:line="300"/>
        <w:jc w:val="both"/>
      </w:pPr>
      <w:r>
        <w:rPr>
          <w:rFonts w:ascii="Cambria" w:cs="Cambria" w:eastAsia="Cambria" w:hAnsi="Cambria"/>
          <w:color w:val="000000"/>
          <w:sz w:val="24"/>
          <w:szCs w:val="24"/>
        </w:rPr>
        <w:t xml:space="preserve">The implemented prototype described in Section 6.8 realises the consent representation defined in this section in full, including temporal validity, expiration, on-chain revocation and an explicit lifecycle state machine. Formal verification of the associated security properties, however, remains a matter for future work.</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000000"/>
          <w:sz w:val="24"/>
          <w:szCs w:val="24"/>
        </w:rPr>
        <w:t xml:space="preserve">The foundational authorisation decision for RO1–RO4 is therefore determined by the conjunction of the three core trust conditions, to which the temporal and jurisdictional predicates of Eq. (26) are added in the complete model. This is the rule of Eq. (30), restated here in the Controller context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000000"/>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00"/>
          <w:sz w:val="24"/>
          <w:szCs w:val="24"/>
        </w:rPr>
        <w:t xml:space="preserve">In Eq. (40),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(ai) denotes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000000"/>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w:t>
      </w:r>
      <w:r>
        <w:rPr>
          <w:rFonts w:ascii="Cambria" w:cs="Cambria" w:eastAsia="Cambria" w:hAnsi="Cambria"/>
          <w:color w:val="000000"/>
          <w:sz w:val="24"/>
          <w:szCs w:val="24"/>
        </w:rPr>
        <w:t xml:space="preserve">Credential represents authority or role-verification evidence, Approval represents the verified multi-party approval state</w:t>
      </w:r>
      <w:r>
        <w:rPr>
          <w:rFonts w:ascii="Cambria" w:cs="Cambria" w:eastAsia="Cambria" w:hAnsi="Cambria"/>
          <w:sz w:val="24"/>
          <w:szCs w:val="24"/>
        </w:rPr>
        <w:t xml:space="preserve">, P olicy represents the result of policy evaluation, Decision represents the final access outcome, and Audit represents the associated event record. The resulting audit trail provides a stronger governance capability than a simple record of successful access. </w:t>
      </w:r>
      <w:r>
        <w:rPr>
          <w:rFonts w:ascii="Cambria" w:cs="Cambria" w:eastAsia="Cambria" w:hAnsi="Cambria"/>
          <w:color w:val="000000"/>
          <w:sz w:val="24"/>
          <w:szCs w:val="24"/>
        </w:rPr>
        <w:t xml:space="preserve">An auditor can examine whether access occurred. The auditor can also examine whether the requester possessed a valid identity, whether the required authorisation threshold was satisfied, whether the requested data complied with the authorised scope, and which conditions produced the final decision.</w:t>
      </w:r>
      <w:r>
        <w:rPr>
          <w:rFonts w:ascii="Cambria" w:cs="Cambria" w:eastAsia="Cambria" w:hAnsi="Cambria"/>
          <w:sz w:val="24"/>
          <w:szCs w:val="24"/>
        </w:rPr>
        <w:t xml:space="preserve"> However, the blockchain itself is not treated as the source of trust. </w:t>
      </w:r>
      <w:r>
        <w:rPr>
          <w:rFonts w:ascii="Cambria" w:cs="Cambria" w:eastAsia="Cambria" w:hAnsi="Cambria"/>
          <w:color w:val="000000"/>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00"/>
          <w:sz w:val="24"/>
          <w:szCs w:val="24"/>
        </w:rPr>
        <w:t xml:space="preserve">The record ER is the per-request instance of the evidence component E of the consent object C. In the implementation it corresponds to the event rows of the audit ledger. For on-chain events these rows additionally carry the Sepolia transaction hash and block number, as described in Section 6.8.8.</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000000"/>
          <w:sz w:val="24"/>
          <w:szCs w:val="24"/>
        </w:rPr>
        <w:t xml:space="preserve">These properties are summarised in Table 12 together with the separation of interaction and enforcement established in Section 5.1.4. In Table 12, collective authorisation integrity is listed as multi-party authorisation integrity and decision accountability is listed as authorisation evidence.</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w:t>
      </w:r>
      <w:r>
        <w:rPr>
          <w:rFonts w:ascii="Cambria" w:cs="Cambria" w:eastAsia="Cambria" w:hAnsi="Cambria"/>
          <w:color w:val="000000"/>
          <w:sz w:val="24"/>
          <w:szCs w:val="24"/>
        </w:rPr>
        <w:t xml:space="preserve">It should be noted that the View does not determine whether an operation is authorised.</w:t>
      </w:r>
      <w:r>
        <w:rPr>
          <w:rFonts w:ascii="Cambria" w:cs="Cambria" w:eastAsia="Cambria" w:hAnsi="Cambria"/>
          <w:sz w:val="24"/>
          <w:szCs w:val="24"/>
        </w:rPr>
        <w:t xml:space="preserve">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00"/>
          <w:sz w:val="24"/>
          <w:szCs w:val="24"/>
        </w:rPr>
        <w:t xml:space="preserve">RO5 is realised through the temporal and lifecycle state held in the Model and the corresponding predicates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000000"/>
          <w:sz w:val="24"/>
          <w:szCs w:val="24"/>
        </w:rPr>
        <w:t xml:space="preserve">The key innovation is not the evaluable consent object as such, since the literature already provides such an object [71, 37, 44, 58]. The innovation is the conjunction in which the effectiveness of the consent depends on the joint satisfaction of identity, authority, collective approval, policy, temporal and jurisdictional conditions. This conjunction is evaluated on every access decision, and the assurance of that conjunction is also part of the contribution.</w:t>
      </w:r>
      <w:r>
        <w:rPr>
          <w:rFonts w:ascii="Cambria" w:cs="Cambria" w:eastAsia="Cambria" w:hAnsi="Cambria"/>
          <w:sz w:val="24"/>
          <w:szCs w:val="24"/>
        </w:rPr>
        <w:t xml:space="preserve"> For the current stage, the </w:t>
      </w:r>
      <w:r>
        <w:rPr>
          <w:rFonts w:ascii="Cambria" w:cs="Cambria" w:eastAsia="Cambria" w:hAnsi="Cambria"/>
          <w:color w:val="000000"/>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000000"/>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000000"/>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000000"/>
          <w:sz w:val="24"/>
          <w:szCs w:val="24"/>
        </w:rPr>
        <w:t xml:space="preserve">The Controller therefore already evaluates the corresponding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w:t>
      </w:r>
      <w:r>
        <w:rPr>
          <w:rFonts w:ascii="Cambria" w:cs="Cambria" w:eastAsia="Cambria" w:hAnsi="Cambria"/>
          <w:color w:val="000000"/>
          <w:sz w:val="24"/>
          <w:szCs w:val="24"/>
        </w:rPr>
        <w:t xml:space="preserve">Accordingly, the current stage architecture establishes the foundational security core of the research. The next stage will investigate whether this core can maintain trust dynamically over time beyond the lifecycle mechanisms already demonstrated in the prototype. It will also investigate whether the core can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00"/>
          <w:sz w:val="24"/>
          <w:szCs w:val="24"/>
        </w:rPr>
        <w:t xml:space="preserve">This chapter presents the proposed solution as six mechanisms, one for each research objective. Sections 6.1 to 6.6 define, for each objective, the formal condition, the workflow, the step-wise procedure and the corresponding algorithm. Each section also states which part of the mechanism is exercised by the current prototype and which part is reserved for the next stage. Section 6.7 relates the six algorithms to the research objectives.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000000"/>
          <w:sz w:val="24"/>
          <w:szCs w:val="24"/>
        </w:rPr>
        <w:t xml:space="preserve">where I represents patient and participant identity information, A represents authorisation requirements, P represents policy constraints, T represents the temporal validity window of the consent, L represents the jurisdiction in which the consent may be exercised, and E represents authorisation evidence.</w:t>
      </w:r>
    </w:p>
    <w:p>
      <w:pPr>
        <w:spacing w:after="140" w:line="300"/>
        <w:jc w:val="both"/>
      </w:pPr>
      <w:r>
        <w:rPr>
          <w:rFonts w:ascii="Cambria" w:cs="Cambria" w:eastAsia="Cambria" w:hAnsi="Cambria"/>
          <w:color w:val="000000"/>
          <w:sz w:val="24"/>
          <w:szCs w:val="24"/>
        </w:rPr>
        <w:t xml:space="preserve">The identity component identifies the patient and relevant participants.</w:t>
      </w:r>
      <w:r>
        <w:rPr>
          <w:rFonts w:ascii="Cambria" w:cs="Cambria" w:eastAsia="Cambria" w:hAnsi="Cambria"/>
          <w:sz w:val="24"/>
          <w:szCs w:val="24"/>
        </w:rPr>
        <w:t xml:space="preserve">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spacing w:after="140" w:line="300"/>
        <w:jc w:val="both"/>
      </w:pPr>
      <w:r>
        <w:rPr>
          <w:rFonts w:ascii="Cambria" w:cs="Cambria" w:eastAsia="Cambria" w:hAnsi="Cambria"/>
          <w:color w:val="000000"/>
          <w:sz w:val="24"/>
          <w:szCs w:val="24"/>
        </w:rPr>
        <w:t xml:space="preserve">In the current interface the purpose is fixed to Treatment and is not selected by the patient. The purpose vocabulary check of Section 6.4.3 is therefore exercised by the automated tests rather than by the interface. Figure 10 shows the resulting consent-creation workflow.</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idC are generated by the system.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the identity validation of Steps 1 to 3 is structural. The patient DID is selected from the loaded record set, each guardian DID must be a well-formed DID before the consent is stored, and the doctor DID is checked for DID format only when the access decision is evaluated.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00"/>
          <w:sz w:val="24"/>
          <w:szCs w:val="24"/>
        </w:rPr>
        <w:t xml:space="preserve">Step 6 also validates the declared jurisdiction L as a well-formed ISO alpha-2 territory code and binds it to the consent object, as described in Section 6.1.1, so that the subsequent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w:t>
      </w:r>
      <w:r>
        <w:rPr>
          <w:rFonts w:ascii="Cambria" w:cs="Cambria" w:eastAsia="Cambria" w:hAnsi="Cambria"/>
          <w:color w:val="000000"/>
          <w:sz w:val="24"/>
          <w:szCs w:val="24"/>
        </w:rPr>
        <w:t xml:space="preserve"> It is generated by the Consent Service as a universally unique identifier (UUID) when the patient submits the consent.</w:t>
      </w:r>
      <w:r>
        <w:rPr>
          <w:rFonts w:ascii="Cambria" w:cs="Cambria" w:eastAsia="Cambria" w:hAnsi="Cambria"/>
          <w:color w:val="000000"/>
          <w:sz w:val="24"/>
          <w:szCs w:val="24"/>
        </w:rPr>
        <w:t xml:space="preserve">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w:t>
      </w:r>
      <w:r>
        <w:rPr>
          <w:rFonts w:ascii="Cambria" w:cs="Cambria" w:eastAsia="Cambria" w:hAnsi="Cambria"/>
          <w:color w:val="000000"/>
          <w:sz w:val="24"/>
          <w:szCs w:val="24"/>
        </w:rPr>
        <w:t xml:space="preserve">The validated information is combined to construct the consent object C = (I, A, P, T, L, E). In this object, I represents the verified identity information and A represents the authorisation requirements. P represents the consent purpose and associated permissions, and E represents the evidence associated with the consent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The resulting object therefore records the patient’s preference together with the evidence required to support subsequent authorisation decisions.</w:t>
      </w:r>
      <w:r>
        <w:rPr>
          <w:rFonts w:ascii="Cambria" w:cs="Cambria" w:eastAsia="Cambria" w:hAnsi="Cambria"/>
          <w:sz w:val="24"/>
          <w:szCs w:val="24"/>
        </w:rPr>
        <w:t xml:space="preserve">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w:t>
      </w:r>
      <w:r>
        <w:rPr>
          <w:rFonts w:ascii="Cambria" w:cs="Cambria" w:eastAsia="Cambria" w:hAnsi="Cambria"/>
          <w:color w:val="000000"/>
          <w:sz w:val="24"/>
          <w:szCs w:val="24"/>
        </w:rPr>
        <w:t xml:space="preserve">Consequently, the resulting consent object is a structured authorisation artefact rather than a simple record of patient preference, and it provides the evidence required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Patient identity I</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authorised doctor D, guardian set G,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data scope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000000"/>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000000"/>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spacing w:after="140" w:line="300"/>
        <w:jc w:val="both"/>
      </w:pPr>
      <w:r>
        <w:rPr>
          <w:rFonts w:ascii="Cambria" w:cs="Cambria" w:eastAsia="Cambria" w:hAnsi="Cambria"/>
          <w:color w:val="000000"/>
          <w:sz w:val="24"/>
          <w:szCs w:val="24"/>
        </w:rPr>
        <w:t xml:space="preserve">Figure 12 presents this workflow.</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962650"/>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9626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w:t>
      </w:r>
      <w:r>
        <w:rPr>
          <w:rFonts w:ascii="Cambria" w:cs="Cambria" w:eastAsia="Cambria" w:hAnsi="Cambria"/>
          <w:color w:val="000000"/>
          <w:sz w:val="24"/>
          <w:szCs w:val="24"/>
        </w:rPr>
        <w:t xml:space="preserve">The current prototype performs a structural check of the participant's DID string only.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The condition VCvalid of Step 4 defines the target verification model rather than the behaviour presently exercised.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It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000000"/>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The N-of-N configuration was adopted for the prototype for two reasons. First, it is the most conservative instantiation of the threshold condition, because no designated guardian can be bypassed. Second, it allows the mechanism to be demonstrated without the quorum-selection and key-management questions that a general k-of-n threshold introduces. A configurable k-of-n threshold is a direct generalisation of the implemented mechanism. It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The signature is bound to the consent identifier, the guardian DID and the Sepolia chain identifier, and it is verified through off-chain signer recovery. The VC verification that precedes the signature is presently a DID-format check. In addition, the signing keys are derived deterministically from the guardian DIDs rather than held in wallets. It should be noted that this substitution is a limitation of the prototype.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At access time the recovery is repeated for every recorded signature within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whereas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counts the recorded approvals against N and checks the token identifier and the revocation flag.</w:t>
      </w:r>
    </w:p>
    <w:p>
      <w:pPr>
        <w:spacing w:after="140" w:line="300"/>
        <w:jc w:val="both"/>
      </w:pPr>
      <w:r>
        <w:rPr>
          <w:rFonts w:ascii="Cambria" w:cs="Cambria" w:eastAsia="Cambria" w:hAnsi="Cambria"/>
          <w:color w:val="000000"/>
          <w:sz w:val="24"/>
          <w:szCs w:val="24"/>
        </w:rPr>
        <w:t xml:space="preserve">Figure 13 presents the RO3 workflow.</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000000"/>
          <w:sz w:val="24"/>
          <w:szCs w:val="24"/>
        </w:rPr>
        <w:t xml:space="preserve">Formally, no approval already contained in the valid approval set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w:t>
      </w:r>
      <w:r>
        <w:rPr>
          <w:rFonts w:ascii="Cambria" w:cs="Cambria" w:eastAsia="Cambria" w:hAnsi="Cambria"/>
          <w:color w:val="000000"/>
          <w:sz w:val="24"/>
          <w:szCs w:val="24"/>
        </w:rPr>
        <w:t xml:space="preserve">It should be noted that only approvals that have passed the identity, authority, membership and duplicate checks are included in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000000"/>
          <w:sz w:val="24"/>
          <w:szCs w:val="24"/>
        </w:rPr>
        <w:t xml:space="preserve">Authorisation(C) = { ACTIVATED,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PENDING,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000000"/>
          <w:sz w:val="24"/>
          <w:szCs w:val="24"/>
        </w:rPr>
        <w:t xml:space="preserve">|A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with identifier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interval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and jurisdiction L; patient and requester addresses 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EIP-712 domain; approval a = (g,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submitted by guardian g; threshold N = |G|</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Verify identity and authority of g (Algorithm 2; structural DID check in the prototype);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the verification fails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the invalid approval and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w:t>
      </w:r>
    </w:p>
    <w:p>
      <w:pPr>
        <w:spacing w:after="20"/>
        <w:ind w:left="240"/>
      </w:pPr>
      <w:r>
        <w:rPr>
          <w:rFonts w:ascii="Cambria" w:cs="Cambria" w:eastAsia="Cambria" w:hAnsi="Cambria"/>
          <w:color w:val="000000"/>
          <w:sz w:val="18"/>
          <w:szCs w:val="18"/>
        </w:rPr>
        <w:t xml:space="preserve">4: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5: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14: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record a local token identifier; state ← ACTIVE once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has been reached</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w:t>
      </w:r>
      <w:r>
        <w:rPr>
          <w:rFonts w:ascii="Cambria" w:cs="Cambria" w:eastAsia="Cambria" w:hAnsi="Cambria"/>
          <w:color w:val="000000"/>
          <w:sz w:val="21"/>
          <w:szCs w:val="21"/>
        </w:rPr>
        <w:t xml:space="preserve">the contract stores keccak256(P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background job; </w:t>
      </w:r>
      <w:r>
        <w:rPr>
          <w:rFonts w:ascii="Cambria" w:cs="Cambria" w:eastAsia="Cambria" w:hAnsi="Cambria"/>
          <w:color w:val="000000"/>
          <w:sz w:val="21"/>
          <w:szCs w:val="21"/>
        </w:rPr>
        <w:t xml:space="preserve">reconciled on request from the guardian view</w:t>
      </w:r>
    </w:p>
    <w:p>
      <w:pPr>
        <w:spacing w:after="20"/>
        <w:ind w:left="600"/>
      </w:pPr>
      <w:r>
        <w:rPr>
          <w:rFonts w:ascii="Cambria" w:cs="Cambria" w:eastAsia="Cambria" w:hAnsi="Cambria"/>
          <w:color w:val="000000"/>
          <w:sz w:val="18"/>
          <w:szCs w:val="18"/>
        </w:rPr>
        <w:t xml:space="preserve">23:  </w:t>
      </w:r>
      <w:r>
        <w:rPr>
          <w:rFonts w:ascii="Cambria" w:cs="Cambria" w:eastAsia="Cambria" w:hAnsi="Cambria"/>
          <w:color w:val="000000"/>
          <w:sz w:val="21"/>
          <w:szCs w:val="21"/>
        </w:rPr>
        <w:t xml:space="preserve">on confirmation: replace the local token identifier with the on-chain token identifier</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25: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30: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000000"/>
          <w:sz w:val="24"/>
          <w:szCs w:val="24"/>
        </w:rPr>
        <w:t xml:space="preserve">The complete authorisation decision enforced by the implemented system is, as stated in Equation (26),</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 </w:t>
      </w:r>
      <w:r>
        <w:rPr>
          <w:rFonts w:ascii="Cambria" w:cs="Cambria" w:eastAsia="Cambria" w:hAnsi="Cambria"/>
          <w:color w:val="000000"/>
          <w:sz w:val="24"/>
          <w:szCs w:val="24"/>
        </w:rPr>
        <w:t xml:space="preserve">In the prototype the matrix column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records the purpose check VU only. The scope condition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separately by the scope check of the doctor subsystem, and the final decision combines the matrix with that scope check and with the verified access proof.</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w:t>
      </w:r>
      <w:r>
        <w:rPr>
          <w:rFonts w:ascii="Cambria" w:cs="Cambria" w:eastAsia="Cambria" w:hAnsi="Cambria"/>
          <w:color w:val="000000"/>
          <w:sz w:val="24"/>
          <w:szCs w:val="24"/>
        </w:rPr>
        <w:t xml:space="preserve">Figure 14 presents this workflow.</w:t>
      </w:r>
      <w:r>
        <w:rPr>
          <w:rFonts w:ascii="Cambria" w:cs="Cambria" w:eastAsia="Cambria" w:hAnsi="Cambria"/>
          <w:sz w:val="24"/>
          <w:szCs w:val="24"/>
        </w:rPr>
        <w:t xml:space="preserve"> For example, if</w:t>
      </w:r>
    </w:p>
    <w:p>
      <w:pPr>
        <w:spacing w:after="140" w:line="300"/>
        <w:jc w:val="both"/>
      </w:pP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C</w:t>
      </w:r>
      <w:r>
        <w:rPr>
          <w:rFonts w:ascii="Cambria Math" w:cs="Cambria Math" w:eastAsia="Cambria Math" w:hAnsi="Cambria Math"/>
          <w:i/>
          <w:iCs/>
          <w:color w:val="000000"/>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Consent object C, access request R = (u, P</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w:t>
      </w:r>
      <w:r>
        <w:rPr>
          <w:rFonts w:ascii="Cambria" w:cs="Cambria" w:eastAsia="Cambria" w:hAnsi="Cambria"/>
          <w:color w:val="000000"/>
          <w:sz w:val="24"/>
          <w:szCs w:val="24"/>
        </w:rPr>
        <w:t xml:space="preserve">The system must determine whether a consent exists, and it must also evaluate whether the current request satisfies the scope and purpose constraints of that consent.</w:t>
      </w:r>
      <w:r>
        <w:rPr>
          <w:rFonts w:ascii="Cambria" w:cs="Cambria" w:eastAsia="Cambria" w:hAnsi="Cambria"/>
          <w:sz w:val="24"/>
          <w:szCs w:val="24"/>
        </w:rPr>
        <w:t xml:space="preserve">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color w:val="000000"/>
          <w:sz w:val="24"/>
          <w:szCs w:val="24"/>
        </w:rPr>
        <w:t xml:space="preserve">The Policy-Aware Access Decision procedure determines whether a specific healthcare data-access request should be authorised. It does so by jointly evaluating the requesting participant’s identity and authority, the current consent state, and the required multi-party authorisation condition. It also evaluates the intended purpose and the requested data scope.</w:t>
      </w:r>
      <w:r>
        <w:rPr>
          <w:rFonts w:ascii="Cambria" w:cs="Cambria" w:eastAsia="Cambria" w:hAnsi="Cambria"/>
          <w:sz w:val="24"/>
          <w:szCs w:val="24"/>
        </w:rPr>
        <w:t xml:space="preserv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000000"/>
          <w:sz w:val="24"/>
          <w:szCs w:val="24"/>
        </w:rPr>
        <w:t xml:space="preserve">represented as R = (u,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000000"/>
          <w:sz w:val="24"/>
          <w:szCs w:val="24"/>
        </w:rPr>
        <w:t xml:space="preserve">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is designed so that a request violating the privacy constraint is refused before any data are released. A formal proof of this property forms part of the next-stage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000000"/>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000000"/>
          <w:sz w:val="24"/>
          <w:szCs w:val="24"/>
        </w:rPr>
        <w:t xml:space="preserve">PurposeMatch(P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ScopeMatch(S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w:t>
      </w:r>
      <w:r>
        <w:rPr>
          <w:rFonts w:ascii="Cambria" w:cs="Cambria" w:eastAsia="Cambria" w:hAnsi="Cambria"/>
          <w:color w:val="000000"/>
          <w:sz w:val="24"/>
          <w:szCs w:val="24"/>
        </w:rPr>
        <w:t xml:space="preserve">R → DID/VC → Consent State → Threshold → Purpose → Scope → Time → Jurisdiction → Policy Eval. → Evidence → Data Retr. →</w:t>
      </w:r>
      <w:r>
        <w:rPr>
          <w:rFonts w:ascii="Cambria" w:cs="Cambria" w:eastAsia="Cambria" w:hAnsi="Cambria"/>
          <w:sz w:val="24"/>
          <w:szCs w:val="24"/>
        </w:rPr>
        <w:t xml:space="preserve"> { ALLOW; DENY }</w:t>
      </w:r>
    </w:p>
    <w:p>
      <w:pPr>
        <w:spacing w:after="140" w:line="300"/>
        <w:jc w:val="both"/>
      </w:pPr>
      <w:r>
        <w:rPr>
          <w:rFonts w:ascii="Cambria" w:cs="Cambria" w:eastAsia="Cambria" w:hAnsi="Cambria"/>
          <w:color w:val="000000"/>
          <w:sz w:val="24"/>
          <w:szCs w:val="24"/>
        </w:rPr>
        <w:t xml:space="preserve">As stated in Section 6.3, the implemented approval threshold is N-of-N with N = |G|, and the evaluated configuration is 2-of-2.</w:t>
      </w:r>
      <w:r>
        <w:rPr>
          <w:rFonts w:ascii="Cambria" w:cs="Cambria" w:eastAsia="Cambria" w:hAnsi="Cambria"/>
          <w:color w:val="000000"/>
          <w:sz w:val="24"/>
          <w:szCs w:val="24"/>
        </w:rPr>
        <w:t xml:space="preserve">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the doctor does not declare a separate request purpose. The purpose bound to the consent is checked against the supported purpose vocabulary (Treatment, Research and Emergency) and is stored on-chain as keccak256(purpose), so that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presently evaluated over the consent purpose rather than over a requester-declared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 formal proof that no execution path can violate the privacy policy is left to future work.</w:t>
      </w:r>
    </w:p>
    <w:p>
      <w:pPr>
        <w:spacing w:after="140" w:line="300"/>
        <w:jc w:val="both"/>
      </w:pPr>
      <w:r>
        <w:rPr>
          <w:rFonts w:ascii="Cambria" w:cs="Cambria" w:eastAsia="Cambria" w:hAnsi="Cambria"/>
          <w:color w:val="000000"/>
          <w:sz w:val="24"/>
          <w:szCs w:val="24"/>
        </w:rPr>
        <w:t xml:space="preserve">In the HALAH implementation, the access-evidence step (Step 8)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color w:val="000000"/>
          <w:sz w:val="24"/>
          <w:szCs w:val="24"/>
        </w:rPr>
        <w:t xml:space="preserve">It should be noted that the denial of lines 7 to 10 of Algorithm 4,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(Figure 36) and by the automated tests rather than by a ledger row.</w:t>
      </w:r>
    </w:p>
    <w:p>
      <w:pPr>
        <w:spacing w:after="140" w:line="300"/>
        <w:jc w:val="both"/>
      </w:pPr>
      <w:r>
        <w:rPr>
          <w:rFonts w:ascii="Cambria" w:cs="Cambria" w:eastAsia="Cambria" w:hAnsi="Cambria"/>
          <w:color w:val="000000"/>
          <w:sz w:val="24"/>
          <w:szCs w:val="24"/>
        </w:rPr>
        <w:t xml:space="preserve">The final access decision can be formally expressed as ALLOW ⟺ Identity ∧ Consent ∧ Authority ∧ Threshold ∧ Purpose ∧ Scope ∧ Time ∧ Jurisdiction ∧ Evidence where the individual conditions are defined as follows. Identity, Consent, Authority and Threshold represent verified participant identity, active consent, sufficient authority and satisfied multi-party approval, respectively. Purpose, Scope, Time, Jurisdiction and Evidence represent 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color w:val="000000"/>
          <w:sz w:val="24"/>
          <w:szCs w:val="24"/>
        </w:rPr>
        <w:t xml:space="preserve">In this context, healthcare data access is not a simple credential-based permission check. It is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000000"/>
          <w:sz w:val="24"/>
          <w:szCs w:val="24"/>
        </w:rPr>
        <w:t xml:space="preserve">This objective was originally planned for the next stage (CA3). It has, however, been realised in the current prototype. The objective investigates how an authorisation remains trustworthy as time passes and as the consent state changes.</w:t>
      </w:r>
      <w:r>
        <w:rPr>
          <w:rFonts w:ascii="Cambria" w:cs="Cambria" w:eastAsia="Cambria" w:hAnsi="Cambria"/>
          <w:sz w:val="24"/>
          <w:szCs w:val="24"/>
        </w:rPr>
        <w:t xml:space="preserve"> </w:t>
      </w:r>
      <w:r>
        <w:rPr>
          <w:rFonts w:ascii="Cambria" w:cs="Cambria" w:eastAsia="Cambria" w:hAnsi="Cambria"/>
          <w:color w:val="000000"/>
          <w:sz w:val="24"/>
          <w:szCs w:val="24"/>
        </w:rPr>
        <w:t xml:space="preserve">The foundational model of Equation (37) evaluates identity, collective authorisation and policy compliance.</w:t>
      </w:r>
      <w:r>
        <w:rPr>
          <w:rFonts w:ascii="Cambria" w:cs="Cambria" w:eastAsia="Cambria" w:hAnsi="Cambria"/>
          <w:color w:val="000000"/>
          <w:sz w:val="24"/>
          <w:szCs w:val="24"/>
        </w:rPr>
        <w:t xml:space="preserve"> RO5 extends this model by introducing temporal and lifecycle conditions, and the extended rule is the one enforced by the prototype.</w:t>
      </w:r>
      <w:r>
        <w:rPr>
          <w:rFonts w:ascii="Cambria" w:cs="Cambria" w:eastAsia="Cambria" w:hAnsi="Cambria"/>
          <w:color w:val="000000"/>
          <w:sz w:val="24"/>
          <w:szCs w:val="24"/>
        </w:rPr>
        <w:t xml:space="preserve">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000000"/>
          <w:sz w:val="24"/>
          <w:szCs w:val="24"/>
        </w:rPr>
        <w:t xml:space="preserve">The jurisdictional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In the decision rules that follow,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is abbreviated to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because the request R is understood. It should be noted that this check produced the demonstrated denial, in which a request declaring jurisdiction SA was refused against a consent issued for AU. The jurisdiction L is validated and bound at consent creation (Section 6.1.1). Therefore, the disjunct Jur(C) = ∅ is not reached for any consent created through the current interface. In the demonstrated system the predicate reduces to strict equality, as the denial shown in Section 6.8.5 illustrates.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w:t>
      </w:r>
      <w:r>
        <w:rPr>
          <w:rFonts w:ascii="Cambria" w:cs="Cambria" w:eastAsia="Cambria" w:hAnsi="Cambria"/>
          <w:color w:val="000000"/>
          <w:sz w:val="24"/>
          <w:szCs w:val="24"/>
        </w:rPr>
        <w:t xml:space="preserve">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Revocation is executed both in the application state and as an on-chain revoke transaction confirmed in block 11,771,307.</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Figure 15 presents the RO5 workflow.</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access decision evaluates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from the application record. The on-chain functions checkValid and checkValidAt are read by the independent verification tool rather than by the Consent Engine.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In the HALAH prototype the implemented lifecycle states are PENDING_SIGNATURE, PENDING_TOKEN, NOT_STARTED, ACTIVE, EXPIRED and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These six states realise the conceptual lifecycle of Equation (12). PENDING_SIGNATURE and PENDING_TOKEN correspond to the Verification and Approval stages, NOT_STARTED and ACTIVE correspond to the Active stage before and within the validity interval, and EXPIRED and REVOKED correspond to the Expiration/Revocation stage.</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It should be noted that the symbol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in this section denotes the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of Eq. (13), extended here with the temporal condition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The implementation evaluates this predicate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It must not be confused with the data-scope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of Eq. (52). For this reason the lifecycle predicate is always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in this section.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 request validity layer.</w:t>
      </w:r>
      <w:r>
        <w:rPr>
          <w:rFonts w:ascii="Cambria" w:cs="Cambria" w:eastAsia="Cambria" w:hAnsi="Cambria"/>
          <w:color w:val="000000"/>
          <w:sz w:val="24"/>
          <w:szCs w:val="24"/>
        </w:rPr>
        <w:t xml:space="preserve"> Validity is re-established at each evaluated access request and is recorded as a STATE_CHECK event in the audit ledger. It is not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000000"/>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with the exception of the transition check of lines 16 to 20. The lifecycle state is derived at each evaluation from the recorded signatures, the token identifier and the revocation flag, and revocation is accepted from any state that is not already REVOKED. Its checks are executed at every access request submitted against an active consent and recorded as STATE_CHECK events in the audit ledger. Consequently, expiration and revocation already condition the demonstrated access decisions. They do not await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color w:val="000000"/>
          <w:sz w:val="24"/>
          <w:szCs w:val="24"/>
        </w:rPr>
        <w:t xml:space="preserve">Algorithm 5 therefore ensures that consent validity in the demonstrated decision process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000000"/>
          <w:sz w:val="24"/>
          <w:szCs w:val="24"/>
        </w:rPr>
        <w:t xml:space="preserve">The formal decision model is expressed in Equation (61)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presents the RO6 workflow for security assurance and empirical validation. Of the two forms of assurance, the empirical evaluation shown in the figure has been executed on the prototype, whereas the formal analysis of the decision rule remains planned. The empirical evidence consists of three parts, all of which are presented in Section 6.8. The first part is the 23 automated tests, which exercise per-dimension failures of the decision matrix, invalid EIP-712 guardian signatures, and tampered or expired proofs. The second part is the live demonstration on Sepolia, which includes the jurisdiction-based denial and the revocation followed by refusal. The third part is the independent re-verification of every recorded transaction against the chain.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000000"/>
          <w:sz w:val="24"/>
          <w:szCs w:val="24"/>
        </w:rPr>
        <w:t xml:space="preserve">The soundness property that has been validated is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Equations (62) and (63) give the foundational three-predicate form of this property. In addition, each conjunct of the five-predicate rule is exercised by a dedicated per-dimension failure test, which confirms that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color w:val="000000"/>
          <w:sz w:val="24"/>
          <w:szCs w:val="24"/>
        </w:rPr>
        <w:t xml:space="preserve">In particular, 23 automated tests cover per-dimension failures of the decision matrix, rejection of invalid EIP-712 signatures, and zero-knowledge tamper and expiry cases. The live demonstration includes a jurisdiction-based denial and a revocation followed by refusal. In addition, an independent verification tool re-checks every ledger transaction against Sepolia receipts and reports ALL CHECKS PASSED.</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w:t>
      </w:r>
      <w:r>
        <w:rPr>
          <w:rFonts w:ascii="Cambria" w:cs="Cambria" w:eastAsia="Cambria" w:hAnsi="Cambria"/>
          <w:color w:val="000000"/>
          <w:sz w:val="24"/>
          <w:szCs w:val="24"/>
        </w:rPr>
        <w:t xml:space="preserve">policy compliance, scope enforcement, and audit consistency. Formally, P = {Psound, Pdeny, Pthreshold, Ppolicy, Pscope, Paudit}.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w:t>
      </w:r>
      <w:r>
        <w:rPr>
          <w:rFonts w:ascii="Cambria" w:cs="Cambria" w:eastAsia="Cambria" w:hAnsi="Cambria"/>
          <w:color w:val="000000"/>
          <w:sz w:val="24"/>
          <w:szCs w:val="24"/>
        </w:rPr>
        <w:t xml:space="preserve">The adversarial test set is particularly important because it is not sufficient for a framework to show that legitimate requests succeed. The framework must also resist foreseeable attempts to bypass its security controls.</w:t>
      </w:r>
      <w:r>
        <w:rPr>
          <w:rFonts w:ascii="Cambria" w:cs="Cambria" w:eastAsia="Cambria" w:hAnsi="Cambria"/>
          <w:sz w:val="24"/>
          <w:szCs w:val="24"/>
        </w:rPr>
        <w:t xml:space="preserve">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000000"/>
          <w:sz w:val="24"/>
          <w:szCs w:val="24"/>
        </w:rPr>
        <w:t xml:space="preserve">The expected threshold property is Authorisation(C) = ACTIVATED ⇒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w:t>
      </w:r>
      <w:r>
        <w:rPr>
          <w:rFonts w:ascii="Cambria" w:cs="Cambria" w:eastAsia="Cambria" w:hAnsi="Cambria"/>
          <w:color w:val="000000"/>
          <w:sz w:val="24"/>
          <w:szCs w:val="24"/>
        </w:rPr>
        <w:t xml:space="preserve">Therefore, the validation methodology provides empirical evidence that the proposed authorisation model can be enforced and tested in practice under legitimate, invalid and adversarial conditions, rather than remaining a conceptual definition only.</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w:t>
      </w:r>
      <w:r>
        <w:rPr>
          <w:rFonts w:ascii="Cambria" w:cs="Cambria" w:eastAsia="Cambria" w:hAnsi="Cambria"/>
          <w:sz w:val="21"/>
          <w:szCs w:val="21"/>
          <w:vertAlign w:val="subscript"/>
        </w:rPr>
        <w:t xml:space="preserve">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w:t>
      </w:r>
      <w:r>
        <w:rPr>
          <w:rFonts w:ascii="Cambria" w:cs="Cambria" w:eastAsia="Cambria" w:hAnsi="Cambria"/>
          <w:sz w:val="21"/>
          <w:szCs w:val="21"/>
          <w:vertAlign w:val="subscript"/>
        </w:rPr>
        <w:t xml:space="preserve">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w:t>
      </w:r>
      <w:r>
        <w:rPr>
          <w:rFonts w:ascii="Cambria" w:cs="Cambria" w:eastAsia="Cambria" w:hAnsi="Cambria"/>
          <w:sz w:val="21"/>
          <w:szCs w:val="21"/>
          <w:vertAlign w:val="subscript"/>
        </w:rPr>
        <w:t xml:space="preserve">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w:t>
      </w:r>
      <w:r>
        <w:rPr>
          <w:rFonts w:ascii="Cambria" w:cs="Cambria" w:eastAsia="Cambria" w:hAnsi="Cambria"/>
          <w:sz w:val="21"/>
          <w:szCs w:val="21"/>
          <w:vertAlign w:val="subscript"/>
        </w:rPr>
        <w:t xml:space="preserve">valid</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negative</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adv</w:t>
      </w:r>
      <w:r>
        <w:rPr>
          <w:rFonts w:ascii="Cambria" w:cs="Cambria" w:eastAsia="Cambria" w:hAnsi="Cambria"/>
          <w:sz w:val="21"/>
          <w:szCs w:val="21"/>
        </w:rPr>
        <w:t xml:space="preserve">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w:t>
      </w:r>
      <w:r>
        <w:rPr>
          <w:rFonts w:ascii="Cambria" w:cs="Cambria" w:eastAsia="Cambria" w:hAnsi="Cambria"/>
          <w:color w:val="000000"/>
          <w:sz w:val="24"/>
          <w:szCs w:val="24"/>
        </w:rPr>
        <w:t xml:space="preserve">This structure reflects the staged research design. The current stage establishes the foundational authorisation mechanisms together with their dynamic validity. CA3 completes their formal security assurance and their practical evaluation.</w:t>
      </w:r>
    </w:p>
    <w:p>
      <w:pPr>
        <w:spacing w:after="140" w:line="300"/>
        <w:jc w:val="both"/>
      </w:pPr>
      <w:r>
        <w:rPr>
          <w:rFonts w:ascii="Cambria" w:cs="Cambria" w:eastAsia="Cambria" w:hAnsi="Cambria"/>
          <w:color w:val="000000"/>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For the current stage implementation, the operational decision was originally based on the three-predicate rule of Equation (64), which the five-predicate rule of Equation (65) now supersedes in the implemented system.</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000000"/>
          <w:sz w:val="24"/>
          <w:szCs w:val="24"/>
        </w:rPr>
        <w:t xml:space="preserve">The extended rule, originally planned for CA3 and now enforced by the implemented system, incorporates temporal, jurisdictional and lifecycle conditions, as already stated in Equations (54), (60) and (61),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000000"/>
          <w:sz w:val="24"/>
          <w:szCs w:val="24"/>
        </w:rPr>
        <w:t xml:space="preserve">Under Equation (65)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evaluated against an active consent, whether granted or denied, is logged together with the full decision matrix.</w:t>
      </w:r>
    </w:p>
    <w:p>
      <w:pPr>
        <w:spacing w:after="140" w:line="300"/>
        <w:jc w:val="both"/>
      </w:pPr>
      <w:r>
        <w:rPr>
          <w:rFonts w:ascii="Cambria" w:cs="Cambria" w:eastAsia="Cambria" w:hAnsi="Cambria"/>
          <w:color w:val="000000"/>
          <w:sz w:val="24"/>
          <w:szCs w:val="24"/>
        </w:rPr>
        <w:t xml:space="preserve">Algorithms 1, 3 and 4 are realised in the current prototype. Algorithm 5 is realised except for its transition check (lines 16 to 20). Algorithm 2 is realised in its structural form as a DID-format check without cryptographic VC validation. The empirical branch of Algorithm 6 has been executed against the prototype. Consequently, only the formal-assurance branch, together with configurable k-of-n thresholds and authenticated requesters, remains for the next stage.</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000000"/>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w:t>
      </w:r>
      <w:r>
        <w:rPr>
          <w:rFonts w:ascii="Cambria" w:cs="Cambria" w:eastAsia="Cambria" w:hAnsi="Cambria"/>
          <w:color w:val="000000"/>
          <w:sz w:val="24"/>
          <w:szCs w:val="24"/>
        </w:rPr>
        <w:t xml:space="preserve">Section 6.8 presents the implemented HALAH system and its live demonstration on the Sepolia test network. In this way each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w:t>
      </w:r>
      <w:r>
        <w:rPr>
          <w:rFonts w:ascii="Cambria" w:cs="Cambria" w:eastAsia="Cambria" w:hAnsi="Cambria"/>
          <w:color w:val="000000"/>
          <w:sz w:val="24"/>
          <w:szCs w:val="24"/>
        </w:rPr>
        <w:t xml:space="preserve">The consent is then checked for validity at every request and is used to control access to specific electronic medical record (EMR) modules. EMR is the term used by the implementation for the electronic health record (EHR) components discussed in the earlier chapters. </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are each exercised in this workflow. In addition, the resulting activation and revocation are anchored by real transactions on the Ethereum Sepolia test network. Consequently,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000000"/>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4124325"/>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24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Figure 17, the consent token contract, ConsentSBTv3, was first compiled in Remix without errors. The deployment record lists solc 0.8.34 with the optimiser enabled. The contract was then deployed to the Sepolia test network from the project test wallet through MetaMask. The contract implements a soulbound ERC-721 token, and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contract stores the purpose only as a keccak256 hash, and no medical content is written to the chain. It should be noted, however, that the plaintext purpose is passed as a parameter of the mint transaction and is therefore visible in the public transaction input.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Figure 18, the deployment is an ordinary Ethereum transaction that the wallet owner must explicitly confirm. The project test wallet, displayed as BNHP Ministry Test Wallet, shows the target network (Sepolia), the estimated network fee and the account nonce before the contract is created.</w:t>
      </w:r>
      <w:r>
        <w:rPr>
          <w:rFonts w:ascii="Cambria" w:cs="Cambria" w:eastAsia="Cambria" w:hAnsi="Cambria"/>
          <w:color w:val="000000"/>
          <w:sz w:val="24"/>
          <w:szCs w:val="24"/>
        </w:rPr>
        <w:t xml:space="preserve">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4095750" cy="5676900"/>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5676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Figure 19</w:t>
      </w:r>
      <w:r>
        <w:rPr>
          <w:rFonts w:ascii="Cambria" w:cs="Cambria" w:eastAsia="Cambria" w:hAnsi="Cambria"/>
          <w:color w:val="000000"/>
          <w:sz w:val="24"/>
          <w:szCs w:val="24"/>
        </w:rPr>
        <w:t xml:space="preserve">, the deployed instance is listed in Remix under Deployed Contracts, and the source code was submitted for verification, which completed with Verification Successful. </w:t>
      </w:r>
      <w:r>
        <w:rPr>
          <w:rFonts w:ascii="Cambria" w:cs="Cambria" w:eastAsia="Cambria" w:hAnsi="Cambria"/>
          <w:color w:val="000000"/>
          <w:sz w:val="24"/>
          <w:szCs w:val="24"/>
        </w:rPr>
        <w:t xml:space="preserve">This is important because it ties the published bytecode on Sepolia to the Solidity source. Consequently, any party can confirm which rules the consent registry enforces.</w:t>
      </w:r>
    </w:p>
    <w:p>
      <w:pPr>
        <w:keepNext/>
        <w:spacing w:after="60" w:before="140"/>
        <w:jc w:val="center"/>
      </w:pPr>
      <w:r>
        <w:drawing>
          <wp:inline distT="0" distB="0" distL="0" distR="0">
            <wp:extent cx="5715000" cy="227647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Figure 20</w:t>
      </w:r>
      <w:r>
        <w:rPr>
          <w:rFonts w:ascii="Cambria" w:cs="Cambria" w:eastAsia="Cambria" w:hAnsi="Cambria"/>
          <w:color w:val="000000"/>
          <w:sz w:val="24"/>
          <w:szCs w:val="24"/>
        </w:rPr>
        <w:t xml:space="preser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and the authorised actor is explicitly specified. The permitted data scope is constrained to selected EMR modules. The temporal fields define when the authorisation becomes valid and when it expires. The jurisdiction field constrains where the consent may be exercised. The evidence component E records the authorisation evidence, including whether the consent remains active or has been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Figure 21</w:t>
      </w:r>
      <w:r>
        <w:rPr>
          <w:rFonts w:ascii="Cambria" w:cs="Cambria" w:eastAsia="Cambria" w:hAnsi="Cambria"/>
          <w:color w:val="000000"/>
          <w:sz w:val="24"/>
          <w:szCs w:val="24"/>
        </w:rPr>
        <w:t xml:space="preser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w:t>
      </w:r>
      <w:r>
        <w:rPr>
          <w:rFonts w:ascii="Cambria" w:cs="Cambria" w:eastAsia="Cambria" w:hAnsi="Cambria"/>
          <w:color w:val="000000"/>
          <w:sz w:val="24"/>
          <w:szCs w:val="24"/>
        </w:rPr>
        <w:t xml:space="preserve">Instead of granting access to the complete EMR, the patient selects particular modules. In the demonstrated transaction all four modules (Observation, Medication, Condition and Procedure) were selected.</w:t>
      </w:r>
      <w:r>
        <w:rPr>
          <w:rFonts w:ascii="Cambria" w:cs="Cambria" w:eastAsia="Cambria" w:hAnsi="Cambria"/>
          <w:color w:val="000000"/>
          <w:sz w:val="24"/>
          <w:szCs w:val="24"/>
        </w:rPr>
        <w:t xml:space="preserve"> This implements the principle of purpose- and scope-limited consent and corresponds to the P component of the consent object. </w:t>
      </w:r>
      <w:r>
        <w:rPr>
          <w:rFonts w:ascii="Cambria" w:cs="Cambria" w:eastAsia="Cambria" w:hAnsi="Cambria"/>
          <w:color w:val="000000"/>
          <w:sz w:val="24"/>
          <w:szCs w:val="24"/>
        </w:rPr>
        <w:t xml:space="preserve">In addition, the implementation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It was activated as token #1, it was granted access, it was refused access and it was finally revoked. All transaction evidence in this chapter follows this consent. The creation and approval stages of the evaluated consent were not captured before it was revoked, and a revoked consent cannot be returned to those states. Therefore, the screenshots of consent creation, guardian approval and granted access were captured from a second lifecycle with the same configuration. This second lifecycle used the same four-module scope, the same guardians, the same jurisdiction, the same purpose and the same doctor. It was executed for a different demonstration patient as consent 04da25f5, which is anchored as token #2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w:t>
      </w:r>
      <w:r>
        <w:rPr>
          <w:rFonts w:ascii="Cambria" w:cs="Cambria" w:eastAsia="Cambria" w:hAnsi="Cambria"/>
          <w:color w:val="000000"/>
          <w:sz w:val="24"/>
          <w:szCs w:val="24"/>
        </w:rPr>
        <w:t xml:space="preserve">As shown in Figure 22</w:t>
      </w:r>
      <w:r>
        <w:rPr>
          <w:rFonts w:ascii="Cambria" w:cs="Cambria" w:eastAsia="Cambria" w:hAnsi="Cambria"/>
          <w:color w:val="000000"/>
          <w:sz w:val="24"/>
          <w:szCs w:val="24"/>
        </w:rPr>
        <w:t xml:space="preserve">,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Figure 22</w:t>
      </w:r>
      <w:r>
        <w:rPr>
          <w:rFonts w:ascii="Cambria" w:cs="Cambria" w:eastAsia="Cambria" w:hAnsi="Cambria"/>
          <w:color w:val="000000"/>
          <w:sz w:val="24"/>
          <w:szCs w:val="24"/>
        </w:rPr>
        <w:t xml:space="preser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24479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447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Figure 23, the guardian first enters the target Consent ID. The system then retrieves the corresponding active transaction and displays the associated patient DID. The guardian then selects their own Guardian DID identity and approves the consent with an EIP-712 typed-data signature. The signature binds the approval to this specific consent, to this guardian and to this network (chainId 11155111). The system verifies each signature by recovering the signer address and comparing it with the address associated with that guardian DID. A signature produced for another consent, another guardian or another chain is rejected. In addition,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w:t>
      </w:r>
      <w:r>
        <w:rPr>
          <w:rFonts w:ascii="Cambria" w:cs="Cambria" w:eastAsia="Cambria" w:hAnsi="Cambria"/>
          <w:color w:val="000000"/>
          <w:sz w:val="24"/>
          <w:szCs w:val="24"/>
        </w:rPr>
        <w:t xml:space="preserve">In the implemented configuration the authorisation threshold is derived from the designated guardian set as N = |G|. Therefore, every listed guardian must produce a valid EIP-712 signature before activation. The demonstrated 2-of-2 approval is consequently an N-of-N case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000000"/>
          <w:sz w:val="24"/>
          <w:szCs w:val="24"/>
        </w:rPr>
        <w:t xml:space="preserve">The guardian approval establishes the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Figure 24</w:t>
      </w:r>
      <w:r>
        <w:rPr>
          <w:rFonts w:ascii="Cambria" w:cs="Cambria" w:eastAsia="Cambria" w:hAnsi="Cambria"/>
          <w:color w:val="000000"/>
          <w:sz w:val="24"/>
          <w:szCs w:val="24"/>
        </w:rPr>
        <w:t xml:space="preser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590675"/>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5906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Figure 25</w:t>
      </w:r>
      <w:r>
        <w:rPr>
          <w:rFonts w:ascii="Cambria" w:cs="Cambria" w:eastAsia="Cambria" w:hAnsi="Cambria"/>
          <w:color w:val="000000"/>
          <w:sz w:val="24"/>
          <w:szCs w:val="24"/>
        </w:rPr>
        <w:t xml:space="preser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3314700"/>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Figure 26, the anchoring of the evaluated consent (token #1) is an ordinary, publicly verifiable transaction. Etherscan reports the status Success, the block number 11,771,243 and the transaction fee. It also shows the transfer of one MedicalConsent token to the pseudonymous patient address derived from the patient DID.</w:t>
      </w:r>
      <w:r>
        <w:rPr>
          <w:rFonts w:ascii="Cambria" w:cs="Cambria" w:eastAsia="Cambria" w:hAnsi="Cambria"/>
          <w:color w:val="000000"/>
          <w:sz w:val="24"/>
          <w:szCs w:val="24"/>
        </w:rPr>
        <w:t xml:space="preserve">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114800"/>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114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Figure 27</w:t>
      </w:r>
      <w:r>
        <w:rPr>
          <w:rFonts w:ascii="Cambria" w:cs="Cambria" w:eastAsia="Cambria" w:hAnsi="Cambria"/>
          <w:color w:val="000000"/>
          <w:sz w:val="24"/>
          <w:szCs w:val="24"/>
        </w:rPr>
        <w:t xml:space="preser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t) = ALLOW</w:t>
      </w:r>
      <w:r>
        <w:rPr>
          <w:rFonts w:ascii="Cambria" w:cs="Cambria" w:eastAsia="Cambria" w:hAnsi="Cambria"/>
          <w:color w:val="000000"/>
          <w:sz w:val="24"/>
          <w:szCs w:val="24"/>
        </w:rPr>
        <w:t xml:space="preserve"> ⟺ VI(u) ∧ VA(C) ∧ VP(C, R) ∧ VT(C, t) ∧ VL(C), </w:t>
      </w:r>
      <w:r>
        <w:rPr>
          <w:rFonts w:ascii="Cambria" w:cs="Cambria" w:eastAsia="Cambria" w:hAnsi="Cambria"/>
          <w:color w:val="000000"/>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prototype every consent records a jurisdiction, so the jurisdiction predicate of Eq. (59) reduces to the condition that the requester's declared jurisdiction equals the jurisdiction recorded in the consent,</w:t>
      </w:r>
      <w:r>
        <w:rPr>
          <w:rFonts w:ascii="Cambria" w:cs="Cambria" w:eastAsia="Cambria" w:hAnsi="Cambria"/>
          <w:color w:val="000000"/>
          <w:sz w:val="24"/>
          <w:szCs w:val="24"/>
        </w:rPr>
        <w:t xml:space="preserve"> which the jurisdiction-violation demonstration below confirms empirically.</w:t>
      </w:r>
    </w:p>
    <w:p>
      <w:pPr>
        <w:spacing w:after="140" w:line="300"/>
        <w:jc w:val="both"/>
      </w:pPr>
      <w:r>
        <w:rPr>
          <w:rFonts w:ascii="Cambria" w:cs="Cambria" w:eastAsia="Cambria" w:hAnsi="Cambria"/>
          <w:color w:val="000000"/>
          <w:sz w:val="24"/>
          <w:szCs w:val="24"/>
        </w:rPr>
        <w:t xml:space="preserve">Figure 28 shows the predicate evaluation flow of Figure 8 as it is enforced by the implemented Consent Engine.</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000000"/>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w:t>
      </w:r>
      <w:r>
        <w:rPr>
          <w:rFonts w:ascii="Cambria" w:cs="Cambria" w:eastAsia="Cambria" w:hAnsi="Cambria"/>
          <w:color w:val="000000"/>
          <w:sz w:val="24"/>
          <w:szCs w:val="24"/>
        </w:rPr>
        <w:t xml:space="preserve">In this version, the verification also generates and verifies a Groth16 zero-knowledge proof. The public inputs of the proof are a Poseidon commitment and the current time. The private witnesses are a secret and the expiry time.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05790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057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2386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2386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Figures 29 and 30 demonstrate the transition from consent verification to data-access authorisation. The checks are recorded in the audit ledger as STATE_CHECK events, one for every evaluated access request.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w:t>
      </w:r>
      <w:r>
        <w:rPr>
          <w:rFonts w:ascii="Cambria" w:cs="Cambria" w:eastAsia="Cambria" w:hAnsi="Cambria"/>
          <w:color w:val="000000"/>
          <w:sz w:val="24"/>
          <w:szCs w:val="24"/>
        </w:rPr>
        <w:t xml:space="preserve">This is important because a consent framework must be evaluated on whether it grants legitimate access and on whether it refuses illegitimate access.</w:t>
      </w:r>
      <w:r>
        <w:rPr>
          <w:rFonts w:ascii="Cambria" w:cs="Cambria" w:eastAsia="Cambria" w:hAnsi="Cambria"/>
          <w:color w:val="000000"/>
          <w:sz w:val="24"/>
          <w:szCs w:val="24"/>
        </w:rPr>
        <w:t xml:space="preserve">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Figure 31</w:t>
      </w:r>
      <w:r>
        <w:rPr>
          <w:rFonts w:ascii="Cambria" w:cs="Cambria" w:eastAsia="Cambria" w:hAnsi="Cambria"/>
          <w:color w:val="000000"/>
          <w:sz w:val="24"/>
          <w:szCs w:val="24"/>
        </w:rPr>
        <w:t xml:space="preser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Figure 32</w:t>
      </w:r>
      <w:r>
        <w:rPr>
          <w:rFonts w:ascii="Cambria" w:cs="Cambria" w:eastAsia="Cambria" w:hAnsi="Cambria"/>
          <w:color w:val="000000"/>
          <w:sz w:val="24"/>
          <w:szCs w:val="24"/>
        </w:rPr>
        <w:t xml:space="preser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000000"/>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Figure 33</w:t>
      </w:r>
      <w:r>
        <w:rPr>
          <w:rFonts w:ascii="Cambria" w:cs="Cambria" w:eastAsia="Cambria" w:hAnsi="Cambria"/>
          <w:color w:val="000000"/>
          <w:sz w:val="24"/>
          <w:szCs w:val="24"/>
        </w:rPr>
        <w:t xml:space="preser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Figure 34</w:t>
      </w:r>
      <w:r>
        <w:rPr>
          <w:rFonts w:ascii="Cambria" w:cs="Cambria" w:eastAsia="Cambria" w:hAnsi="Cambria"/>
          <w:color w:val="000000"/>
          <w:sz w:val="24"/>
          <w:szCs w:val="24"/>
        </w:rPr>
        <w:t xml:space="preser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ACTIVE and REVOKED of the six-state lifecycle defined there. The PENDING_TOKEN state is passed within the same interaction, because a local token identifier is recorded as soon as the threshold is reached. The EXPIRED state is not reached in the demonstration. The NOT_STARTED state applies only while the current time precedes the start time of the consent and is left as soon as the start time is reached. The activating and revoking transitions are themselves verifiable Sepolia transactions, in blocks 11,771,243 and 11,771,307 respectively. Therefore, trust is not treated as permanently established at the moment a consent is created, which is the lifecycle-trust principle stated in Section 6.5.</w:t>
      </w:r>
    </w:p>
    <w:p>
      <w:pPr>
        <w:spacing w:after="140" w:line="300"/>
        <w:jc w:val="both"/>
      </w:pPr>
      <w:r>
        <w:rPr>
          <w:rFonts w:ascii="Cambria" w:cs="Cambria" w:eastAsia="Cambria" w:hAnsi="Cambria"/>
          <w:color w:val="000000"/>
          <w:sz w:val="24"/>
          <w:szCs w:val="24"/>
        </w:rPr>
        <w:t xml:space="preserve">Figure 35 summarises the implemented lifecycle and its anchored transitions.</w:t>
      </w:r>
    </w:p>
    <w:p>
      <w:pPr>
        <w:spacing w:after="140" w:line="300"/>
        <w:jc w:val="both"/>
      </w:pPr>
      <w:r>
        <w:rPr>
          <w:rFonts w:ascii="Cambria" w:cs="Cambria" w:eastAsia="Cambria" w:hAnsi="Cambria"/>
          <w:color w:val="000000"/>
          <w:sz w:val="24"/>
          <w:szCs w:val="24"/>
        </w:rPr>
        <w:t xml:space="preserve">It should be noted that the expiry path is not shown in the live demonstration. In this path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fails once the current time exceeds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and the consent enters the EXPIRED state. This path is exercised by the automated tests reported in Section 6.8.9. A consent with a validity window long enough to be photographed cannot be allowed to expire within the demonstration period.</w:t>
      </w:r>
    </w:p>
    <w:p>
      <w:pPr>
        <w:keepNext/>
        <w:spacing w:after="60" w:before="140"/>
        <w:jc w:val="center"/>
      </w:pPr>
      <w:r>
        <w:drawing>
          <wp:inline distT="0" distB="0" distL="0" distR="0">
            <wp:extent cx="5715000" cy="2047875"/>
            <wp:effectExtent t="0" r="0" b="0" l="0"/>
            <wp:docPr id="1" name="lifecycle_sm.png" descr="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 title="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478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Figure 36</w:t>
      </w:r>
      <w:r>
        <w:rPr>
          <w:rFonts w:ascii="Cambria" w:cs="Cambria" w:eastAsia="Cambria" w:hAnsi="Cambria"/>
          <w:color w:val="000000"/>
          <w:sz w:val="24"/>
          <w:szCs w:val="24"/>
        </w:rPr>
        <w:t xml:space="preserve">, when the doctor subsequently enters the same Consent ID, the authorisation check VA fails and the subsystem reports that the consent is not active. </w:t>
      </w:r>
      <w:r>
        <w:rPr>
          <w:rFonts w:ascii="Cambria" w:cs="Cambria" w:eastAsia="Cambria" w:hAnsi="Cambria"/>
          <w:color w:val="000000"/>
          <w:sz w:val="24"/>
          <w:szCs w:val="24"/>
        </w:rPr>
        <w:t xml:space="preserve">Consequently, revocation is not merely a change of display. It removes the authorisation on which every later access decision depends.</w:t>
      </w:r>
    </w:p>
    <w:p>
      <w:pPr>
        <w:keepNext/>
        <w:spacing w:after="60" w:before="140"/>
        <w:jc w:val="center"/>
      </w:pPr>
      <w:r>
        <w:drawing>
          <wp:inline distT="0" distB="0" distL="0" distR="0">
            <wp:extent cx="5715000" cy="289560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8956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Figure 37</w:t>
      </w:r>
      <w:r>
        <w:rPr>
          <w:rFonts w:ascii="Cambria" w:cs="Cambria" w:eastAsia="Cambria" w:hAnsi="Cambria"/>
          <w:color w:val="000000"/>
          <w:sz w:val="24"/>
          <w:szCs w:val="24"/>
        </w:rPr>
        <w:t xml:space="preser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Figure 38</w:t>
      </w:r>
      <w:r>
        <w:rPr>
          <w:rFonts w:ascii="Cambria" w:cs="Cambria" w:eastAsia="Cambria" w:hAnsi="Cambria"/>
          <w:color w:val="000000"/>
          <w:sz w:val="24"/>
          <w:szCs w:val="24"/>
        </w:rPr>
        <w:t xml:space="preser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Figure 39</w:t>
      </w:r>
      <w:r>
        <w:rPr>
          <w:rFonts w:ascii="Cambria" w:cs="Cambria" w:eastAsia="Cambria" w:hAnsi="Cambria"/>
          <w:color w:val="000000"/>
          <w:sz w:val="24"/>
          <w:szCs w:val="24"/>
        </w:rPr>
        <w:t xml:space="preser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w:t>
      </w:r>
      <w:r>
        <w:rPr>
          <w:rFonts w:ascii="Cambria" w:cs="Cambria" w:eastAsia="Cambria" w:hAnsi="Cambria"/>
          <w:color w:val="000000"/>
          <w:sz w:val="24"/>
          <w:szCs w:val="24"/>
        </w:rPr>
        <w:t xml:space="preserve">At the time of the capture the exported ledger held 60 events, of which five were anchored on Sepolia.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five anchors comprise the mint and revocation of the evaluated consent (token #1) and the mint of the photographed lifecycle (token #2). They also include the mint and revocation of an earlier trial consent on the previous contract. 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addition, the Consent Lifecycle section reconstructs the sequence of events associated with a particular consent.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w:t>
      </w:r>
      <w:r>
        <w:rPr>
          <w:rFonts w:ascii="Cambria" w:cs="Cambria" w:eastAsia="Cambria" w:hAnsi="Cambria"/>
          <w:color w:val="000000"/>
          <w:sz w:val="24"/>
          <w:szCs w:val="24"/>
        </w:rPr>
        <w:t xml:space="preserve">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that is,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who accessed the data and why that access was permitted or refused. Each access event can be associated with the preceding consent creation, guardian approvals, on-chain activation and state checks, and with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w:t>
      </w:r>
      <w:r>
        <w:rPr>
          <w:rFonts w:ascii="Cambria" w:cs="Cambria" w:eastAsia="Cambria" w:hAnsi="Cambria"/>
          <w:color w:val="000000"/>
          <w:sz w:val="24"/>
          <w:szCs w:val="24"/>
        </w:rPr>
        <w:t xml:space="preserve">As shown in Figure 39</w:t>
      </w:r>
      <w:r>
        <w:rPr>
          <w:rFonts w:ascii="Cambria" w:cs="Cambria" w:eastAsia="Cambria" w:hAnsi="Cambria"/>
          <w:color w:val="000000"/>
          <w:sz w:val="24"/>
          <w:szCs w:val="24"/>
        </w:rPr>
        <w:t xml:space="preser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complete representation of the recorded consent history.</w:t>
      </w:r>
      <w:r>
        <w:rPr>
          <w:rFonts w:ascii="Cambria" w:cs="Cambria" w:eastAsia="Cambria" w:hAnsi="Cambria"/>
          <w:color w:val="000000"/>
          <w:sz w:val="24"/>
          <w:szCs w:val="24"/>
        </w:rPr>
        <w:t xml:space="preserve">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w:t>
      </w:r>
      <w:r>
        <w:rPr>
          <w:rFonts w:ascii="Cambria" w:cs="Cambria" w:eastAsia="Cambria" w:hAnsi="Cambria"/>
          <w:color w:val="000000"/>
          <w:sz w:val="24"/>
          <w:szCs w:val="24"/>
        </w:rPr>
        <w:t xml:space="preserve">The tool re-reads the ledger. For every event that carries a transaction hash, it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w:t>
      </w:r>
    </w:p>
    <w:p>
      <w:pPr>
        <w:keepNext/>
        <w:spacing w:after="60" w:before="140"/>
        <w:jc w:val="center"/>
      </w:pPr>
      <w:r>
        <w:drawing>
          <wp:inline distT="0" distB="0" distL="0" distR="0">
            <wp:extent cx="4095750" cy="600075"/>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6000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Figure 40, the verification was re-executed after the second lifecycle and reports ALL CHECKS PASSED. Every recorded transaction was found on Sepolia in its recorded block. For both tokens on the current contract, the revocation state stored by the application matches the state stored by the contract.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00"/>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00"/>
          <w:sz w:val="24"/>
          <w:szCs w:val="24"/>
        </w:rPr>
        <w:t xml:space="preserve">Table 14 summarises the correspondence between the components of the framework and the subsystems of the implementation, and it consolidates the correspondences stated at the end of each of the preceding subsections.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Correspondence between the HALAH framework components and the implemented subsystems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80"/>
      </w:pP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The subsystems collectively demonstrate an end-to-end implementation of the proposed HALAH authorisation workflow on a public blockchain.</w:t>
      </w:r>
      <w:r>
        <w:rPr>
          <w:rFonts w:ascii="Cambria" w:cs="Cambria" w:eastAsia="Cambria" w:hAnsi="Cambria"/>
          <w:color w:val="000000"/>
          <w:sz w:val="24"/>
          <w:szCs w:val="24"/>
        </w:rPr>
        <w:t xml:space="preserve">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w:t>
      </w:r>
      <w:r>
        <w:rPr>
          <w:rFonts w:ascii="Cambria" w:cs="Cambria" w:eastAsia="Cambria" w:hAnsi="Cambria"/>
          <w:color w:val="000000"/>
          <w:sz w:val="24"/>
          <w:szCs w:val="24"/>
        </w:rPr>
        <w:t xml:space="preserve">Only when these conditions are satisfied does the system provide access to the specified EMR modules. An out-of-jurisdiction request is refused and the failed check is named.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patient finally revokes the consent and the revocation is recorded on-chain. The complete sequence is then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In addition, the Groth16 proof is generated and verified by the same server. Therefore,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00"/>
          <w:sz w:val="24"/>
          <w:szCs w:val="24"/>
        </w:rPr>
        <w:t xml:space="preserve">It should be noted that, in the same way,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 continuity of the workflow. Consent specification, multi-party authorisation, public on-chain activation and revocation, access enforcement and independently verifiable audit evidence form one continuous process. The user subsystems provide a visible representation of this continuity. Consequently, the proposed HALAH model can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w:t>
      </w:r>
      <w:r>
        <w:rPr>
          <w:rFonts w:ascii="Cambria" w:cs="Cambria" w:eastAsia="Cambria" w:hAnsi="Cambria"/>
          <w:color w:val="000000"/>
          <w:sz w:val="24"/>
          <w:szCs w:val="24"/>
        </w:rPr>
        <w:t xml:space="preserve">The proposed representation, defined in Eq. (46),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w:t>
      </w:r>
      <w:r>
        <w:rPr>
          <w:rFonts w:ascii="Cambria" w:cs="Cambria" w:eastAsia="Cambria" w:hAnsi="Cambria"/>
          <w:color w:val="000000"/>
          <w:sz w:val="24"/>
          <w:szCs w:val="24"/>
        </w:rPr>
        <w:t xml:space="preserve">Policy information specifies the purpose and permitted data scope. Temporal information defines the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within which the consent may be exercised, and the jurisdiction component records the legal territory in which access is permitted.</w:t>
      </w:r>
      <w:r>
        <w:rPr>
          <w:rFonts w:ascii="Cambria" w:cs="Cambria" w:eastAsia="Cambria" w:hAnsi="Cambria"/>
          <w:sz w:val="24"/>
          <w:szCs w:val="24"/>
        </w:rPr>
        <w:t xml:space="preserv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000000"/>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000000"/>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w:t>
      </w:r>
      <w:r>
        <w:rPr>
          <w:rFonts w:ascii="Cambria" w:cs="Cambria" w:eastAsia="Cambria" w:hAnsi="Cambria"/>
          <w:color w:val="000000"/>
          <w:sz w:val="24"/>
          <w:szCs w:val="24"/>
        </w:rPr>
        <w:t xml:space="preserve">The identity verification condition is represented, as in Eq. (48),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It should be noted that the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current prototype performs identifier- and credential-format validation only. Cryptographic DID resolution against a registry and authentication of the requester are acknowledged limitations and are reserved for the next stage.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 </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w:t>
      </w:r>
      <w:r>
        <w:rPr>
          <w:rFonts w:ascii="Cambria" w:cs="Cambria" w:eastAsia="Cambria" w:hAnsi="Cambria"/>
          <w:color w:val="000000"/>
          <w:sz w:val="24"/>
          <w:szCs w:val="24"/>
        </w:rPr>
        <w:t xml:space="preserve">, defined in Eq. (49),</w:t>
      </w:r>
      <w:r>
        <w:rPr>
          <w:rFonts w:ascii="Cambria" w:cs="Cambria" w:eastAsia="Cambria" w:hAnsi="Cambria"/>
          <w:sz w:val="24"/>
          <w:szCs w:val="24"/>
        </w:rPr>
        <w:t xml:space="preserv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00"/>
          <w:sz w:val="24"/>
          <w:szCs w:val="24"/>
        </w:rPr>
        <w:t xml:space="preserve">It should be noted that the implemented threshold is derived from the designated guardian set as N = |G|. Therefore, the prototype currently enforces an N-of-N instantiation of Eq. (69), and it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000000"/>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w:t>
      </w:r>
      <w:r>
        <w:rPr>
          <w:rFonts w:ascii="Cambria" w:cs="Cambria" w:eastAsia="Cambria" w:hAnsi="Cambria"/>
          <w:color w:val="000000"/>
          <w:sz w:val="24"/>
          <w:szCs w:val="24"/>
        </w:rPr>
        <w:t xml:space="preserve">The proposed policy predicate is written, as in Eq. (36),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color w:val="000000"/>
          <w:sz w:val="24"/>
          <w:szCs w:val="24"/>
        </w:rPr>
        <w:t xml:space="preserve">where Policy(C, R) denotes the conjunction of the purpose check V</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(C, R) and the scope check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defined in Eq. (53).</w:t>
      </w:r>
    </w:p>
    <w:p>
      <w:pPr>
        <w:spacing w:after="140" w:line="300"/>
        <w:jc w:val="both"/>
      </w:pPr>
      <w:r>
        <w:rPr>
          <w:rFonts w:ascii="Cambria" w:cs="Cambria" w:eastAsia="Cambria" w:hAnsi="Cambria"/>
          <w:color w:val="000000"/>
          <w:sz w:val="24"/>
          <w:szCs w:val="24"/>
        </w:rPr>
        <w:t xml:space="preserve">For example, if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requester asks for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In this case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evaluates to 0 and the request is denied with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named as the failed check. This over-scope denial is exercised by the per-dimension failure tests described in Section 6.8.9. Section 6.8.4 shows the requested-subset rule enforced on the live system.</w:t>
      </w:r>
    </w:p>
    <w:p>
      <w:pPr>
        <w:spacing w:after="140" w:line="300"/>
        <w:jc w:val="both"/>
      </w:pPr>
      <w:r>
        <w:rPr>
          <w:rFonts w:ascii="Cambria" w:cs="Cambria" w:eastAsia="Cambria" w:hAnsi="Cambria"/>
          <w:color w:val="000000"/>
          <w:sz w:val="24"/>
          <w:szCs w:val="24"/>
        </w:rPr>
        <w:t xml:space="preserve">The policy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Every denial names the failed checks explicitly in both the interface and the audit ledger.</w:t>
      </w:r>
      <w:r>
        <w:rPr>
          <w:rFonts w:ascii="Cambria" w:cs="Cambria" w:eastAsia="Cambria" w:hAnsi="Cambria"/>
          <w:sz w:val="24"/>
          <w:szCs w:val="24"/>
        </w:rPr>
        <w:t xml:space="preserve">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 (temporal validity and on-chain revocation enforced; consent modification, delegation and guardian-set changes outstanding)</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The interval is additionally stored on-chain in the SBT as the notBefore and expiry fields, so that temporal validity can be verified independently of the application. The consent lifecycle is implemented as an explicit state machine comprising the states PENDING_SIGNATURE, PENDING_TOKEN, NOT_STARTED, ACTIVE, EXPIRED and REVOKED. Revocation is enforced end-to-end. The patient's withdrawal updates the application state and is confirmed as a revoke transaction on Sepolia in block 11,771,307. After that point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 The temporal predicate enforced at every access request is, as defined in Eq. (58),</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000000"/>
          <w:sz w:val="24"/>
          <w:szCs w:val="24"/>
        </w:rPr>
        <w:t xml:space="preserve">Progress of RO6: Formal Security Assurance and Empirical Validation</w:t>
      </w:r>
    </w:p>
    <w:p>
      <w:pPr>
        <w:spacing w:after="140" w:line="300"/>
        <w:jc w:val="both"/>
      </w:pPr>
      <w:r>
        <w:rPr>
          <w:rFonts w:ascii="Cambria" w:cs="Cambria" w:eastAsia="Cambria" w:hAnsi="Cambria"/>
          <w:color w:val="000000"/>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w:t>
      </w:r>
      <w:r>
        <w:rPr>
          <w:rFonts w:ascii="Cambria" w:cs="Cambria" w:eastAsia="Cambria" w:hAnsi="Cambria"/>
          <w:color w:val="000000"/>
          <w:sz w:val="24"/>
          <w:szCs w:val="24"/>
        </w:rPr>
        <w:t xml:space="preserve">verification, multi-party approval, and access-control evaluation. The decision rule enforced by the prototype at every access request is the rule of Eq. (65), written in piecewise form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(u)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(C)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(C, R)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000000"/>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sz w:val="24"/>
          <w:szCs w:val="24"/>
        </w:rPr>
        <w:t xml:space="preserve">  or expired zero-knowledge proofs. </w:t>
      </w:r>
      <w:r>
        <w:rPr>
          <w:rFonts w:ascii="Cambria" w:cs="Cambria" w:eastAsia="Cambria" w:hAnsi="Cambria"/>
          <w:color w:val="000000"/>
          <w:sz w:val="24"/>
          <w:szCs w:val="24"/>
        </w:rPr>
        <w:t xml:space="preserve">Live validation on the Sepolia testnet includes a negative demonstration in which a request declaring jurisdiction SA is made against a consent issued for AU. The request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It also includes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w:t>
      </w:r>
      <w:r>
        <w:rPr>
          <w:rFonts w:ascii="Cambria" w:cs="Cambria" w:eastAsia="Cambria" w:hAnsi="Cambria"/>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000000"/>
          <w:sz w:val="24"/>
          <w:szCs w:val="24"/>
        </w:rPr>
        <w:t xml:space="preserve">The implemented decision rule is therefore exactly Eq. (75).</w:t>
      </w:r>
      <w:r>
        <w:rPr>
          <w:rFonts w:ascii="Cambria" w:cs="Cambria" w:eastAsia="Cambria" w:hAnsi="Cambria"/>
          <w:sz w:val="24"/>
          <w:szCs w:val="24"/>
        </w:rPr>
        <w:t xml:space="preserve"> Formal security analysis and a systematic performance study remain for the next stage. </w:t>
      </w:r>
      <w:r>
        <w:rPr>
          <w:rFonts w:ascii="Cambria" w:cs="Cambria" w:eastAsia="Cambria" w:hAnsi="Cambria"/>
          <w:color w:val="000000"/>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Jurisdiction violation and revocation followed by denial were demonstrated in the live Sepolia deployment. Policy violation and temporal expiration were demonstrated in the automated test suite, and unauthorised lifecycle transitions remain to be examined in the next stage. The remaining work for the next stage is therefore considerably narrower. It consists of the formal definition and verification of the security properties, a systematic performance and overhead study, and the removal of prototype limitations such as the N-of-N approval rule, the server-derived guardian keys and the unauthenticated requester role. Overall,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00"/>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00"/>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000000"/>
                <w:sz w:val="19"/>
                <w:szCs w:val="19"/>
              </w:rPr>
              <w:t xml:space="preserve">addresses RQ1 to RQ4 (Sections 6.1 to 6.4).</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000000"/>
                <w:sz w:val="19"/>
                <w:szCs w:val="19"/>
              </w:rPr>
              <w:t xml:space="preserve">addresses formal security assurance (Sections 6.5 and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color w:val="000000"/>
          <w:sz w:val="24"/>
          <w:szCs w:val="24"/>
        </w:rPr>
        <w:t xml:space="preserve">The research plan is divided into two major stages, the current stage and the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The evaluated consent was minted as token #1 in block 11,771,243 and revoked on-chain in block 11,771,307, and an independently reproduced lifecycle was minted as token #2 in block 11,771,581. Each transaction hash is recorded in the audit ledger and is publicly inspectable on Etherscan. The plan for the next stage therefore follows directly from the progress status reported in Chapter 7. The objectives marked as completed require no further conceptual development. The remaining work is defined by the formal component of RO6, the systematic performance and overhead study, and the identified prototype limitations. These limitations are the N-of-N approval rule, the server-derived guardian keys, the unauthenticated requester and the absence of cryptographic DID resolution.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w:t>
      </w:r>
      <w:r>
        <w:rPr>
          <w:rFonts w:ascii="Cambria" w:cs="Cambria" w:eastAsia="Cambria" w:hAnsi="Cambria"/>
          <w:color w:val="000000"/>
          <w:sz w:val="24"/>
          <w:szCs w:val="24"/>
        </w:rPr>
        <w:t xml:space="preserve">The main activities are the development of the trust-centric consent model, decentralised identity and authority verification, multi-party authorisation, and policy-aware access control. Temporal and lifecycle enforcement, originally planned for the next stage, has also been implemented in the current stage, as reported in Section 7.5.</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was originally planned for the next stage and has been brought forward and implemented. Validity windows are enforced and anchored on-chain, revocation is effective at the contract level, and lifecycle transitions are governed by an explicit state machine. Consequently, the next stage concentrates on formal security assurance and on comprehensive empirical validation, including performance measurement. It also covers the dynamic consent governance extensions of RO5, which are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w:t>
      </w:r>
      <w:r>
        <w:rPr>
          <w:rFonts w:ascii="Cambria" w:cs="Cambria" w:eastAsia="Cambria" w:hAnsi="Cambria"/>
          <w:color w:val="000000"/>
          <w:sz w:val="24"/>
          <w:szCs w:val="24"/>
        </w:rPr>
        <w:t xml:space="preserve">authorisation framework established during the current stage and extend the research towards dynamic consent governance [13, 24], formal security assurance, and comprehensive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00"/>
          <w:sz w:val="24"/>
          <w:szCs w:val="24"/>
        </w:rPr>
        <w:t xml:space="preserve">The next stage activities are planned sequentially. </w:t>
      </w:r>
      <w:r>
        <w:rPr>
          <w:rFonts w:ascii="Cambria" w:cs="Cambria" w:eastAsia="Cambria" w:hAnsi="Cambria"/>
          <w:color w:val="000000"/>
          <w:sz w:val="24"/>
          <w:szCs w:val="24"/>
        </w:rPr>
        <w:t xml:space="preserve">The formal specification of the security properties will be undertaken first, since the empirical experiments are to be designed against those properties. The performance and adversarial evaluation will follow in the second half of the stage.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w:t>
      </w:r>
      <w:r>
        <w:rPr>
          <w:rFonts w:ascii="Cambria" w:cs="Cambria" w:eastAsia="Cambria" w:hAnsi="Cambria"/>
          <w:color w:val="000000"/>
          <w:sz w:val="24"/>
          <w:szCs w:val="24"/>
        </w:rPr>
        <w:t xml:space="preserve">The next stage will extend the current prototype-based evaluation to include both successful and adversarial access requests.</w:t>
      </w:r>
      <w:r>
        <w:rPr>
          <w:rFonts w:ascii="Cambria" w:cs="Cambria" w:eastAsia="Cambria" w:hAnsi="Cambria"/>
          <w:sz w:val="24"/>
          <w:szCs w:val="24"/>
        </w:rPr>
        <w:t xml:space="preserve">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000000"/>
          <w:sz w:val="24"/>
          <w:szCs w:val="24"/>
        </w:rPr>
        <w:t xml:space="preserve">The performance study will measure the gas cost of the mint and revoke transactions, the block-confirmation latency on Sepolia, the Groth16 proof generation and verification time, and the end-to-end decision latency per access request. In addition, it will report enforcement accuracy as the proportion of adversarial requests that are correctly denied.</w:t>
      </w:r>
    </w:p>
    <w:p>
      <w:pPr>
        <w:spacing w:after="140" w:line="300"/>
        <w:jc w:val="both"/>
      </w:pPr>
      <w:r>
        <w:rPr>
          <w:rFonts w:ascii="Cambria" w:cs="Cambria" w:eastAsia="Cambria" w:hAnsi="Cambria"/>
          <w:color w:val="000000"/>
          <w:sz w:val="24"/>
          <w:szCs w:val="24"/>
        </w:rPr>
        <w:t xml:space="preserve">The formal component will state two properties. The first is the soundness property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second is the lifecycle invariant that no REVOKED or EXPIRED consent can re-enter the ACTIVE state. These properties will be verified by model checking of the state machine or by proof over the predicate definitions of Chapter 6.</w:t>
      </w:r>
      <w:r>
        <w:rPr>
          <w:rFonts w:ascii="Cambria" w:cs="Cambria" w:eastAsia="Cambria" w:hAnsi="Cambria"/>
          <w:color w:val="000000"/>
          <w:sz w:val="24"/>
          <w:szCs w:val="24"/>
        </w:rPr>
        <w:t xml:space="preserve">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At the time of writing, the status of the activities in Table 16 is as follows. The temporal and lifecycle foundation of the first activity, Consent Modification, Delegation and Lifecycle Extensions, is largely completed. The on-chain notBefore and expiry fields are in place, the revoke transaction was confirmed in block 11,771,307, and the lifecycle is governed by an explicit state machine. The modification, delegation and guardian-set extensions themselves have not been started. Comprehensive Empirical Validation is partially delivered through the 23 automated tests, the live jurisdiction denial and revocation-then-denial on Sepolia, and the independent chain verification reporting ALL CHECKS PASSED. Performance and overhead measurement remains outstanding. Formal Security Assurance and the Integrated Framework Evaluation have not been started and constitute the next stage in full.</w:t>
      </w:r>
    </w:p>
    <w:p>
      <w:pPr>
        <w:spacing w:after="140" w:line="300"/>
        <w:jc w:val="both"/>
      </w:pPr>
      <w:r>
        <w:rPr>
          <w:rFonts w:ascii="Cambria" w:cs="Cambria" w:eastAsia="Cambria" w:hAnsi="Cambria"/>
          <w:color w:val="000000"/>
          <w:sz w:val="24"/>
          <w:szCs w:val="24"/>
        </w:rPr>
        <w:t xml:space="preserve">An important analytical objective of the next stage is to examine the relationship between the different forms of trust established throughout the framework.</w:t>
      </w:r>
      <w:r>
        <w:rPr>
          <w:rFonts w:ascii="Cambria" w:cs="Cambria" w:eastAsia="Cambria" w:hAnsi="Cambria"/>
          <w:sz w:val="24"/>
          <w:szCs w:val="24"/>
        </w:rPr>
        <w:t xml:space="preserve">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color w:val="000000"/>
          <w:sz w:val="24"/>
          <w:szCs w:val="24"/>
        </w:rPr>
        <w:t xml:space="preserve">The complete authorisation model developed across the current stage and the next stage will therefore be evaluated as a conjunction of independently verifiable conditions.</w:t>
      </w:r>
      <w:r>
        <w:rPr>
          <w:rFonts w:ascii="Cambria" w:cs="Cambria" w:eastAsia="Cambria" w:hAnsi="Cambria"/>
          <w:sz w:val="24"/>
          <w:szCs w:val="24"/>
        </w:rPr>
        <w:t xml:space="preserve"> Conceptually, the final decision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color w:val="000000"/>
          <w:sz w:val="24"/>
          <w:szCs w:val="24"/>
        </w:rPr>
        <w:t xml:space="preserve">By the completion of the next stage, the research is expected to provide three complementary forms of contribution.</w:t>
      </w:r>
      <w:r>
        <w:rPr>
          <w:rFonts w:ascii="Cambria" w:cs="Cambria" w:eastAsia="Cambria" w:hAnsi="Cambria"/>
          <w:sz w:val="24"/>
          <w:szCs w:val="24"/>
        </w:rPr>
        <w:t xml:space="preserve">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color w:val="000000"/>
          <w:sz w:val="24"/>
          <w:szCs w:val="24"/>
        </w:rPr>
        <w:t xml:space="preserve">Consequently, the next stage will complete the transition from the foundational authorisation mechanisms established in the current stage to a dynamically managed, formally reasoned, and empirically validated</w:t>
      </w:r>
      <w:r>
        <w:rPr>
          <w:rFonts w:ascii="Cambria" w:cs="Cambria" w:eastAsia="Cambria" w:hAnsi="Cambria"/>
          <w:sz w:val="24"/>
          <w:szCs w:val="24"/>
        </w:rPr>
        <w:t xml:space="preserve">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w:t>
      </w:r>
      <w:r>
        <w:rPr>
          <w:rFonts w:ascii="Cambria" w:cs="Cambria" w:eastAsia="Cambria" w:hAnsi="Cambria"/>
          <w:color w:val="000000"/>
          <w:sz w:val="24"/>
          <w:szCs w:val="24"/>
        </w:rPr>
        <w:t xml:space="preserve">The final contribution will not be assessed simply by whether consent can be recorded or whether access can be granted. It will be assessed by whether the system can provide a defensible basis for determining why an access decision should be trusted. It must also determine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p>
      <w:pPr>
        <w:keepNext/>
        <w:spacing w:after="80" w:before="160"/>
        <w:jc w:val="center"/>
      </w:pPr>
      <w:r>
        <w:rPr>
          <w:rFonts w:ascii="Cambria" w:cs="Cambria" w:eastAsia="Cambria" w:hAnsi="Cambria"/>
          <w:b/>
          <w:bCs/>
          <w:color w:val="000000"/>
          <w:sz w:val="21"/>
          <w:szCs w:val="21"/>
        </w:rPr>
        <w:t xml:space="preserve">Table 17: </w:t>
      </w:r>
      <w:r>
        <w:rPr>
          <w:rFonts w:ascii="Cambria" w:cs="Cambria" w:eastAsia="Cambria" w:hAnsi="Cambria"/>
          <w:color w:val="000000"/>
          <w:sz w:val="21"/>
          <w:szCs w:val="21"/>
        </w:rPr>
        <w:t xml:space="preserve">Traceability from the formal artefacts of this report to the implemented mechanisms and their on-chain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000000"/>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STATE_CHECK and DATA_ACCESS events recording VP = PASS for the four-module scope of consents f050c29a and 04da25f5</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after="180"/>
      </w:pP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000000"/>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color w:val="000000"/>
          <w:sz w:val="24"/>
          <w:szCs w:val="24"/>
        </w:rPr>
        <w:t xml:space="preserve">[2] J. Andrew, Deva Priya Isravel, K. Martin Sagayam, Bharat Bhushan, Yuichi Sei, and Jennifer Eunice.</w:t>
      </w:r>
      <w:r>
        <w:rPr>
          <w:rFonts w:ascii="Cambria" w:cs="Cambria" w:eastAsia="Cambria" w:hAnsi="Cambria"/>
          <w:sz w:val="24"/>
          <w:szCs w:val="24"/>
        </w:rPr>
        <w:t xml:space="preserv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color w:val="000000"/>
          <w:sz w:val="24"/>
          <w:szCs w:val="24"/>
        </w:rPr>
        <w:t xml:space="preserve">[3] Mohammad Salar Arbabi, Chhagan Lal, Narasimha Raghavan Veeraragavan, Dusica Marijan, Jan F. Nygård, and Roman Vitenberg</w:t>
      </w:r>
      <w:r>
        <w:rPr>
          <w:rFonts w:ascii="Cambria" w:cs="Cambria" w:eastAsia="Cambria" w:hAnsi="Cambria"/>
          <w:sz w:val="24"/>
          <w:szCs w:val="24"/>
        </w:rPr>
        <w:t xml:space="preserve">.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000000"/>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color w:val="000000"/>
          <w:sz w:val="24"/>
          <w:szCs w:val="24"/>
        </w:rPr>
        <w:t xml:space="preserve">[8] Remy Hellstern, Daniel C. Park, Victoria Lemieux, and Guldana Salimjan</w:t>
      </w:r>
      <w:r>
        <w:rPr>
          <w:rFonts w:ascii="Cambria" w:cs="Cambria" w:eastAsia="Cambria" w:hAnsi="Cambria"/>
          <w:sz w:val="24"/>
          <w:szCs w:val="24"/>
        </w:rPr>
        <w:t xml:space="preserve">.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color w:val="000000"/>
          <w:sz w:val="24"/>
          <w:szCs w:val="24"/>
        </w:rPr>
        <w:t xml:space="preserve">[9] Ateya Megahed Ibrahim, Hassanat Ramadan Abdel-Aziz, Heba Ali Hamed Mohamed, Donia Elsaid Fathi Zaghamir, Nadia Mohamed Ibrahim Wahba, Ghada A. Hassan, Mostafa Shaban, Mohammad El-Nablaway, Ohoud Naif Aldughmi, and Taghreed Hussien Aboelola</w:t>
      </w:r>
      <w:r>
        <w:rPr>
          <w:rFonts w:ascii="Cambria" w:cs="Cambria" w:eastAsia="Cambria" w:hAnsi="Cambria"/>
          <w:sz w:val="24"/>
          <w:szCs w:val="24"/>
        </w:rPr>
        <w:t xml:space="preserve">.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color w:val="000000"/>
          <w:sz w:val="24"/>
          <w:szCs w:val="24"/>
        </w:rPr>
        <w:t xml:space="preserve">[10] Vitor Jesus and Harshvardhan J. Pandit</w:t>
      </w:r>
      <w:r>
        <w:rPr>
          <w:rFonts w:ascii="Cambria" w:cs="Cambria" w:eastAsia="Cambria" w:hAnsi="Cambria"/>
          <w:sz w:val="24"/>
          <w:szCs w:val="24"/>
        </w:rPr>
        <w:t xml:space="preserve">.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color w:val="000000"/>
          <w:sz w:val="24"/>
          <w:szCs w:val="24"/>
        </w:rPr>
        <w:t xml:space="preserve">[12] Katya Kaplow, Max Downey, Darren Stewart, Allan B. Massie, Jennifer D. Motter, Lauren Taylor, John Massarelli, Taylor Matalon, Carolyn Sidoti, Macey L. Levan, et al</w:t>
      </w:r>
      <w:r>
        <w:rPr>
          <w:rFonts w:ascii="Cambria" w:cs="Cambria" w:eastAsia="Cambria" w:hAnsi="Cambria"/>
          <w:sz w:val="24"/>
          <w:szCs w:val="24"/>
        </w:rPr>
        <w:t xml:space="preserve">.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color w:val="000000"/>
          <w:sz w:val="24"/>
          <w:szCs w:val="24"/>
        </w:rPr>
        <w:t xml:space="preserve">[16] Chalima Dimitra Nassar Kyriakidou, Athanasia Maria Papathanasiou, and George C. Polyzos</w:t>
      </w:r>
      <w:r>
        <w:rPr>
          <w:rFonts w:ascii="Cambria" w:cs="Cambria" w:eastAsia="Cambria" w:hAnsi="Cambria"/>
          <w:sz w:val="24"/>
          <w:szCs w:val="24"/>
        </w:rPr>
        <w:t xml:space="preserve">.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color w:val="000000"/>
          <w:sz w:val="24"/>
          <w:szCs w:val="24"/>
        </w:rPr>
        <w:t xml:space="preserve">[17] Lanlan Li, Charles Z. Liu, Kejia Huang, Ruiyi Deng, Majed Abdullah Alrowaily, Mansoor Alghamdi, Ibrahim S. Alkhazi, and Malek Alrashidi</w:t>
      </w:r>
      <w:r>
        <w:rPr>
          <w:rFonts w:ascii="Cambria" w:cs="Cambria" w:eastAsia="Cambria" w:hAnsi="Cambria"/>
          <w:sz w:val="24"/>
          <w:szCs w:val="24"/>
        </w:rPr>
        <w:t xml:space="preserve">.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color w:val="000000"/>
          <w:sz w:val="24"/>
          <w:szCs w:val="24"/>
        </w:rPr>
        <w:t xml:space="preserve">[18] Lanlan Li, Charles Z. Liu, and Sanjeeb Shrestha</w:t>
      </w:r>
      <w:r>
        <w:rPr>
          <w:rFonts w:ascii="Cambria" w:cs="Cambria" w:eastAsia="Cambria" w:hAnsi="Cambria"/>
          <w:sz w:val="24"/>
          <w:szCs w:val="24"/>
        </w:rPr>
        <w:t xml:space="preserve">. Analytical entropy approach for measuring blockchain immutability and tamper-resilient trust. Entropy, 28(6):690, 2026.</w:t>
      </w:r>
    </w:p>
    <w:p>
      <w:pPr>
        <w:spacing w:after="140" w:line="300"/>
        <w:jc w:val="both"/>
      </w:pPr>
      <w:r>
        <w:rPr>
          <w:rFonts w:ascii="Cambria" w:cs="Cambria" w:eastAsia="Cambria" w:hAnsi="Cambria"/>
          <w:color w:val="000000"/>
          <w:sz w:val="24"/>
          <w:szCs w:val="24"/>
        </w:rPr>
        <w:t xml:space="preserve">[19] Richard K. Lomotey, Sandra Kumi, and Ralph Deters</w:t>
      </w:r>
      <w:r>
        <w:rPr>
          <w:rFonts w:ascii="Cambria" w:cs="Cambria" w:eastAsia="Cambria" w:hAnsi="Cambria"/>
          <w:sz w:val="24"/>
          <w:szCs w:val="24"/>
        </w:rPr>
        <w:t xml:space="preserve">.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color w:val="000000"/>
          <w:sz w:val="24"/>
          <w:szCs w:val="24"/>
        </w:rPr>
        <w:t xml:space="preserve">[22] Roy McClelland and Colin M. Harper</w:t>
      </w:r>
      <w:r>
        <w:rPr>
          <w:rFonts w:ascii="Cambria" w:cs="Cambria" w:eastAsia="Cambria" w:hAnsi="Cambria"/>
          <w:sz w:val="24"/>
          <w:szCs w:val="24"/>
        </w:rPr>
        <w:t xml:space="preserve">. </w:t>
      </w:r>
      <w:r>
        <w:rPr>
          <w:rFonts w:ascii="Cambria" w:cs="Cambria" w:eastAsia="Cambria" w:hAnsi="Cambria"/>
          <w:color w:val="000000"/>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color w:val="000000"/>
          <w:sz w:val="24"/>
          <w:szCs w:val="24"/>
        </w:rPr>
        <w:t xml:space="preserve">[24] Minal R. Narkhede, Nilesh I. Wankhede, and Akanksha M. Kamble</w:t>
      </w:r>
      <w:r>
        <w:rPr>
          <w:rFonts w:ascii="Cambria" w:cs="Cambria" w:eastAsia="Cambria" w:hAnsi="Cambria"/>
          <w:sz w:val="24"/>
          <w:szCs w:val="24"/>
        </w:rPr>
        <w:t xml:space="preserve">. </w:t>
      </w:r>
      <w:r>
        <w:rPr>
          <w:rFonts w:ascii="Cambria" w:cs="Cambria" w:eastAsia="Cambria" w:hAnsi="Cambria"/>
          <w:color w:val="000000"/>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000000"/>
          <w:sz w:val="24"/>
          <w:szCs w:val="24"/>
        </w:rPr>
        <w:t xml:space="preserve">ACM Transactions on Management Information Systems, 13(4):1–21, 2022.</w:t>
      </w:r>
    </w:p>
    <w:p>
      <w:pPr>
        <w:spacing w:after="140" w:line="300"/>
        <w:jc w:val="both"/>
      </w:pPr>
      <w:r>
        <w:rPr>
          <w:rFonts w:ascii="Cambria" w:cs="Cambria" w:eastAsia="Cambria" w:hAnsi="Cambria"/>
          <w:color w:val="000000"/>
          <w:sz w:val="24"/>
          <w:szCs w:val="24"/>
        </w:rPr>
        <w:t xml:space="preserve">[28] Ahmed M. Tawfik, Ayman Al-Ahwal, Adly S. Tag Eldien, and Hala H. Zayed</w:t>
      </w:r>
      <w:r>
        <w:rPr>
          <w:rFonts w:ascii="Cambria" w:cs="Cambria" w:eastAsia="Cambria" w:hAnsi="Cambria"/>
          <w:sz w:val="24"/>
          <w:szCs w:val="24"/>
        </w:rPr>
        <w:t xml:space="preserve">. </w:t>
      </w:r>
      <w:r>
        <w:rPr>
          <w:rFonts w:ascii="Cambria" w:cs="Cambria" w:eastAsia="Cambria" w:hAnsi="Cambria"/>
          <w:color w:val="000000"/>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color w:val="000000"/>
          <w:sz w:val="24"/>
          <w:szCs w:val="24"/>
        </w:rPr>
        <w:t xml:space="preserve">[31] Emily C. Webber, David Brick, James P. Scibilia, Peter Dehnel, Council on Clinical Information Technology, et al</w:t>
      </w:r>
      <w:r>
        <w:rPr>
          <w:rFonts w:ascii="Cambria" w:cs="Cambria" w:eastAsia="Cambria" w:hAnsi="Cambria"/>
          <w:sz w:val="24"/>
          <w:szCs w:val="24"/>
        </w:rPr>
        <w:t xml:space="preserve">.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w:t>
      </w:r>
      <w:r>
        <w:rPr>
          <w:rFonts w:ascii="Cambria" w:cs="Cambria" w:eastAsia="Cambria" w:hAnsi="Cambria"/>
          <w:color w:val="000000"/>
          <w:sz w:val="24"/>
          <w:szCs w:val="24"/>
        </w:rPr>
        <w:t xml:space="preserve">. The PRISMA 2020 statement: an updated guideline for reporting systematic reviews. BMJ, 372:n71, 2021.</w:t>
      </w:r>
    </w:p>
    <w:p>
      <w:pPr>
        <w:spacing w:after="140" w:line="300"/>
        <w:jc w:val="both"/>
      </w:pPr>
      <w:r>
        <w:rPr>
          <w:rFonts w:ascii="Cambria" w:cs="Cambria" w:eastAsia="Cambria" w:hAnsi="Cambria"/>
          <w:color w:val="000000"/>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00"/>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00"/>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00"/>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00"/>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00"/>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00"/>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00"/>
          <w:sz w:val="24"/>
          <w:szCs w:val="24"/>
        </w:rPr>
        <w:t xml:space="preserve">[42] </w:t>
      </w:r>
      <w:r>
        <w:rPr>
          <w:rFonts w:ascii="Cambria" w:cs="Cambria" w:eastAsia="Cambria" w:hAnsi="Cambria"/>
          <w:color w:val="000000"/>
          <w:sz w:val="24"/>
          <w:szCs w:val="24"/>
        </w:rPr>
        <w:t xml:space="preserve">J. A. Dhanraj, P. Dhongle, R. Tamilamuthan, M. Lakshmanan, N. Ashtankar, and S. R. Hole.</w:t>
      </w:r>
      <w:r>
        <w:rPr>
          <w:rFonts w:ascii="Cambria" w:cs="Cambria" w:eastAsia="Cambria" w:hAnsi="Cambria"/>
          <w:color w:val="000000"/>
          <w:sz w:val="24"/>
          <w:szCs w:val="24"/>
        </w:rPr>
        <w:t xml:space="preserve"> Blockchain-Augmented Federated Learning for Secure and Healthcare Diagnosis from Distributed Electronic Health Records. 2026 1st International Conference on Emerging Trends in </w:t>
      </w:r>
      <w:r>
        <w:rPr>
          <w:rFonts w:ascii="Cambria" w:cs="Cambria" w:eastAsia="Cambria" w:hAnsi="Cambria"/>
          <w:color w:val="000000"/>
          <w:sz w:val="24"/>
          <w:szCs w:val="24"/>
        </w:rPr>
        <w:t xml:space="preserve">Advancements and Applications of Computational Intelligence Techniques (ETAACT), 2026.</w:t>
      </w:r>
      <w:r>
        <w:rPr>
          <w:rFonts w:ascii="Cambria" w:cs="Cambria" w:eastAsia="Cambria" w:hAnsi="Cambria"/>
          <w:color w:val="000000"/>
          <w:sz w:val="24"/>
          <w:szCs w:val="24"/>
        </w:rPr>
        <w:t xml:space="preserve"> doi:10.1109/ETAACT69135.2026.11541890</w:t>
      </w:r>
    </w:p>
    <w:p>
      <w:pPr>
        <w:spacing w:after="140" w:line="300"/>
        <w:jc w:val="both"/>
      </w:pPr>
      <w:r>
        <w:rPr>
          <w:rFonts w:ascii="Cambria" w:cs="Cambria" w:eastAsia="Cambria" w:hAnsi="Cambria"/>
          <w:color w:val="000000"/>
          <w:sz w:val="24"/>
          <w:szCs w:val="24"/>
        </w:rPr>
        <w:t xml:space="preserve">[43] </w:t>
      </w:r>
      <w:r>
        <w:rPr>
          <w:rFonts w:ascii="Cambria" w:cs="Cambria" w:eastAsia="Cambria" w:hAnsi="Cambria"/>
          <w:color w:val="000000"/>
          <w:sz w:val="24"/>
          <w:szCs w:val="24"/>
        </w:rPr>
        <w:t xml:space="preserve">K. Ekholm, A. Augustinsson, J. Sundström, C. Johansen, M. Storgärds, L. Ljöstad, et al.</w:t>
      </w:r>
      <w:r>
        <w:rPr>
          <w:rFonts w:ascii="Cambria" w:cs="Cambria" w:eastAsia="Cambria" w:hAnsi="Cambria"/>
          <w:color w:val="000000"/>
          <w:sz w:val="24"/>
          <w:szCs w:val="24"/>
        </w:rPr>
        <w:t xml:space="preserve"> Implementing electronic informed consent in rare disease genomics. </w:t>
      </w:r>
      <w:r>
        <w:rPr>
          <w:rFonts w:ascii="Cambria" w:cs="Cambria" w:eastAsia="Cambria" w:hAnsi="Cambria"/>
          <w:color w:val="000000"/>
          <w:sz w:val="24"/>
          <w:szCs w:val="24"/>
        </w:rPr>
        <w:t xml:space="preserve">Scientific Reports, 2025.</w:t>
      </w:r>
      <w:r>
        <w:rPr>
          <w:rFonts w:ascii="Cambria" w:cs="Cambria" w:eastAsia="Cambria" w:hAnsi="Cambria"/>
          <w:color w:val="000000"/>
          <w:sz w:val="24"/>
          <w:szCs w:val="24"/>
        </w:rPr>
        <w:t xml:space="preserve"> doi:10.1038/s41598-025-32740-1</w:t>
      </w:r>
    </w:p>
    <w:p>
      <w:pPr>
        <w:spacing w:after="140" w:line="300"/>
        <w:jc w:val="both"/>
      </w:pPr>
      <w:r>
        <w:rPr>
          <w:rFonts w:ascii="Cambria" w:cs="Cambria" w:eastAsia="Cambria" w:hAnsi="Cambria"/>
          <w:color w:val="000000"/>
          <w:sz w:val="24"/>
          <w:szCs w:val="24"/>
        </w:rPr>
        <w:t xml:space="preserve">[44] A. U. Eneh, L. A. C. Ahakonye, J. M. Lee, and D.-S. Kim.</w:t>
      </w:r>
      <w:r>
        <w:rPr>
          <w:rFonts w:ascii="Cambria" w:cs="Cambria" w:eastAsia="Cambria" w:hAnsi="Cambria"/>
          <w:color w:val="000000"/>
          <w:sz w:val="24"/>
          <w:szCs w:val="24"/>
        </w:rPr>
        <w:t xml:space="preserve">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00"/>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00"/>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000000"/>
          <w:sz w:val="24"/>
          <w:szCs w:val="24"/>
        </w:rPr>
        <w:t xml:space="preserve">Distributed Ledger Technologies: Research and Practice, 2026.</w:t>
      </w:r>
      <w:r>
        <w:rPr>
          <w:rFonts w:ascii="Cambria" w:cs="Cambria" w:eastAsia="Cambria" w:hAnsi="Cambria"/>
          <w:color w:val="000000"/>
          <w:sz w:val="24"/>
          <w:szCs w:val="24"/>
        </w:rPr>
        <w:t xml:space="preserve"> doi:10.1145/3827623</w:t>
      </w:r>
    </w:p>
    <w:p>
      <w:pPr>
        <w:spacing w:after="140" w:line="300"/>
        <w:jc w:val="both"/>
      </w:pPr>
      <w:r>
        <w:rPr>
          <w:rFonts w:ascii="Cambria" w:cs="Cambria" w:eastAsia="Cambria" w:hAnsi="Cambria"/>
          <w:color w:val="000000"/>
          <w:sz w:val="24"/>
          <w:szCs w:val="24"/>
        </w:rPr>
        <w:t xml:space="preserve">[47] </w:t>
      </w:r>
      <w:r>
        <w:rPr>
          <w:rFonts w:ascii="Cambria" w:cs="Cambria" w:eastAsia="Cambria" w:hAnsi="Cambria"/>
          <w:color w:val="000000"/>
          <w:sz w:val="24"/>
          <w:szCs w:val="24"/>
        </w:rPr>
        <w:t xml:space="preserve">J. Hagström, M. Hägglund, M. Holmroos, P. Lähteenmäki, and I. Hörhammer.</w:t>
      </w:r>
      <w:r>
        <w:rPr>
          <w:rFonts w:ascii="Cambria" w:cs="Cambria" w:eastAsia="Cambria" w:hAnsi="Cambria"/>
          <w:color w:val="000000"/>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000000"/>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00"/>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00"/>
          <w:sz w:val="24"/>
          <w:szCs w:val="24"/>
        </w:rPr>
        <w:t xml:space="preserve">[50] </w:t>
      </w:r>
      <w:r>
        <w:rPr>
          <w:rFonts w:ascii="Cambria" w:cs="Cambria" w:eastAsia="Cambria" w:hAnsi="Cambria"/>
          <w:color w:val="000000"/>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00"/>
          <w:sz w:val="24"/>
          <w:szCs w:val="24"/>
        </w:rPr>
        <w:t xml:space="preserve"> doi:10.1016/j.cose.2023.103686</w:t>
      </w:r>
    </w:p>
    <w:p>
      <w:pPr>
        <w:spacing w:after="140" w:line="300"/>
        <w:jc w:val="both"/>
      </w:pPr>
      <w:r>
        <w:rPr>
          <w:rFonts w:ascii="Cambria" w:cs="Cambria" w:eastAsia="Cambria" w:hAnsi="Cambria"/>
          <w:color w:val="000000"/>
          <w:sz w:val="24"/>
          <w:szCs w:val="24"/>
        </w:rPr>
        <w:t xml:space="preserve">[51] H. Li, D. Li, G. Lv, N. Crespi, R. Minerva, W. Shao,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00"/>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00"/>
          <w:sz w:val="24"/>
          <w:szCs w:val="24"/>
        </w:rPr>
        <w:t xml:space="preserve">[53] M. M. Madine, K. Salah, R. Jayaraman, I. Yaqoob, Y. Al-Hammadi, S. Ellahham,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00"/>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00"/>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00"/>
          <w:sz w:val="24"/>
          <w:szCs w:val="24"/>
        </w:rPr>
        <w:t xml:space="preserve">[56] </w:t>
      </w:r>
      <w:r>
        <w:rPr>
          <w:rFonts w:ascii="Cambria" w:cs="Cambria" w:eastAsia="Cambria" w:hAnsi="Cambria"/>
          <w:color w:val="000000"/>
          <w:sz w:val="24"/>
          <w:szCs w:val="24"/>
        </w:rPr>
        <w:t xml:space="preserve">M. Zhang, F. Shao, R. Zheng, M. Liu, and Z. Ji.</w:t>
      </w:r>
      <w:r>
        <w:rPr>
          <w:rFonts w:ascii="Cambria" w:cs="Cambria" w:eastAsia="Cambria" w:hAnsi="Cambria"/>
          <w:color w:val="000000"/>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00"/>
          <w:sz w:val="24"/>
          <w:szCs w:val="24"/>
        </w:rPr>
        <w:t xml:space="preserve">[57] D.P. Panagoulias, A.I. Damian, C. Stamate, V. Toderian, P. Butusina, A. De Franceschi,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00"/>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00"/>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00"/>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00"/>
          <w:sz w:val="24"/>
          <w:szCs w:val="24"/>
        </w:rPr>
        <w:t xml:space="preserve">[61] A. Punia, P. Gulia, N.S. Gill, D. Kaushik, N. Alduaiji, P.K. Shukla,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00"/>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00"/>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000000"/>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00"/>
          <w:sz w:val="24"/>
          <w:szCs w:val="24"/>
        </w:rPr>
        <w:t xml:space="preserve">[65] N.M. Sawant and J. Gomes. A Decentralized Solution for Smarter and Safer Healthcare Systems with FabricMedChain. </w:t>
      </w:r>
      <w:r>
        <w:rPr>
          <w:rFonts w:ascii="Cambria" w:cs="Cambria" w:eastAsia="Cambria" w:hAnsi="Cambria"/>
          <w:color w:val="000000"/>
          <w:sz w:val="24"/>
          <w:szCs w:val="24"/>
        </w:rPr>
        <w:t xml:space="preserve">Iranian Journal of Science and Technology, Transactions of Electrical Engineering, 2026.</w:t>
      </w:r>
      <w:r>
        <w:rPr>
          <w:rFonts w:ascii="Cambria" w:cs="Cambria" w:eastAsia="Cambria" w:hAnsi="Cambria"/>
          <w:color w:val="000000"/>
          <w:sz w:val="24"/>
          <w:szCs w:val="24"/>
        </w:rPr>
        <w:t xml:space="preserve"> doi:10.1007/s40998-025-00994-0</w:t>
      </w:r>
    </w:p>
    <w:p>
      <w:pPr>
        <w:spacing w:after="140" w:line="300"/>
        <w:jc w:val="both"/>
      </w:pPr>
      <w:r>
        <w:rPr>
          <w:rFonts w:ascii="Cambria" w:cs="Cambria" w:eastAsia="Cambria" w:hAnsi="Cambria"/>
          <w:color w:val="000000"/>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00"/>
          <w:sz w:val="24"/>
          <w:szCs w:val="24"/>
        </w:rPr>
        <w:t xml:space="preserve">[67] </w:t>
      </w:r>
      <w:r>
        <w:rPr>
          <w:rFonts w:ascii="Cambria" w:cs="Cambria" w:eastAsia="Cambria" w:hAnsi="Cambria"/>
          <w:color w:val="000000"/>
          <w:sz w:val="24"/>
          <w:szCs w:val="24"/>
        </w:rPr>
        <w:t xml:space="preserve">S. L. Soohoo, M. S. Keller, Y. Chen, D. Hu, S.-C. Huang, T.-T. Kuo, et al.</w:t>
      </w:r>
      <w:r>
        <w:rPr>
          <w:rFonts w:ascii="Cambria" w:cs="Cambria" w:eastAsia="Cambria" w:hAnsi="Cambria"/>
          <w:color w:val="000000"/>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000000"/>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00"/>
          <w:sz w:val="24"/>
          <w:szCs w:val="24"/>
        </w:rPr>
        <w:t xml:space="preserve">[69] </w:t>
      </w:r>
      <w:r>
        <w:rPr>
          <w:rFonts w:ascii="Cambria" w:cs="Cambria" w:eastAsia="Cambria" w:hAnsi="Cambria"/>
          <w:color w:val="000000"/>
          <w:sz w:val="24"/>
          <w:szCs w:val="24"/>
        </w:rPr>
        <w:t xml:space="preserve">K.-L. Tan, C.-H. Chi, and K.-Y. Lam.</w:t>
      </w:r>
      <w:r>
        <w:rPr>
          <w:rFonts w:ascii="Cambria" w:cs="Cambria" w:eastAsia="Cambria" w:hAnsi="Cambria"/>
          <w:color w:val="000000"/>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00"/>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00"/>
          <w:sz w:val="24"/>
          <w:szCs w:val="24"/>
        </w:rPr>
        <w:t xml:space="preserve">[71] </w:t>
      </w:r>
      <w:r>
        <w:rPr>
          <w:rFonts w:ascii="Cambria" w:cs="Cambria" w:eastAsia="Cambria" w:hAnsi="Cambria"/>
          <w:color w:val="000000"/>
          <w:sz w:val="24"/>
          <w:szCs w:val="24"/>
        </w:rPr>
        <w:t xml:space="preserve">D. Tith, J.-S. Lee, H. Suzuki, W. M. A. B. Wijesundara, N. Taira, T. Obi, et al.</w:t>
      </w:r>
      <w:r>
        <w:rPr>
          <w:rFonts w:ascii="Cambria" w:cs="Cambria" w:eastAsia="Cambria" w:hAnsi="Cambria"/>
          <w:color w:val="000000"/>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00"/>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00"/>
          <w:sz w:val="24"/>
          <w:szCs w:val="24"/>
        </w:rPr>
        <w:t xml:space="preserve">[73] </w:t>
      </w:r>
      <w:r>
        <w:rPr>
          <w:rFonts w:ascii="Cambria" w:cs="Cambria" w:eastAsia="Cambria" w:hAnsi="Cambria"/>
          <w:color w:val="000000"/>
          <w:sz w:val="24"/>
          <w:szCs w:val="24"/>
        </w:rPr>
        <w:t xml:space="preserve">C.-H. Tseng, Y.-H. Hsieh, H.-Y. Lin, and S.-M. Yuan.</w:t>
      </w:r>
      <w:r>
        <w:rPr>
          <w:rFonts w:ascii="Cambria" w:cs="Cambria" w:eastAsia="Cambria" w:hAnsi="Cambria"/>
          <w:color w:val="000000"/>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00"/>
          <w:sz w:val="24"/>
          <w:szCs w:val="24"/>
        </w:rPr>
        <w:t xml:space="preserve">[74] </w:t>
      </w:r>
      <w:r>
        <w:rPr>
          <w:rFonts w:ascii="Cambria" w:cs="Cambria" w:eastAsia="Cambria" w:hAnsi="Cambria"/>
          <w:color w:val="000000"/>
          <w:sz w:val="24"/>
          <w:szCs w:val="24"/>
        </w:rPr>
        <w:t xml:space="preserve">J. Wagner, H. Schneiderheinze, M. Wurlitzer, O. Köckritz, N. Dittberner, M. Bialke, et al.</w:t>
      </w:r>
      <w:r>
        <w:rPr>
          <w:rFonts w:ascii="Cambria" w:cs="Cambria" w:eastAsia="Cambria" w:hAnsi="Cambria"/>
          <w:color w:val="000000"/>
          <w:sz w:val="24"/>
          <w:szCs w:val="24"/>
        </w:rPr>
        <w:t xml:space="preserve"> Integration of Trusted Third Party Software </w:t>
      </w:r>
      <w:r>
        <w:rPr>
          <w:rFonts w:ascii="Cambria" w:cs="Cambria" w:eastAsia="Cambria" w:hAnsi="Cambria"/>
          <w:color w:val="000000"/>
          <w:sz w:val="24"/>
          <w:szCs w:val="24"/>
        </w:rPr>
        <w:t xml:space="preserve">into an EDC System for Data Protection-Compliant Identity Management, Consent Management and Pseudonymization in Medical Research Studies.</w:t>
      </w:r>
      <w:r>
        <w:rPr>
          <w:rFonts w:ascii="Cambria" w:cs="Cambria" w:eastAsia="Cambria" w:hAnsi="Cambria"/>
          <w:color w:val="000000"/>
          <w:sz w:val="24"/>
          <w:szCs w:val="24"/>
        </w:rPr>
        <w:t xml:space="preserve"> Studies in Health Technology and Informatics, 2024. doi:10.3233/SHTI240840</w:t>
      </w:r>
    </w:p>
    <w:p>
      <w:pPr>
        <w:spacing w:after="140" w:line="300"/>
        <w:jc w:val="both"/>
      </w:pPr>
      <w:r>
        <w:rPr>
          <w:rFonts w:ascii="Cambria" w:cs="Cambria" w:eastAsia="Cambria" w:hAnsi="Cambria"/>
          <w:color w:val="000000"/>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000000"/>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00"/>
          <w:sz w:val="24"/>
          <w:szCs w:val="24"/>
        </w:rPr>
        <w:t xml:space="preserve"> doi:10.1007/978-3-031-16035-6_1</w:t>
      </w:r>
    </w:p>
    <w:p>
      <w:pPr>
        <w:spacing w:after="140" w:line="300"/>
        <w:jc w:val="both"/>
      </w:pPr>
      <w:r>
        <w:rPr>
          <w:rFonts w:ascii="Cambria" w:cs="Cambria" w:eastAsia="Cambria" w:hAnsi="Cambria"/>
          <w:color w:val="000000"/>
          <w:sz w:val="24"/>
          <w:szCs w:val="24"/>
        </w:rPr>
        <w:t xml:space="preserve">[76] </w:t>
      </w:r>
      <w:r>
        <w:rPr>
          <w:rFonts w:ascii="Cambria" w:cs="Cambria" w:eastAsia="Cambria" w:hAnsi="Cambria"/>
          <w:color w:val="000000"/>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00"/>
          <w:sz w:val="24"/>
          <w:szCs w:val="24"/>
        </w:rPr>
        <w:t xml:space="preserve"> doi:10.1016/j.csi.2024.103967</w:t>
      </w:r>
    </w:p>
    <w:p>
      <w:pPr>
        <w:spacing w:after="140" w:line="300"/>
        <w:jc w:val="both"/>
      </w:pPr>
      <w:r>
        <w:rPr>
          <w:rFonts w:ascii="Cambria" w:cs="Cambria" w:eastAsia="Cambria" w:hAnsi="Cambria"/>
          <w:color w:val="000000"/>
          <w:sz w:val="24"/>
          <w:szCs w:val="24"/>
        </w:rPr>
        <w:t xml:space="preserve">[77] G. Xu, C. Qi, W. Dong, L. Gong, S. Liu, S. Chen,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00"/>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00"/>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00"/>
          <w:sz w:val="24"/>
          <w:szCs w:val="24"/>
        </w:rPr>
        <w:t xml:space="preserve">[80] </w:t>
      </w:r>
      <w:r>
        <w:rPr>
          <w:rFonts w:ascii="Cambria" w:cs="Cambria" w:eastAsia="Cambria" w:hAnsi="Cambria"/>
          <w:color w:val="000000"/>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00"/>
          <w:sz w:val="24"/>
          <w:szCs w:val="24"/>
        </w:rPr>
        <w:t xml:space="preserve"> 2026. doi:10.2196/93348</w:t>
      </w:r>
    </w:p>
    <w:p>
      <w:pPr>
        <w:spacing w:after="140" w:line="300"/>
        <w:jc w:val="both"/>
      </w:pPr>
      <w:r>
        <w:rPr>
          <w:rFonts w:ascii="Cambria" w:cs="Cambria" w:eastAsia="Cambria" w:hAnsi="Cambria"/>
          <w:color w:val="000000"/>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22d1bd8247485bbe40985e7e87374f188a3836d.png"/><Relationship Id="rId9" Type="http://schemas.openxmlformats.org/officeDocument/2006/relationships/image" Target="media/122df1687083c1aa86c90931669619b25666899b.png"/><Relationship Id="rId10" Type="http://schemas.openxmlformats.org/officeDocument/2006/relationships/image" Target="media/711f7f92a095989e921710a34c9b193c17f77f21.png"/><Relationship Id="rId11" Type="http://schemas.openxmlformats.org/officeDocument/2006/relationships/image" Target="media/5cf4112c6d08a2666a35561e97f76225e394e976.png"/><Relationship Id="rId12" Type="http://schemas.openxmlformats.org/officeDocument/2006/relationships/image" Target="media/759e288d014dfc281b63ba10a0a103690581aa0b.png"/><Relationship Id="rId13" Type="http://schemas.openxmlformats.org/officeDocument/2006/relationships/image" Target="media/7f691d763dba86ee49b25518e490fe406bd1e793.png"/><Relationship Id="rId14" Type="http://schemas.openxmlformats.org/officeDocument/2006/relationships/image" Target="media/0fc1020c5f2d577fb45977f6ee9d775a5b66ce0a.png"/><Relationship Id="rId15" Type="http://schemas.openxmlformats.org/officeDocument/2006/relationships/image" Target="media/5dda75865b8a7d4d8bbd3d4e406d6ac57f913b3c.png"/><Relationship Id="rId16" Type="http://schemas.openxmlformats.org/officeDocument/2006/relationships/image" Target="media/9becb05c4a6101f5d421517f324e978051b8cf09.png"/><Relationship Id="rId17" Type="http://schemas.openxmlformats.org/officeDocument/2006/relationships/image" Target="media/6f692c439de61f2c2064c85f12b2c7408b6da610.png"/><Relationship Id="rId18" Type="http://schemas.openxmlformats.org/officeDocument/2006/relationships/image" Target="media/efcb745b76bd75b54bf53f1c859df350299a2c6a.png"/><Relationship Id="rId19" Type="http://schemas.openxmlformats.org/officeDocument/2006/relationships/image" Target="media/11081a2422bebced6d030d22f0ebf13798832173.png"/><Relationship Id="rId20" Type="http://schemas.openxmlformats.org/officeDocument/2006/relationships/image" Target="media/cb3ff9df210f6ca37563bb96441f27f5987b686b.png"/><Relationship Id="rId21" Type="http://schemas.openxmlformats.org/officeDocument/2006/relationships/image" Target="media/70806ca075a018d1832052673cf0a8a54f10cc25.png"/><Relationship Id="rId22" Type="http://schemas.openxmlformats.org/officeDocument/2006/relationships/image" Target="media/4eba5d9267467f413da1872413e65d2897ea5f8d.png"/><Relationship Id="rId23" Type="http://schemas.openxmlformats.org/officeDocument/2006/relationships/image" Target="media/9d7e95eb43f6e9e653dbde9cb6afb2c4db7f0f36.png"/><Relationship Id="rId24" Type="http://schemas.openxmlformats.org/officeDocument/2006/relationships/image" Target="media/86be1e8b3adc79bdae602e0e0eeb3c738c4f87e6.png"/><Relationship Id="rId25" Type="http://schemas.openxmlformats.org/officeDocument/2006/relationships/image" Target="media/9f768ad876e36bba938f173c40ba95c30b720407.png"/><Relationship Id="rId26" Type="http://schemas.openxmlformats.org/officeDocument/2006/relationships/image" Target="media/7dfd85dea52248d93df8e639bb58d97f49e03d1f.png"/><Relationship Id="rId27" Type="http://schemas.openxmlformats.org/officeDocument/2006/relationships/image" Target="media/1d594c5b75b5565a7e8619d0453d3de20c450b5a.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00d6986401b6325763b2855292d411f63286ea76.png"/><Relationship Id="rId31" Type="http://schemas.openxmlformats.org/officeDocument/2006/relationships/image" Target="media/b08ef3c27e50bcebac919f21b9b3c4430a015386.png"/><Relationship Id="rId32" Type="http://schemas.openxmlformats.org/officeDocument/2006/relationships/image" Target="media/54bb321ea4f7a316787389979f1f74b2e2ddc49b.png"/><Relationship Id="rId33" Type="http://schemas.openxmlformats.org/officeDocument/2006/relationships/image" Target="media/2c37f339c8f70360c56e49b5ce87e08f0ef3eea6.png"/><Relationship Id="rId34" Type="http://schemas.openxmlformats.org/officeDocument/2006/relationships/image" Target="media/a5b9b3ccbbdd73d6bbf6c105cedc858a5966b7f9.png"/><Relationship Id="rId35" Type="http://schemas.openxmlformats.org/officeDocument/2006/relationships/image" Target="media/e56b4f992bdd903593631381fadd9d088590b949.png"/><Relationship Id="rId36" Type="http://schemas.openxmlformats.org/officeDocument/2006/relationships/image" Target="media/551744d4db41183fe0c9b4d913479007233462c1.png"/><Relationship Id="rId37" Type="http://schemas.openxmlformats.org/officeDocument/2006/relationships/image" Target="media/d27b9e60b78f5e08727704aeccc1c38be9d5bec6.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1a88f385ea18ee24f3143e2be805b94b95340d8c.png"/><Relationship Id="rId43" Type="http://schemas.openxmlformats.org/officeDocument/2006/relationships/image" Target="media/0dab734b3591fc6e44f28d70c229863ac765dd6c.png"/><Relationship Id="rId44" Type="http://schemas.openxmlformats.org/officeDocument/2006/relationships/image" Target="media/437d3b5dafb646c4afc365beb5e51e2de16280e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0d4f18238ad3012fc88599bbeba8f066669a9f4d.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2026-09-30T11:25:46.910Z</dcterms:created>
  <dcterms:modified xsi:type="dcterms:W3CDTF">2026-09-30T11:25:46.910Z</dcterms:modified>
</cp:coreProperties>
</file>

<file path=docProps/custom.xml><?xml version="1.0" encoding="utf-8"?>
<Properties xmlns="http://schemas.openxmlformats.org/officeDocument/2006/custom-properties" xmlns:vt="http://schemas.openxmlformats.org/officeDocument/2006/docPropsVTypes"/>
</file>