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Authorization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pPr>
        <w:spacing w:before="400"/>
        <w:jc w:val="center"/>
      </w:pPr>
      <w:r>
        <w:rPr>
          <w:rFonts w:ascii="Cambria" w:cs="Cambria" w:eastAsia="Cambria" w:hAnsi="Cambria"/>
          <w:i/>
          <w:iCs/>
          <w:color w:val="C00000"/>
          <w:sz w:val="20"/>
          <w:szCs w:val="20"/>
        </w:rPr>
        <w:t xml:space="preserve">Working copy: all corrections aligning this report with the implemented HALAH v1.2 system (companion document: HALAH Implementation v1.3) are inserted in RED at their locations; superseded wording is struck through in grey.</w:t>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4</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4</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5</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7</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11</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11</w:t>
      </w:r>
    </w:p>
    <w:p>
      <w:pPr>
        <w:tabs>
          <w:tab w:val="right" w:pos="9360" w:leader="dot"/>
        </w:tabs>
        <w:spacing w:after="60"/>
        <w:ind w:left="360"/>
      </w:pPr>
      <w:r>
        <w:rPr>
          <w:rFonts w:ascii="Cambria" w:cs="Cambria" w:eastAsia="Cambria" w:hAnsi="Cambria"/>
          <w:b w:val="false"/>
          <w:bCs w:val="false"/>
          <w:sz w:val="22"/>
          <w:szCs w:val="22"/>
        </w:rPr>
        <w:t xml:space="preserve">2.2 Systematic Literature Review Methodology</w:t>
      </w:r>
      <w:r>
        <w:rPr>
          <w:rFonts w:ascii="Cambria" w:cs="Cambria" w:eastAsia="Cambria" w:hAnsi="Cambria"/>
          <w:sz w:val="22"/>
          <w:szCs w:val="22"/>
        </w:rPr>
        <w:t xml:space="preserve">	11</w:t>
      </w:r>
    </w:p>
    <w:p>
      <w:pPr>
        <w:tabs>
          <w:tab w:val="right" w:pos="9360" w:leader="dot"/>
        </w:tabs>
        <w:spacing w:after="60"/>
        <w:ind w:left="360"/>
      </w:pPr>
      <w:r>
        <w:rPr>
          <w:rFonts w:ascii="Cambria" w:cs="Cambria" w:eastAsia="Cambria" w:hAnsi="Cambria"/>
          <w:b w:val="false"/>
          <w:bCs w:val="false"/>
          <w:sz w:val="22"/>
          <w:szCs w:val="22"/>
        </w:rPr>
        <w:t xml:space="preserve">2.3 Review</w:t>
      </w:r>
      <w:r>
        <w:rPr>
          <w:rFonts w:ascii="Cambria" w:cs="Cambria" w:eastAsia="Cambria" w:hAnsi="Cambria"/>
          <w:sz w:val="22"/>
          <w:szCs w:val="22"/>
        </w:rPr>
        <w:t xml:space="preserve">	17</w:t>
      </w:r>
    </w:p>
    <w:p>
      <w:pPr>
        <w:tabs>
          <w:tab w:val="right" w:pos="9360" w:leader="dot"/>
        </w:tabs>
        <w:spacing w:after="60"/>
        <w:ind w:left="360"/>
      </w:pPr>
      <w:r>
        <w:rPr>
          <w:rFonts w:ascii="Cambria" w:cs="Cambria" w:eastAsia="Cambria" w:hAnsi="Cambria"/>
          <w:b w:val="false"/>
          <w:bCs w:val="false"/>
          <w:sz w:val="22"/>
          <w:szCs w:val="22"/>
        </w:rPr>
        <w:t xml:space="preserve">2.4 Synthesis and Research Gap</w:t>
      </w:r>
      <w:r>
        <w:rPr>
          <w:rFonts w:ascii="Cambria" w:cs="Cambria" w:eastAsia="Cambria" w:hAnsi="Cambria"/>
          <w:sz w:val="22"/>
          <w:szCs w:val="22"/>
        </w:rPr>
        <w:t xml:space="preserve">	25</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27</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27</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28</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29</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34</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37</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37</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37</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38</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38</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38</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39</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40</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44</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44</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Authorization Workflow</w:t>
      </w:r>
      <w:r>
        <w:rPr>
          <w:rFonts w:ascii="Cambria" w:cs="Cambria" w:eastAsia="Cambria" w:hAnsi="Cambria"/>
          <w:sz w:val="22"/>
          <w:szCs w:val="22"/>
        </w:rPr>
        <w:t xml:space="preserve">	51</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54</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55</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56</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57</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58</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59</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60</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63</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67</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72</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86</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95</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7.4 Progress of RO4: Policy-Aware Access Control</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7.6 Progress of RO6: Security Assurance and Validation</w:t>
      </w:r>
      <w:r>
        <w:rPr>
          <w:rFonts w:ascii="Cambria" w:cs="Cambria" w:eastAsia="Cambria" w:hAnsi="Cambria"/>
          <w:sz w:val="22"/>
          <w:szCs w:val="22"/>
        </w:rPr>
        <w:t xml:space="preserve">	3</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3</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3</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3</w:t>
      </w:r>
    </w:p>
    <w:p>
      <w:pPr>
        <w:pStyle w:val="Heading1"/>
        <w:pageBreakBefore/>
        <w:spacing w:after="160" w:before="400"/>
      </w:pPr>
      <w:r>
        <w:t xml:space="preserve">1  Introduction</w:t>
      </w:r>
    </w:p>
    <w:p>
      <w:pPr>
        <w:pStyle w:val="Heading2"/>
        <w:spacing w:after="160" w:before="280"/>
      </w:pPr>
      <w: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[31, 14,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[24, 22, 12].</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permission-management mechanisms [28, 25, 11].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other authorised stakeholders [21, 9].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7, 3]. More broadly, blockchain-based approaches have demonstrated the potential to improve the integrity, transparency, and traceability of decentralised data-management processes [8, 1].</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Heading2"/>
        <w:spacing w:after="160" w:before="280"/>
      </w:pPr>
      <w: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[20, 15]. However, these mechanisms are often investigated independently or integrated primarily at the implementation level without providing a unified Trust Computing model explaining how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pStyle w:val="Heading2"/>
        <w:spacing w:after="160" w:before="280"/>
      </w:pPr>
      <w:r>
        <w:t xml:space="preserve">1.3  Research Motivation</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sz w:val="24"/>
          <w:szCs w:val="24"/>
        </w:rP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sz w:val="24"/>
          <w:szCs w:val="24"/>
        </w:rPr>
        <w:t xml:space="preserve">The subsequent next stage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spacing w:after="40" w:before="60"/>
      </w:pPr>
      <w:r>
        <w:rPr>
          <w:rFonts w:ascii="Cambria" w:cs="Cambria" w:eastAsia="Cambria" w:hAnsi="Cambria"/>
          <w:b/>
          <w:bCs/>
          <w:color w:val="C00000"/>
          <w:sz w:val="18"/>
          <w:szCs w:val="18"/>
        </w:rPr>
        <w:t xml:space="preserve">[EDIT 3] </w:t>
      </w:r>
    </w:p>
    <w:p>
      <w:pPr>
        <w:spacing w:after="140" w:line="300"/>
        <w:jc w:val="both"/>
      </w:pPr>
      <w:r>
        <w:rPr>
          <w:rFonts w:ascii="Cambria" w:cs="Cambria" w:eastAsia="Cambria" w:hAnsi="Cambria"/>
          <w:color w:val="C00000"/>
          <w:sz w:val="24"/>
          <w:szCs w:val="24"/>
        </w:rPr>
        <w:t xml:space="preserve">The framework has been extended to incorporate temporal validity and lifecycle trust. Validity periods and expiration are enforced at evaluation time and mirrored on-chain, revocation is executed as a verifiable blockchain transaction, and consent progresses through controlled state transitions, reflecting the principle that trust cannot be regarded as permanently established at the moment a consent is created.</w:t>
      </w:r>
    </w:p>
    <w:p>
      <w:pPr>
        <w:spacing w:after="40" w:before="60"/>
      </w:pPr>
      <w:r>
        <w:rPr>
          <w:rFonts w:ascii="Cambria" w:cs="Cambria" w:eastAsia="Cambria" w:hAnsi="Cambria"/>
          <w:b/>
          <w:bCs/>
          <w:color w:val="C00000"/>
          <w:sz w:val="18"/>
          <w:szCs w:val="18"/>
        </w:rPr>
        <w:t xml:space="preserve">[EDIT 8] </w:t>
      </w:r>
    </w:p>
    <w:p>
      <w:pPr>
        <w:spacing w:after="140" w:line="300"/>
        <w:jc w:val="both"/>
      </w:pPr>
      <w:r>
        <w:rPr>
          <w:rFonts w:ascii="Cambria" w:cs="Cambria" w:eastAsia="Cambria" w:hAnsi="Cambria"/>
          <w:color w:val="C00000"/>
          <w:sz w:val="24"/>
          <w:szCs w:val="24"/>
        </w:rPr>
        <w:t xml:space="preserve">The research has since extended this foundation towards dynamic trust management; stronger formal security assurance remains for the subsequent stage.</w:t>
      </w:r>
    </w:p>
    <w:p>
      <w:pPr>
        <w:spacing w:after="140" w:line="300"/>
        <w:jc w:val="both"/>
      </w:pPr>
      <w:r>
        <w:rPr>
          <w:rFonts w:ascii="Cambria" w:cs="Cambria" w:eastAsia="Cambria" w:hAnsi="Cambria"/>
          <w:sz w:val="24"/>
          <w:szCs w:val="24"/>
        </w:rPr>
        <w:t xml:space="preserve">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w:t>
      </w:r>
    </w:p>
    <w:p>
      <w:pPr>
        <w:spacing w:after="40" w:before="60"/>
      </w:pPr>
      <w:r>
        <w:rPr>
          <w:rFonts w:ascii="Cambria" w:cs="Cambria" w:eastAsia="Cambria" w:hAnsi="Cambria"/>
          <w:b/>
          <w:bCs/>
          <w:color w:val="C00000"/>
          <w:sz w:val="18"/>
          <w:szCs w:val="18"/>
        </w:rPr>
        <w:t xml:space="preserve">[EDIT 4] </w:t>
      </w:r>
    </w:p>
    <w:p>
      <w:pPr>
        <w:spacing w:after="140" w:line="300"/>
        <w:jc w:val="both"/>
      </w:pPr>
      <w:r>
        <w:rPr>
          <w:rFonts w:ascii="Cambria" w:cs="Cambria" w:eastAsia="Cambria" w:hAnsi="Cambria"/>
          <w:color w:val="C00000"/>
          <w:sz w:val="24"/>
          <w:szCs w:val="24"/>
        </w:rPr>
        <w:t xml:space="preserve">Adversarial and negative testing has been undertaken using the HALAH prototype, including per-dimension denial scenarios, signature-rejection tests, and zero-knowledge tamper and expiry tests, together with a live negative evaluation on the Sepolia network. Formal security analysis remains the subject of the next research stage.</w:t>
      </w:r>
    </w:p>
    <w:p>
      <w:pPr>
        <w:spacing w:after="40" w:before="60"/>
      </w:pPr>
      <w:r>
        <w:rPr>
          <w:rFonts w:ascii="Cambria" w:cs="Cambria" w:eastAsia="Cambria" w:hAnsi="Cambria"/>
          <w:b/>
          <w:bCs/>
          <w:color w:val="C00000"/>
          <w:sz w:val="18"/>
          <w:szCs w:val="18"/>
        </w:rPr>
        <w:t xml:space="preserve">[EDIT 5] </w:t>
      </w:r>
    </w:p>
    <w:p>
      <w:pPr>
        <w:spacing w:after="140" w:line="300"/>
        <w:jc w:val="both"/>
      </w:pPr>
      <w:r>
        <w:rPr>
          <w:rFonts w:ascii="Cambria" w:cs="Cambria" w:eastAsia="Cambria" w:hAnsi="Cambria"/>
          <w:color w:val="C00000"/>
          <w:sz w:val="24"/>
          <w:szCs w:val="24"/>
        </w:rPr>
        <w:t xml:space="preserve">The next stage will investigate formal security assurance; empirical validation has now been carried out on the implemented prototype.</w:t>
      </w:r>
    </w:p>
    <w:p>
      <w:pPr>
        <w:spacing w:after="40" w:before="60"/>
      </w:pPr>
      <w:r>
        <w:rPr>
          <w:rFonts w:ascii="Cambria" w:cs="Cambria" w:eastAsia="Cambria" w:hAnsi="Cambria"/>
          <w:b/>
          <w:bCs/>
          <w:color w:val="C00000"/>
          <w:sz w:val="18"/>
          <w:szCs w:val="18"/>
        </w:rPr>
        <w:t xml:space="preserve">[EDIT 9] </w:t>
      </w:r>
    </w:p>
    <w:p>
      <w:pPr>
        <w:spacing w:after="140" w:line="300"/>
        <w:jc w:val="both"/>
      </w:pPr>
      <w:r>
        <w:rPr>
          <w:rFonts w:ascii="Cambria" w:cs="Cambria" w:eastAsia="Cambria" w:hAnsi="Cambria"/>
          <w:color w:val="C00000"/>
          <w:sz w:val="24"/>
          <w:szCs w:val="24"/>
        </w:rPr>
        <w:t xml:space="preserve">Table 1 summarises the research dimensions, indicating those realised in the implemented HALAH prototype and the formal-assurance work that remains for subsequent research.</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current research is concerned primarily with establishing the conceptual and technical foundations through which trustworthy multi-party authorisation can be constructed. Next stage will build upon these foundations by investigating how authorisation trust can be maintained dynamically over time, formally reasoned about under defined security assumptions, and comprehensively validated through prototype-based experimentation.</w:t>
      </w:r>
    </w:p>
    <w:p>
      <w:pPr>
        <w:spacing w:after="40" w:before="60"/>
      </w:pPr>
      <w:r>
        <w:rPr>
          <w:rFonts w:ascii="Cambria" w:cs="Cambria" w:eastAsia="Cambria" w:hAnsi="Cambria"/>
          <w:b/>
          <w:bCs/>
          <w:color w:val="C00000"/>
          <w:sz w:val="18"/>
          <w:szCs w:val="18"/>
        </w:rPr>
        <w:t xml:space="preserve">[EDIT 6] </w:t>
      </w:r>
    </w:p>
    <w:p>
      <w:pPr>
        <w:spacing w:after="140" w:line="300"/>
        <w:jc w:val="both"/>
      </w:pPr>
      <w:r>
        <w:rPr>
          <w:rFonts w:ascii="Cambria" w:cs="Cambria" w:eastAsia="Cambria" w:hAnsi="Cambria"/>
          <w:color w:val="C00000"/>
          <w:sz w:val="24"/>
          <w:szCs w:val="24"/>
        </w:rPr>
        <w:t xml:space="preserve">The current research is concerned primarily with establishing the conceptual and technical foundations through which trustworthy multi-party authorisation can be constructed.</w:t>
      </w:r>
    </w:p>
    <w:p>
      <w:pPr>
        <w:spacing w:after="40" w:before="60"/>
      </w:pPr>
      <w:r>
        <w:rPr>
          <w:rFonts w:ascii="Cambria" w:cs="Cambria" w:eastAsia="Cambria" w:hAnsi="Cambria"/>
          <w:b/>
          <w:bCs/>
          <w:color w:val="C00000"/>
          <w:sz w:val="18"/>
          <w:szCs w:val="18"/>
        </w:rPr>
        <w:t xml:space="preserve">[EDIT 7] </w:t>
      </w:r>
    </w:p>
    <w:p>
      <w:pPr>
        <w:spacing w:after="140" w:line="300"/>
        <w:jc w:val="both"/>
      </w:pPr>
      <w:r>
        <w:rPr>
          <w:rFonts w:ascii="Cambria" w:cs="Cambria" w:eastAsia="Cambria" w:hAnsi="Cambria"/>
          <w:color w:val="C00000"/>
          <w:sz w:val="24"/>
          <w:szCs w:val="24"/>
        </w:rPr>
        <w:t xml:space="preserve">The implemented prototype now maintains authorisation trust dynamically over time and has been validated through prototype-based experimentation; the next stage will build upon these foundations by reasoning formally about the model under defined security assumptions.</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keepNext/>
        <w:spacing w:after="80" w:before="160"/>
        <w:jc w:val="center"/>
      </w:pPr>
      <w:r>
        <w:rPr>
          <w:rFonts w:ascii="Cambria" w:cs="Cambria" w:eastAsia="Cambria" w:hAnsi="Cambria"/>
          <w:b/>
          <w:bCs/>
          <w:sz w:val="21"/>
          <w:szCs w:val="21"/>
        </w:rPr>
        <w:t xml:space="preserve">Table 1: </w:t>
      </w:r>
      <w:r>
        <w:rPr>
          <w:rFonts w:ascii="Cambria" w:cs="Cambria" w:eastAsia="Cambria" w:hAnsi="Cambria"/>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Modelling</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pStyle w:val="Heading1"/>
        <w:pageBreakBefore/>
        <w:spacing w:after="160" w:before="400"/>
      </w:pPr>
      <w:r>
        <w:t xml:space="preserve">2  Systematic Literature Review</w:t>
      </w:r>
    </w:p>
    <w:p>
      <w:pPr>
        <w:pStyle w:val="Heading2"/>
        <w:spacing w:after="160" w:before="280"/>
      </w:pPr>
      <w: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decentralised consent management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2"/>
        <w:spacing w:after="160" w:before="280"/>
      </w:pPr>
      <w:r>
        <w:t xml:space="preserve">2.2  Systematic Literature Review Methodology</w:t>
      </w:r>
    </w:p>
    <w:p>
      <w:pPr>
        <w:spacing w:after="140" w:line="300"/>
        <w:jc w:val="both"/>
      </w:pPr>
      <w:r>
        <w:rPr>
          <w:rFonts w:ascii="Cambria" w:cs="Cambria" w:eastAsia="Cambria" w:hAnsi="Cambria"/>
          <w:sz w:val="24"/>
          <w:szCs w:val="24"/>
        </w:rPr>
        <w:t xml:space="preserve">Based on the provided list of 33 references (spanning years 2022 to 2026, with a focus on blockchain, decentralized identity, verifiable credentials, healthcare access control, and consent management), the text has been adjusted to accurately reflect this contemporary literature corpus.</w:t>
      </w:r>
    </w:p>
    <w:p>
      <w:pPr>
        <w:spacing w:after="140" w:line="300"/>
        <w:jc w:val="both"/>
      </w:pPr>
      <w:r>
        <w:rPr>
          <w:rFonts w:ascii="Cambria" w:cs="Cambria" w:eastAsia="Cambria" w:hAnsi="Cambria"/>
          <w:sz w:val="24"/>
          <w:szCs w:val="24"/>
        </w:rPr>
        <w:t xml:space="preserve">Specifically, references [1, 2, 3, 7, 9, 11, 12, 13, 14, 21, 22, 24, 28, 31, 32] anchor the healthcare data sharing, consent, and access control aspects, while [4, 5, 10, 15, 16, 20, 23, 25, 27, 33] support the decentralized identifiers (DIDs), verifiable credentials (VCs), and trust architecture dimensions. Furthermore, the final inclusion count in the screening section has been aligned with the scope of the provided bibliography.</w:t>
      </w:r>
    </w:p>
    <w:p>
      <w:pPr>
        <w:pStyle w:val="Heading3"/>
        <w:spacing w:after="160" w:before="280"/>
      </w:pPr>
      <w:r>
        <w:t xml:space="preserve">2.2.1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decentralized identity, privacy-preserving access control, and auditability. The review was designed to establish the conceptual and technical foundations of the research and thus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authorization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t xml:space="preserve">2.2.2  Questions for Review</w:t>
      </w:r>
    </w:p>
    <w:p>
      <w:pPr>
        <w:spacing w:after="140" w:line="300"/>
        <w:jc w:val="both"/>
      </w:pPr>
      <w:r>
        <w:rPr>
          <w:rFonts w:ascii="Cambria" w:cs="Cambria" w:eastAsia="Cambria" w:hAnsi="Cambria"/>
          <w:sz w:val="24"/>
          <w:szCs w:val="24"/>
        </w:rPr>
        <w:t xml:space="preserve">This systematic literature review (SLR) is guided by the following questions</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decentralized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t xml:space="preserve">2.2.3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 including 1) IEEE Xplore, 2) ACM Digital Library, 3) ScienceDirect, 4) SpringerLink, 5) PubMed, 6) Scopus; and 7) Web of Science.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decentralized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decentralized identity, access control, privacy, and auditability. The general search string was defined as shown in Figure 1.</w:t>
      </w:r>
    </w:p>
    <w:p>
      <w:pPr>
        <w:keepNext/>
        <w:spacing w:after="60" w:before="140"/>
        <w:jc w:val="center"/>
      </w:pPr>
      <w:r>
        <w:drawing>
          <wp:inline distT="0" distB="0" distL="0" distR="0">
            <wp:extent cx="5143500" cy="3171825"/>
            <wp:effectExtent t="0" r="0" b="0" l="0"/>
            <wp:docPr id="1" name="rfig1.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71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pStyle w:val="Heading3"/>
        <w:spacing w:after="160" w:before="280"/>
      </w:pPr>
      <w:r>
        <w:t xml:space="preserve">2.2.4  Search Period and Search Execution</w:t>
      </w:r>
    </w:p>
    <w:p>
      <w:pPr>
        <w:spacing w:after="140" w:line="300"/>
        <w:jc w:val="both"/>
      </w:pPr>
      <w:r>
        <w:rPr>
          <w:rFonts w:ascii="Cambria" w:cs="Cambria" w:eastAsia="Cambria" w:hAnsi="Cambria"/>
          <w:sz w:val="24"/>
          <w:szCs w:val="24"/>
        </w:rPr>
        <w:t xml:space="preserve">The search was restricted to studies published between 2022 and 2026. The search was performed on August 2026. The search period was selected to capture the rapid development of multi-party trust healthcare data management, decentralized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t xml:space="preserve">2.2.5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decentralized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Heading3"/>
        <w:spacing w:after="160" w:before="280"/>
      </w:pPr>
      <w:r>
        <w:t xml:space="preserve">2.2.6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authorization,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334000" cy="2743200"/>
            <wp:effectExtent t="0" r="0" b="0" l="0"/>
            <wp:docPr id="1" name="r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 which summarizes the identification, screening, eligibility, and inclusion stages of the SLR. The final number of included studies was derived after completing the screening and eligibility assessment across the identified literature base.</w:t>
      </w:r>
    </w:p>
    <w:p>
      <w:pPr>
        <w:pStyle w:val="Heading3"/>
        <w:spacing w:after="160" w:before="280"/>
      </w:pPr>
      <w:r>
        <w:t xml:space="preserve">2.2.7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organized into thematic categories corresponding to the research questions. These categories included consent specification and management, decentralized identity and credential verification, authorization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authorization, auditable access records, and mechanisms for preserving patient autonomy.</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2"/>
        <w:spacing w:after="160" w:before="280"/>
      </w:pPr>
      <w:r>
        <w:t xml:space="preserve">2.3  Review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blockchain-based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Blockchain research has investigated immutable data governance, distributed auditability, and decentralised trust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pStyle w:val="Heading3"/>
        <w:spacing w:after="160" w:before="280"/>
      </w:pPr>
      <w:r>
        <w:t xml:space="preserve">2.3.1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Heading3"/>
        <w:spacing w:after="160" w:before="280"/>
      </w:pPr>
      <w:r>
        <w:t xml:space="preserve">2.3.2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Heading3"/>
        <w:spacing w:after="160" w:before="280"/>
      </w:pPr>
      <w:r>
        <w:t xml:space="preserve">2.3.3  Decentralised Identity and Verifiable Credentials</w:t>
      </w:r>
    </w:p>
    <w:p>
      <w:pPr>
        <w:spacing w:after="140" w:line="300"/>
        <w:jc w:val="both"/>
      </w:pPr>
      <w:r>
        <w:rPr>
          <w:rFonts w:ascii="Cambria" w:cs="Cambria" w:eastAsia="Cambria" w:hAnsi="Cambria"/>
          <w:sz w:val="24"/>
          <w:szCs w:val="24"/>
        </w:rP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[27, 5].</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Heading3"/>
        <w:spacing w:after="160" w:before="280"/>
      </w:pPr>
      <w:r>
        <w:t xml:space="preserve">2.3.4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[21, 9].</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Heading3"/>
        <w:spacing w:after="160" w:before="280"/>
      </w:pPr>
      <w:r>
        <w:t xml:space="preserve">2.3.5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Heading3"/>
        <w:spacing w:after="160" w:before="280"/>
      </w:pPr>
      <w:r>
        <w:t xml:space="preserve">2.3.6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 This research establishes the conceptual foundation for such integration. Future work can therefore investigate how trusted execution and remote attestation can strengthen the enforcement and verification of decentralised consent decisions.</w:t>
      </w:r>
    </w:p>
    <w:p>
      <w:pPr>
        <w:spacing w:after="40" w:before="60"/>
      </w:pPr>
      <w:r>
        <w:rPr>
          <w:rFonts w:ascii="Cambria" w:cs="Cambria" w:eastAsia="Cambria" w:hAnsi="Cambria"/>
          <w:b/>
          <w:bCs/>
          <w:color w:val="C00000"/>
          <w:sz w:val="18"/>
          <w:szCs w:val="18"/>
        </w:rPr>
        <w:t xml:space="preserve">[EDIT 11] </w:t>
      </w:r>
    </w:p>
    <w:p>
      <w:pPr>
        <w:spacing w:after="140" w:line="300"/>
        <w:jc w:val="both"/>
      </w:pPr>
      <w:r>
        <w:rPr>
          <w:rFonts w:ascii="Cambria" w:cs="Cambria" w:eastAsia="Cambria" w:hAnsi="Cambria"/>
          <w:color w:val="C00000"/>
          <w:sz w:val="24"/>
          <w:szCs w:val="24"/>
        </w:rPr>
        <w:t xml:space="preserve">This research establishes the conceptual foundation for such integration and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spacing w:after="40" w:before="60"/>
      </w:pPr>
      <w:r>
        <w:rPr>
          <w:rFonts w:ascii="Cambria" w:cs="Cambria" w:eastAsia="Cambria" w:hAnsi="Cambria"/>
          <w:b/>
          <w:bCs/>
          <w:color w:val="C00000"/>
          <w:sz w:val="18"/>
          <w:szCs w:val="18"/>
        </w:rPr>
        <w:t xml:space="preserve">[EDIT 12] </w:t>
      </w:r>
    </w:p>
    <w:p>
      <w:pPr>
        <w:spacing w:after="140" w:line="300"/>
        <w:jc w:val="both"/>
      </w:pPr>
      <w:r>
        <w:rPr>
          <w:rFonts w:ascii="Cambria" w:cs="Cambria" w:eastAsia="Cambria" w:hAnsi="Cambria"/>
          <w:color w:val="C00000"/>
          <w:sz w:val="24"/>
          <w:szCs w:val="24"/>
        </w:rPr>
        <w:t xml:space="preserve">(Append) The present prototype addresses this concern empirically through adversarial and negative testing across each verification dimension; formal analysis remains necessary to demonstrate these properties under defined assumptions.</w:t>
      </w:r>
    </w:p>
    <w:p>
      <w:pPr>
        <w:pStyle w:val="Heading3"/>
        <w:spacing w:after="160" w:before="280"/>
      </w:pPr>
      <w:r>
        <w:t xml:space="preserve">2.3.7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2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sz w:val="21"/>
          <w:szCs w:val="21"/>
        </w:rPr>
        <w:t xml:space="preserve">Table 2: </w:t>
      </w:r>
      <w:r>
        <w:rPr>
          <w:rFonts w:ascii="Cambria" w:cs="Cambria" w:eastAsia="Cambria" w:hAnsi="Cambria"/>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Requires further extension towards lifecycle trust, formal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40" w:before="60"/>
      </w:pPr>
      <w:r>
        <w:rPr>
          <w:rFonts w:ascii="Cambria" w:cs="Cambria" w:eastAsia="Cambria" w:hAnsi="Cambria"/>
          <w:b/>
          <w:bCs/>
          <w:color w:val="C00000"/>
          <w:sz w:val="18"/>
          <w:szCs w:val="18"/>
        </w:rPr>
        <w:t xml:space="preserve">[EDIT 10 — place at: Page 20, Table 2, Proposed Framework row] </w:t>
      </w:r>
    </w:p>
    <w:p>
      <w:pPr>
        <w:spacing w:after="140" w:line="300"/>
        <w:jc w:val="both"/>
      </w:pPr>
      <w:r>
        <w:rPr>
          <w:rFonts w:ascii="Cambria" w:cs="Cambria" w:eastAsia="Cambria" w:hAnsi="Cambria"/>
          <w:color w:val="C00000"/>
          <w:sz w:val="24"/>
          <w:szCs w:val="24"/>
        </w:rPr>
        <w:t xml:space="preserve">Lifecycle trust and empirical validation are realised in the implemented prototype; formal security assurance requires further extension.</w:t>
      </w: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t xml:space="preserve">2.4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spacing w:after="140" w:line="300"/>
        <w:jc w:val="both"/>
      </w:pPr>
      <w:r>
        <w:rPr>
          <w:rFonts w:ascii="Cambria" w:cs="Cambria" w:eastAsia="Cambria" w:hAnsi="Cambria"/>
          <w:sz w:val="24"/>
          <w:szCs w:val="24"/>
        </w:rP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spacing w:after="40" w:before="60"/>
      </w:pPr>
      <w:r>
        <w:rPr>
          <w:rFonts w:ascii="Cambria" w:cs="Cambria" w:eastAsia="Cambria" w:hAnsi="Cambria"/>
          <w:b/>
          <w:bCs/>
          <w:color w:val="C00000"/>
          <w:sz w:val="18"/>
          <w:szCs w:val="18"/>
        </w:rPr>
        <w:t xml:space="preserve">[EDIT 13] </w:t>
      </w:r>
    </w:p>
    <w:p>
      <w:pPr>
        <w:spacing w:after="140" w:line="300"/>
        <w:jc w:val="both"/>
      </w:pPr>
      <w:r>
        <w:rPr>
          <w:rFonts w:ascii="Cambria" w:cs="Cambria" w:eastAsia="Cambria" w:hAnsi="Cambria"/>
          <w:color w:val="C00000"/>
          <w:sz w:val="24"/>
          <w:szCs w:val="24"/>
        </w:rPr>
        <w:t xml:space="preserve">Decision(C, R, t) = ALLOW ⟺ VI ∧ VA ∧ VP ∧ VT ∧ VL. This is the rule enforced by the implemented Consent Engine: every access request is evaluated over the complete tuple, and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1"/>
        <w:pageBreakBefore/>
        <w:spacing w:after="160" w:before="400"/>
      </w:pPr>
      <w:r>
        <w:t xml:space="preserve">3  Research Gaps and Questions</w:t>
      </w:r>
    </w:p>
    <w:p>
      <w:pPr>
        <w:pStyle w:val="Heading2"/>
        <w:spacing w:after="160" w:before="280"/>
      </w:pPr>
      <w:r>
        <w:t xml:space="preserve">3.1  Research Gap</w:t>
      </w:r>
    </w:p>
    <w:p>
      <w:pPr>
        <w:spacing w:after="140" w:line="300"/>
        <w:jc w:val="both"/>
      </w:pPr>
      <w:r>
        <w:rPr>
          <w:rFonts w:ascii="Cambria" w:cs="Cambria" w:eastAsia="Cambria" w:hAnsi="Cambria"/>
          <w:sz w:val="24"/>
          <w:szCs w:val="24"/>
        </w:rP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pStyle w:val="Heading2"/>
        <w:spacing w:after="160" w:before="280"/>
      </w:pPr>
      <w:r>
        <w:t xml:space="preserve">3.2  Main Research Question</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p>
      <w:pPr>
        <w:spacing w:after="40" w:before="60"/>
      </w:pPr>
      <w:r>
        <w:rPr>
          <w:rFonts w:ascii="Cambria" w:cs="Cambria" w:eastAsia="Cambria" w:hAnsi="Cambria"/>
          <w:b/>
          <w:bCs/>
          <w:color w:val="C00000"/>
          <w:sz w:val="18"/>
          <w:szCs w:val="18"/>
        </w:rPr>
        <w:t xml:space="preserve">[EDIT 16] </w:t>
      </w:r>
    </w:p>
    <w:p>
      <w:pPr>
        <w:spacing w:after="140" w:line="300"/>
        <w:jc w:val="both"/>
      </w:pPr>
      <w:r>
        <w:rPr>
          <w:rFonts w:ascii="Cambria" w:cs="Cambria" w:eastAsia="Cambria" w:hAnsi="Cambria"/>
          <w:color w:val="C00000"/>
          <w:sz w:val="24"/>
          <w:szCs w:val="24"/>
        </w:rPr>
        <w:t xml:space="preserve">Temporal and lifecycle trust has been operationalised in the current prototype, and the empirical validation has been partially completed through automated and live negative testing; formal security assurance forms the subsequent research scope and will be developed in CA3.</w:t>
      </w:r>
    </w:p>
    <w:p>
      <w:pPr>
        <w:pStyle w:val="Heading2"/>
        <w:spacing w:after="160" w:before="280"/>
      </w:pPr>
      <w: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pStyle w:val="Heading3"/>
        <w:spacing w:after="160" w:before="280"/>
      </w:pPr>
      <w: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tabs>
          <w:tab w:val="right" w:pos="9360"/>
        </w:tabs>
        <w:spacing w:after="40" w:before="60"/>
        <w:jc w:val="center"/>
      </w:pPr>
      <w:r>
        <w:rPr>
          <w:rFonts w:ascii="Cambria Math" w:cs="Cambria Math" w:eastAsia="Cambria Math" w:hAnsi="Cambria Math"/>
          <w:i/>
          <w:iCs/>
          <w:strike/>
          <w:color w:val="808080"/>
          <w:sz w:val="22"/>
          <w:szCs w:val="22"/>
        </w:rPr>
        <w:t xml:space="preserve">C = (I, A, P, E),</w:t>
      </w:r>
      <w:r>
        <w:rPr>
          <w:rFonts w:ascii="Cambria" w:cs="Cambria" w:eastAsia="Cambria" w:hAnsi="Cambria"/>
          <w:color w:val="808080"/>
          <w:sz w:val="22"/>
          <w:szCs w:val="22"/>
        </w:rPr>
        <w:t xml:space="preserve">	(7)</w:t>
      </w:r>
    </w:p>
    <w:p>
      <w:pPr>
        <w:spacing w:after="40" w:before="60"/>
      </w:pPr>
      <w:r>
        <w:rPr>
          <w:rFonts w:ascii="Cambria" w:cs="Cambria" w:eastAsia="Cambria" w:hAnsi="Cambria"/>
          <w:b/>
          <w:bCs/>
          <w:color w:val="C00000"/>
          <w:sz w:val="18"/>
          <w:szCs w:val="18"/>
        </w:rPr>
        <w:t xml:space="preserve">[EDIT 14] </w:t>
      </w:r>
    </w:p>
    <w:p>
      <w:pPr>
        <w:spacing w:after="140" w:line="300"/>
        <w:jc w:val="both"/>
      </w:pPr>
      <w:r>
        <w:rPr>
          <w:rFonts w:ascii="Cambria" w:cs="Cambria" w:eastAsia="Cambria" w:hAnsi="Cambria"/>
          <w:color w:val="C00000"/>
          <w:sz w:val="24"/>
          <w:szCs w:val="24"/>
        </w:rPr>
        <w:t xml:space="preserve">C = (I, A, P, T, L, E), where I represents the participating identities, A the authority and multi-party authorisation evidence, P the purpose and data-scope constraints, T the temporal validity window, L the jurisdictional constraint, and E the enforcement state recording whether the consent remains active or has been revoked.</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Therefore,Identity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spacing w:after="40" w:before="60"/>
      </w:pPr>
      <w:r>
        <w:rPr>
          <w:rFonts w:ascii="Cambria" w:cs="Cambria" w:eastAsia="Cambria" w:hAnsi="Cambria"/>
          <w:b/>
          <w:bCs/>
          <w:color w:val="C00000"/>
          <w:sz w:val="18"/>
          <w:szCs w:val="18"/>
        </w:rPr>
        <w:t xml:space="preserve">[EDIT 15] </w:t>
      </w:r>
    </w:p>
    <w:p>
      <w:pPr>
        <w:spacing w:after="140" w:line="300"/>
        <w:jc w:val="both"/>
      </w:pPr>
      <w:r>
        <w:rPr>
          <w:rFonts w:ascii="Cambria" w:cs="Cambria" w:eastAsia="Cambria" w:hAnsi="Cambria"/>
          <w:color w:val="C00000"/>
          <w:sz w:val="24"/>
          <w:szCs w:val="24"/>
        </w:rPr>
        <w:t xml:space="preserve">(Append) In the implemented framework N is instantiated as |G|, the number of designated guardians, so that activation requires the approval of every listed guardian; configurable k-of-n thresholds are identified as future work.</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(10)</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cannot necessarily be assumed to remain valid indefinitely.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sz w:val="22"/>
          <w:szCs w:val="22"/>
        </w:rPr>
        <w:t xml:space="preserve">Decision(C, R) =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Synthetic healthcare records derived from the Synthea dataset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consent lifecycle validity.</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seamlessly connects user-facing trust with back-end system security.</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The first four objectives establish the foundational trust-oriented authorisation mechanisms investigated during current stage, while the final two objectives extend and evaluate these mechanisms as part of the next research programme.</w:t>
      </w:r>
    </w:p>
    <w:p>
      <w:pPr>
        <w:spacing w:after="40" w:before="60"/>
      </w:pPr>
      <w:r>
        <w:rPr>
          <w:rFonts w:ascii="Cambria" w:cs="Cambria" w:eastAsia="Cambria" w:hAnsi="Cambria"/>
          <w:b/>
          <w:bCs/>
          <w:color w:val="C00000"/>
          <w:sz w:val="18"/>
          <w:szCs w:val="18"/>
        </w:rPr>
        <w:t xml:space="preserve">[EDIT 17] </w:t>
      </w:r>
    </w:p>
    <w:p>
      <w:pPr>
        <w:spacing w:after="140" w:line="300"/>
        <w:jc w:val="both"/>
      </w:pPr>
      <w:r>
        <w:rPr>
          <w:rFonts w:ascii="Cambria" w:cs="Cambria" w:eastAsia="Cambria" w:hAnsi="Cambria"/>
          <w:color w:val="C00000"/>
          <w:sz w:val="24"/>
          <w:szCs w:val="24"/>
        </w:rPr>
        <w:t xml:space="preserve">…while the fifth objective is realised operationally in the current prototype and the sixth is addressed empirically now, with its formal component reserved for the next research programme.</w:t>
      </w:r>
    </w:p>
    <w:p>
      <w:pPr>
        <w:pStyle w:val="Heading2"/>
        <w:spacing w:after="160" w:before="280"/>
      </w:pPr>
      <w: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t xml:space="preserve">4.3  RO3 - Trustworthy Multi-Party Authorisation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spacing w:after="40" w:before="60"/>
      </w:pPr>
      <w:r>
        <w:rPr>
          <w:rFonts w:ascii="Cambria" w:cs="Cambria" w:eastAsia="Cambria" w:hAnsi="Cambria"/>
          <w:b/>
          <w:bCs/>
          <w:color w:val="C00000"/>
          <w:sz w:val="18"/>
          <w:szCs w:val="18"/>
        </w:rPr>
        <w:t xml:space="preserve">[EDIT 18] </w:t>
      </w:r>
    </w:p>
    <w:p>
      <w:pPr>
        <w:spacing w:after="140" w:line="300"/>
        <w:jc w:val="both"/>
      </w:pPr>
      <w:r>
        <w:rPr>
          <w:rFonts w:ascii="Cambria" w:cs="Cambria" w:eastAsia="Cambria" w:hAnsi="Cambria"/>
          <w:color w:val="C00000"/>
          <w:sz w:val="24"/>
          <w:szCs w:val="24"/>
        </w:rPr>
        <w:t xml:space="preserve">The implemented mechanism defines the designated guardians at consent creation, verifies each EIP-712 approval by signature recovery, and requires a valid signature from every listed guardian: the threshold equals |G|, an N-of-N condition demonstrated as 2-of-2.</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t xml:space="preserve">4.4  RO4 - Policy- and Context-Aware Access Control</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spacing w:after="40" w:before="60"/>
      </w:pPr>
      <w:r>
        <w:rPr>
          <w:rFonts w:ascii="Cambria" w:cs="Cambria" w:eastAsia="Cambria" w:hAnsi="Cambria"/>
          <w:b/>
          <w:bCs/>
          <w:color w:val="C00000"/>
          <w:sz w:val="18"/>
          <w:szCs w:val="18"/>
        </w:rPr>
        <w:t xml:space="preserve">[EDIT 19] </w:t>
      </w:r>
    </w:p>
    <w:p>
      <w:pPr>
        <w:spacing w:after="140" w:line="300"/>
        <w:jc w:val="both"/>
      </w:pPr>
      <w:r>
        <w:rPr>
          <w:rFonts w:ascii="Cambria" w:cs="Cambria" w:eastAsia="Cambria" w:hAnsi="Cambria"/>
          <w:color w:val="C00000"/>
          <w:sz w:val="24"/>
          <w:szCs w:val="24"/>
        </w:rPr>
        <w:t xml:space="preserve">Accordingly, the implemented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current stage. Together, RO1–RO4 establish the representation, verification, collective authorisation, and policy-enforcement mechanisms required for a trust-oriented healthcare data-sharing decision.</w:t>
      </w:r>
    </w:p>
    <w:p>
      <w:pPr>
        <w:pStyle w:val="Heading2"/>
        <w:spacing w:after="160" w:before="280"/>
      </w:pPr>
      <w:r>
        <w:t xml:space="preserve">4.5  RO5 - Temporal and Lifecycle Trust</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spacing w:after="140" w:line="300"/>
        <w:jc w:val="both"/>
      </w:pPr>
      <w:r>
        <w:rPr>
          <w:rFonts w:ascii="Cambria" w:cs="Cambria" w:eastAsia="Cambria" w:hAnsi="Cambria"/>
          <w:sz w:val="24"/>
          <w:szCs w:val="24"/>
        </w:rPr>
        <w:t xml:space="preserve">This objective constitutes a principal component of the next stageresearch programme. It will investigate how temporal and lifecycle conditions can be incorporated into the authorisation decision without weakening the trust relationships established by the current stage mechanisms.</w:t>
      </w:r>
    </w:p>
    <w:p>
      <w:pPr>
        <w:spacing w:after="40" w:before="60"/>
      </w:pPr>
      <w:r>
        <w:rPr>
          <w:rFonts w:ascii="Cambria" w:cs="Cambria" w:eastAsia="Cambria" w:hAnsi="Cambria"/>
          <w:b/>
          <w:bCs/>
          <w:color w:val="C00000"/>
          <w:sz w:val="18"/>
          <w:szCs w:val="18"/>
        </w:rPr>
        <w:t xml:space="preserve">[EDIT 20] </w:t>
      </w:r>
    </w:p>
    <w:p>
      <w:pPr>
        <w:spacing w:after="140" w:line="300"/>
        <w:jc w:val="both"/>
      </w:pPr>
      <w:r>
        <w:rPr>
          <w:rFonts w:ascii="Cambria" w:cs="Cambria" w:eastAsia="Cambria" w:hAnsi="Cambria"/>
          <w:color w:val="C00000"/>
          <w:sz w:val="24"/>
          <w:szCs w:val="24"/>
        </w:rPr>
        <w:t xml:space="preserve">This objective has been substantially realised in the current implementation. The prototype enforces the temporal validity window at every access decision (VT), records notBefore and expiry on-chain within the consent token, implements end-to-end revocation including an on-chain revoke transaction, and manages the consent through an explicit lifecycle state machine. The remaining work concerns hardening these controls rather than introducing them.</w:t>
      </w:r>
    </w:p>
    <w:p>
      <w:pPr>
        <w:pStyle w:val="Heading2"/>
        <w:spacing w:after="160" w:before="280"/>
      </w:pPr>
      <w:r>
        <w:t xml:space="preserve">4.6  RO6 - Formal Security Assurance and Empirical Validation</w:t>
      </w:r>
    </w:p>
    <w:p>
      <w:pPr>
        <w:spacing w:after="40" w:before="60"/>
      </w:pPr>
      <w:r>
        <w:rPr>
          <w:rFonts w:ascii="Cambria" w:cs="Cambria" w:eastAsia="Cambria" w:hAnsi="Cambria"/>
          <w:b/>
          <w:bCs/>
          <w:color w:val="C00000"/>
          <w:sz w:val="18"/>
          <w:szCs w:val="18"/>
        </w:rPr>
        <w:t xml:space="preserve">[EDIT 2] </w:t>
      </w:r>
    </w:p>
    <w:p>
      <w:pPr>
        <w:spacing w:after="140" w:line="300"/>
        <w:jc w:val="both"/>
      </w:pPr>
      <w:r>
        <w:rPr>
          <w:rFonts w:ascii="Cambria" w:cs="Cambria" w:eastAsia="Cambria" w:hAnsi="Cambria"/>
          <w:color w:val="C00000"/>
          <w:sz w:val="24"/>
          <w:szCs w:val="24"/>
        </w:rPr>
        <w:t xml:space="preserve">Stage: Current (empirical) / Next (formal). Objective: Empirically evaluate the HALAH implementation using representative, negative, and adversarial scenarios (delivered through automated testing and live on-chain evaluation), and subsequently define and formally analyse the security properties of the framework.</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next stage works.</w:t>
      </w:r>
    </w:p>
    <w:p>
      <w:pPr>
        <w:spacing w:after="40" w:before="60"/>
      </w:pPr>
      <w:r>
        <w:rPr>
          <w:rFonts w:ascii="Cambria" w:cs="Cambria" w:eastAsia="Cambria" w:hAnsi="Cambria"/>
          <w:b/>
          <w:bCs/>
          <w:color w:val="C00000"/>
          <w:sz w:val="18"/>
          <w:szCs w:val="18"/>
        </w:rPr>
        <w:t xml:space="preserve">[EDIT 21] </w:t>
      </w:r>
    </w:p>
    <w:p>
      <w:pPr>
        <w:spacing w:after="140" w:line="300"/>
        <w:jc w:val="both"/>
      </w:pPr>
      <w:r>
        <w:rPr>
          <w:rFonts w:ascii="Cambria" w:cs="Cambria" w:eastAsia="Cambria" w:hAnsi="Cambria"/>
          <w:color w:val="C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The complete formal analysis — proofs or model checking of the stated properties — remains next stage work.</w:t>
      </w:r>
    </w:p>
    <w:p>
      <w:pPr>
        <w:pStyle w:val="Heading2"/>
        <w:spacing w:after="160" w:before="280"/>
      </w:pPr>
      <w:r>
        <w:t xml:space="preserve">4.7  Relationship Between Research Questions and Objectives</w:t>
      </w:r>
    </w:p>
    <w:p>
      <w:pPr>
        <w:spacing w:after="140" w:line="300"/>
        <w:jc w:val="both"/>
      </w:pPr>
      <w:r>
        <w:rPr>
          <w:rFonts w:ascii="Cambria" w:cs="Cambria" w:eastAsia="Cambria" w:hAnsi="Cambria"/>
          <w:sz w:val="24"/>
          <w:szCs w:val="24"/>
        </w:rPr>
        <w:t xml:space="preserve">The relationship between the six research questions and the six research objectives is summarised in Table 3 and Table 3. The mapping follows the structure of the research programme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spacing w:after="40" w:before="60"/>
      </w:pPr>
      <w:r>
        <w:rPr>
          <w:rFonts w:ascii="Cambria" w:cs="Cambria" w:eastAsia="Cambria" w:hAnsi="Cambria"/>
          <w:b/>
          <w:bCs/>
          <w:color w:val="C00000"/>
          <w:sz w:val="18"/>
          <w:szCs w:val="18"/>
        </w:rPr>
        <w:t xml:space="preserve">[EDIT 23] </w:t>
      </w:r>
    </w:p>
    <w:p>
      <w:pPr>
        <w:spacing w:after="140" w:line="300"/>
        <w:jc w:val="both"/>
      </w:pPr>
      <w:r>
        <w:rPr>
          <w:rFonts w:ascii="Cambria" w:cs="Cambria" w:eastAsia="Cambria" w:hAnsi="Cambria"/>
          <w:color w:val="C00000"/>
          <w:sz w:val="24"/>
          <w:szCs w:val="24"/>
        </w:rPr>
        <w:t xml:space="preserve">summarised in Table 3 and Table 4.</w:t>
      </w:r>
    </w:p>
    <w:p>
      <w:pPr>
        <w:spacing w:after="140" w:line="300"/>
        <w:jc w:val="both"/>
      </w:pPr>
      <w:r>
        <w:rPr>
          <w:rFonts w:ascii="Cambria" w:cs="Cambria" w:eastAsia="Cambria" w:hAnsi="Cambria"/>
          <w:sz w:val="24"/>
          <w:szCs w:val="24"/>
        </w:rP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spacing w:after="40" w:before="60"/>
      </w:pPr>
      <w:r>
        <w:rPr>
          <w:rFonts w:ascii="Cambria" w:cs="Cambria" w:eastAsia="Cambria" w:hAnsi="Cambria"/>
          <w:b/>
          <w:bCs/>
          <w:color w:val="C00000"/>
          <w:sz w:val="18"/>
          <w:szCs w:val="18"/>
        </w:rPr>
        <w:t xml:space="preserve">[EDIT 22] </w:t>
      </w:r>
    </w:p>
    <w:p>
      <w:pPr>
        <w:spacing w:after="140" w:line="300"/>
        <w:jc w:val="both"/>
      </w:pPr>
      <w:r>
        <w:rPr>
          <w:rFonts w:ascii="Cambria" w:cs="Cambria" w:eastAsia="Cambria" w:hAnsi="Cambria"/>
          <w:color w:val="C00000"/>
          <w:sz w:val="24"/>
          <w:szCs w:val="24"/>
        </w:rPr>
        <w:t xml:space="preserve">The current stage delivers RO1–RO5 in operational form and the empirical component of RO6, including negative and adversarial testing. The principal remaining agenda for CA3 is the formal component of RO6 — formal specification and analysis of the security properties — together with the identified prototype hardening.</w:t>
      </w:r>
    </w:p>
    <w:p>
      <w:pPr>
        <w:spacing w:after="140" w:line="300"/>
        <w:jc w:val="both"/>
      </w:pPr>
      <w:r>
        <w:rPr>
          <w:rFonts w:ascii="Cambria" w:cs="Cambria" w:eastAsia="Cambria" w:hAnsi="Cambria"/>
          <w:sz w:val="24"/>
          <w:szCs w:val="24"/>
        </w:rP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Current stage establishes the foundational mechanisms and their conceptual relationships, whereas next stage investigates whether these mechanisms remain</w:t>
      </w:r>
    </w:p>
    <w:p>
      <w:pPr>
        <w:keepNext/>
        <w:spacing w:after="80" w:before="160"/>
        <w:jc w:val="center"/>
      </w:pPr>
      <w:r>
        <w:rPr>
          <w:rFonts w:ascii="Cambria" w:cs="Cambria" w:eastAsia="Cambria" w:hAnsi="Cambria"/>
          <w:b/>
          <w:bCs/>
          <w:sz w:val="21"/>
          <w:szCs w:val="21"/>
        </w:rPr>
        <w:t xml:space="preserve">Table 3: </w:t>
      </w:r>
      <w:r>
        <w:rPr>
          <w:rFonts w:ascii="Cambria" w:cs="Cambria" w:eastAsia="Cambria" w:hAnsi="Cambria"/>
          <w:sz w:val="21"/>
          <w:szCs w:val="21"/>
        </w:rPr>
        <w:t xml:space="preserve">Research Questions, Research Objectives, and Thesis Chapters for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3</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bl>
    <w:p>
      <w:pPr>
        <w:spacing w:after="180"/>
      </w:pPr>
    </w:p>
    <w:p>
      <w:pPr>
        <w:keepNext/>
        <w:spacing w:after="80" w:before="160"/>
        <w:jc w:val="center"/>
      </w:pPr>
      <w:r>
        <w:rPr>
          <w:rFonts w:ascii="Cambria" w:cs="Cambria" w:eastAsia="Cambria" w:hAnsi="Cambria"/>
          <w:b/>
          <w:bCs/>
          <w:sz w:val="21"/>
          <w:szCs w:val="21"/>
        </w:rPr>
        <w:t xml:space="preserve">Table 4: </w:t>
      </w:r>
      <w:r>
        <w:rPr>
          <w:rFonts w:ascii="Cambria" w:cs="Cambria" w:eastAsia="Cambria" w:hAnsi="Cambria"/>
          <w:sz w:val="21"/>
          <w:szCs w:val="21"/>
        </w:rPr>
        <w:t xml:space="preserve">Research Questions, Research Objectives, and Thesis Chapters for CA3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temporal validity, expiration, revocation, and controlled consent-state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Chapter 5</w:t>
            </w:r>
          </w:p>
        </w:tc>
      </w:tr>
    </w:tbl>
    <w:p>
      <w:pPr>
        <w:spacing w:after="180"/>
      </w:pPr>
    </w:p>
    <w:p>
      <w:pPr>
        <w:spacing w:after="40" w:before="60"/>
      </w:pPr>
      <w:r>
        <w:rPr>
          <w:rFonts w:ascii="Cambria" w:cs="Cambria" w:eastAsia="Cambria" w:hAnsi="Cambria"/>
          <w:b/>
          <w:bCs/>
          <w:color w:val="C00000"/>
          <w:sz w:val="18"/>
          <w:szCs w:val="18"/>
        </w:rPr>
        <w:t xml:space="preserve">[EDIT 24 — place at: Page 33, Table 4, RO5/RO6 rows] </w:t>
      </w:r>
    </w:p>
    <w:p>
      <w:pPr>
        <w:spacing w:after="140" w:line="300"/>
        <w:jc w:val="both"/>
      </w:pPr>
      <w:r>
        <w:rPr>
          <w:rFonts w:ascii="Cambria" w:cs="Cambria" w:eastAsia="Cambria" w:hAnsi="Cambria"/>
          <w:color w:val="C00000"/>
          <w:sz w:val="24"/>
          <w:szCs w:val="24"/>
        </w:rPr>
        <w:t xml:space="preserve">RO5 scope: Temporal validity, expiration, revocation and controlled state transitions, enforced in the current prototype and anchored on-chain. RO6 scope: Formal analysis of the security properties (CA3), building on the empirical negative and adversarial testing already performed with the HALAH prototype.</w:t>
      </w:r>
    </w:p>
    <w:p>
      <w:pPr>
        <w:spacing w:after="140" w:line="300"/>
        <w:jc w:val="both"/>
      </w:pPr>
      <w:r>
        <w:rPr>
          <w:rFonts w:ascii="Cambria" w:cs="Cambria" w:eastAsia="Cambria" w:hAnsi="Cambria"/>
          <w:sz w:val="24"/>
          <w:szCs w:val="24"/>
        </w:rPr>
        <w:t xml:space="preserve">reliable under dynamic lifecycle conditions and whether their security and practical effectiveness can be formally and empirically demonstrated. 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spacing w:after="40" w:before="60"/>
      </w:pPr>
      <w:r>
        <w:rPr>
          <w:rFonts w:ascii="Cambria" w:cs="Cambria" w:eastAsia="Cambria" w:hAnsi="Cambria"/>
          <w:b/>
          <w:bCs/>
          <w:color w:val="C00000"/>
          <w:sz w:val="18"/>
          <w:szCs w:val="18"/>
        </w:rPr>
        <w:t xml:space="preserve">[EDIT 25 — place at: Pages 34, 42, 45 — Eqs (29), (35), (42), (43)] </w:t>
      </w:r>
    </w:p>
    <w:p>
      <w:pPr>
        <w:spacing w:after="140" w:line="300"/>
        <w:jc w:val="both"/>
      </w:pPr>
      <w:r>
        <w:rPr>
          <w:rFonts w:ascii="Cambria" w:cs="Cambria" w:eastAsia="Cambria" w:hAnsi="Cambria"/>
          <w:color w:val="C00000"/>
          <w:sz w:val="24"/>
          <w:szCs w:val="24"/>
        </w:rPr>
        <w:t xml:space="preserve">Make ALLOW = VI ∧ VA ∧ VP ∧ VT ∧ VL the decision rule throughout the chapter; delete each three-predicate variant or relabel it explicitly as an early design iteration superseded by the implementation.</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The next stage research will extend this decision model by incorporating temporal and lifecycle conditions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VT (C, t) represents temporal validity and VL (C) represents the validity of the consent lifecycle state and its transitions. This extension provides a consistent connection between the foundational current stage objectives and the planned next research on dynamic trust, formal assurance, and comprehensive validation.</w:t>
      </w:r>
    </w:p>
    <w:p>
      <w:pPr>
        <w:pStyle w:val="Heading1"/>
        <w:pageBreakBefore/>
        <w:spacing w:after="160" w:before="400"/>
      </w:pPr>
      <w: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3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This distinction is important because healthcare data should not be</w:t>
      </w:r>
    </w:p>
    <w:p>
      <w:pPr>
        <w:keepNext/>
        <w:spacing w:after="60" w:before="140"/>
        <w:jc w:val="center"/>
      </w:pPr>
      <w:r>
        <w:drawing>
          <wp:inline distT="0" distB="0" distL="0" distR="0">
            <wp:extent cx="5715000" cy="3543300"/>
            <wp:effectExtent t="0" r="0" b="0" l="0"/>
            <wp:docPr id="1" name="fig3.png" descr="Figure 3: Layered MVC Architecture and Component Decomposition of the HALAH Framework" title="Figure 3: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Layered MVC Architecture and Component Decomposition of the HALAH Framework</w:t>
      </w:r>
    </w:p>
    <w:p>
      <w:pPr>
        <w:spacing w:after="40" w:before="60"/>
      </w:pPr>
      <w:r>
        <w:rPr>
          <w:rFonts w:ascii="Cambria" w:cs="Cambria" w:eastAsia="Cambria" w:hAnsi="Cambria"/>
          <w:b/>
          <w:bCs/>
          <w:color w:val="C00000"/>
          <w:sz w:val="18"/>
          <w:szCs w:val="18"/>
        </w:rPr>
        <w:t xml:space="preserve">[EDIT 28 — place at: Page 36, Figures 3–4 (layered MVC)] </w:t>
      </w:r>
    </w:p>
    <w:p>
      <w:pPr>
        <w:spacing w:after="140" w:line="300"/>
        <w:jc w:val="both"/>
      </w:pPr>
      <w:r>
        <w:rPr>
          <w:rFonts w:ascii="Cambria" w:cs="Cambria" w:eastAsia="Cambria" w:hAnsi="Cambria"/>
          <w:color w:val="C00000"/>
          <w:sz w:val="24"/>
          <w:szCs w:val="24"/>
        </w:rPr>
        <w:t xml:space="preserve">FIGURE EDIT — (a) Controller layer: add “ZK Proof Service (Groth16 generation + verification)” feeding the Authorisation Decision, and “On-chain Anchor Service (asynchronous mint/revoke)”; (b) Model layer: add “ConsentSBTv3 (Sepolia)” beside a box relabelled “SQLite Audit Ledger”; (c) add a Revocation arrow from the Patient interface through the Controller to both the ledger and the contract; (d) add an external box “verify_poc (independent verifier)” reading both the ledger and Sepolia.</w:t>
      </w:r>
    </w:p>
    <w:p>
      <w:pPr>
        <w:spacing w:after="40" w:before="60"/>
      </w:pPr>
      <w:r>
        <w:rPr>
          <w:rFonts w:ascii="Cambria" w:cs="Cambria" w:eastAsia="Cambria" w:hAnsi="Cambria"/>
          <w:b/>
          <w:bCs/>
          <w:color w:val="C00000"/>
          <w:sz w:val="18"/>
          <w:szCs w:val="18"/>
        </w:rPr>
        <w:t xml:space="preserve">[EDIT 34 — place at: Pages 36 &amp; 40 — “DID / VC Verification”, “Verifiable Credentials (VCs)”] </w:t>
      </w:r>
    </w:p>
    <w:p>
      <w:pPr>
        <w:spacing w:after="140" w:line="300"/>
        <w:jc w:val="both"/>
      </w:pPr>
      <w:r>
        <w:rPr>
          <w:rFonts w:ascii="Cambria" w:cs="Cambria" w:eastAsia="Cambria" w:hAnsi="Cambria"/>
          <w:color w:val="C00000"/>
          <w:sz w:val="24"/>
          <w:szCs w:val="24"/>
        </w:rPr>
        <w:t xml:space="preserve">(Add limitation sentence in §5.2/§5.5) In the prototype, credential verification is a DID well-formedness check and the requester’s role and jurisdiction are self-declared; wallet-held keys and authenticated credentials are future work.</w:t>
      </w:r>
    </w:p>
    <w:p>
      <w:pPr>
        <w:spacing w:after="140" w:line="300"/>
        <w:jc w:val="both"/>
      </w:pPr>
      <w:r>
        <w:rPr>
          <w:rFonts w:ascii="Cambria" w:cs="Cambria" w:eastAsia="Cambria" w:hAnsi="Cambria"/>
          <w:sz w:val="24"/>
          <w:szCs w:val="24"/>
        </w:rPr>
        <w:t xml:space="preserve">treated as ordinary application state that can be directly manipulated by the View. Instead, access to the protected resource is mediated by the Controller after the relevant trust conditions have been evaluated.</w:t>
      </w:r>
    </w:p>
    <w:p>
      <w:pPr>
        <w:pStyle w:val="Heading3"/>
        <w:spacing w:after="160" w:before="280"/>
      </w:pPr>
      <w:r>
        <w:t xml:space="preserve">5.1.1  MVC Component Decomposition</w:t>
      </w:r>
    </w:p>
    <w:p>
      <w:pPr>
        <w:spacing w:after="40" w:before="60"/>
      </w:pPr>
      <w:r>
        <w:rPr>
          <w:rFonts w:ascii="Cambria" w:cs="Cambria" w:eastAsia="Cambria" w:hAnsi="Cambria"/>
          <w:b/>
          <w:bCs/>
          <w:color w:val="C00000"/>
          <w:sz w:val="18"/>
          <w:szCs w:val="18"/>
        </w:rPr>
        <w:t xml:space="preserve">[EDIT 30 — place at: Pages 36–37, §5.1.1 Controller decomposition] </w:t>
      </w:r>
    </w:p>
    <w:p>
      <w:pPr>
        <w:spacing w:after="140" w:line="300"/>
        <w:jc w:val="both"/>
      </w:pPr>
      <w:r>
        <w:rPr>
          <w:rFonts w:ascii="Cambria" w:cs="Cambria" w:eastAsia="Cambria" w:hAnsi="Cambria"/>
          <w:color w:val="C00000"/>
          <w:sz w:val="24"/>
          <w:szCs w:val="24"/>
        </w:rPr>
        <w:t xml:space="preserve">…eight principal functions…, adding “Cryptographic Proof Generation and Verification (Groth16)” and “On-chain Anchoring and State Synchronisation (Sepolia mint/revoke, background)”. Update Figure 4’s Controller row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4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4: Functional Decomposition of the MVC Components" title="Figure 4: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5. Figure 5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VL (C), determines whether the consent remains in a valid lifecycle state. The integrated decision can therefore be expressed as</w:t>
      </w:r>
    </w:p>
    <w:p>
      <w:pPr>
        <w:spacing w:after="40" w:before="60"/>
      </w:pPr>
      <w:r>
        <w:rPr>
          <w:rFonts w:ascii="Cambria" w:cs="Cambria" w:eastAsia="Cambria" w:hAnsi="Cambria"/>
          <w:b/>
          <w:bCs/>
          <w:color w:val="C00000"/>
          <w:sz w:val="18"/>
          <w:szCs w:val="18"/>
        </w:rPr>
        <w:t xml:space="preserve">[EDIT 26] </w:t>
      </w:r>
    </w:p>
    <w:p>
      <w:pPr>
        <w:spacing w:after="140" w:line="300"/>
        <w:jc w:val="both"/>
      </w:pPr>
      <w:r>
        <w:rPr>
          <w:rFonts w:ascii="Cambria" w:cs="Cambria" w:eastAsia="Cambria" w:hAnsi="Cambria"/>
          <w:color w:val="C00000"/>
          <w:sz w:val="24"/>
          <w:szCs w:val="24"/>
        </w:rPr>
        <w:t xml:space="preserve">V_L(C, j) verifies that the requester’s declared jurisdiction matches the consent’s jurisdiction L; revocation and lifecycle state are enforced within V_A. Relabel Figure 5’s V_L(C) box as “V_L(C, j) — Jurisdiction”.</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 ¬ (VI ∧ VA ∧ VP ∧ VT ∧ VL ) =⇒ Decision(C, R, t) = DEN Y.</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5: Trust Predicate Evaluation and Authorisation Decision Flow" title="Figure 5: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following</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r>
        <w:rPr>
          <w:rFonts w:ascii="Cambria" w:cs="Cambria" w:eastAsia="Cambria" w:hAnsi="Cambria"/>
          <w:sz w:val="22"/>
          <w:szCs w:val="22"/>
        </w:rPr>
        <w:t xml:space="preserve">	(undefined)</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pStyle w:val="Heading2"/>
        <w:spacing w:after="160" w:before="280"/>
      </w:pPr>
      <w:r>
        <w:t xml:space="preserve">5.2  Trust-Oriented Consent Authorization Workflow</w:t>
      </w:r>
    </w:p>
    <w:p>
      <w:pPr>
        <w:spacing w:after="140" w:line="300"/>
        <w:jc w:val="both"/>
      </w:pPr>
      <w:r>
        <w:rPr>
          <w:rFonts w:ascii="Cambria" w:cs="Cambria" w:eastAsia="Cambria" w:hAnsi="Cambria"/>
          <w:sz w:val="24"/>
          <w:szCs w:val="24"/>
        </w:rPr>
        <w:t xml:space="preserve">Figure 6 presents the end-to-end workflow of the proposed trust-oriented patient consent authorization framework. The workflow operationalizes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authorization, and policy compliance. Accordingly, the proposed workflow transforms a patient’s consent from a static permission record into an evaluable authorization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authorization conditions. This step establishes what the patient intends to authorize and provides the policy context against which subsequent access requests can be evaluated. Therefore, consent is not represented merely as an approval flag, but as a structured object containing the information required for subsequent authorization decisions. The next stage performs decentralized identity and authority verification using Decentralized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authorization.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authorized participant. After identity and authority verification, the framework identifies the participants required to establish the consent decision. The authorization requirement may involve multiple independent participants, such as a patient together with one or more guardians or other authorized parties. The framework then collects their independent approvals and evaluates whether the predefined authorization threshold has been satisfied. Let Av denote the set of successfully verified approvals and let N denote the required authorization threshold. Multi-party authorization is satisfied when</w:t>
      </w:r>
    </w:p>
    <w:p>
      <w:pPr>
        <w:keepNext/>
        <w:spacing w:after="60" w:before="140"/>
        <w:jc w:val="center"/>
      </w:pPr>
      <w:r>
        <w:drawing>
          <wp:inline distT="0" distB="0" distL="0" distR="0">
            <wp:extent cx="4000500" cy="6181725"/>
            <wp:effectExtent t="0" r="0" b="0" l="0"/>
            <wp:docPr id="1" name="fig6.png" descr="Figure 6: End-to-End Workflow of Trust-Oriented Consent Authorization Framework" title="Figure 6: End-to-End Workflow of Trust-Oriented Consent Authoriz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End-to-End Workflow of Trust-Oriented Consent Authorization Framework</w:t>
      </w:r>
    </w:p>
    <w:p>
      <w:pPr>
        <w:spacing w:after="40" w:before="60"/>
      </w:pPr>
      <w:r>
        <w:rPr>
          <w:rFonts w:ascii="Cambria" w:cs="Cambria" w:eastAsia="Cambria" w:hAnsi="Cambria"/>
          <w:b/>
          <w:bCs/>
          <w:color w:val="C00000"/>
          <w:sz w:val="18"/>
          <w:szCs w:val="18"/>
        </w:rPr>
        <w:t xml:space="preserve">[EDIT 29 — place at: Page 41, Figure 6 (end-to-end workflow)] </w:t>
      </w:r>
    </w:p>
    <w:p>
      <w:pPr>
        <w:spacing w:after="140" w:line="300"/>
        <w:jc w:val="both"/>
      </w:pPr>
      <w:r>
        <w:rPr>
          <w:rFonts w:ascii="Cambria" w:cs="Cambria" w:eastAsia="Cambria" w:hAnsi="Cambria"/>
          <w:color w:val="C00000"/>
          <w:sz w:val="24"/>
          <w:szCs w:val="24"/>
        </w:rPr>
        <w:t xml:space="preserve">FIGURE EDIT — after “Threshold Satisfied? Yes” insert “Mint SBT in local ledger” → “Background job anchors mint on Sepolia (async)”; insert V_T and V_L checks before the Authorisation Decision; add “Generate &amp; verify Groth16 proof” on the ALLOW branch; after “Record Audit Evidence” append “Patient revokes → on-chain revoke tx → Auditor review + independent verify_poc”. Rename “Threshold Satisfied?” to “All |G| guardians signed? (N-of-N)”.</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40" w:before="60"/>
      </w:pPr>
      <w:r>
        <w:rPr>
          <w:rFonts w:ascii="Cambria" w:cs="Cambria" w:eastAsia="Cambria" w:hAnsi="Cambria"/>
          <w:b/>
          <w:bCs/>
          <w:color w:val="C00000"/>
          <w:sz w:val="18"/>
          <w:szCs w:val="18"/>
        </w:rPr>
        <w:t xml:space="preserve">[EDIT 33 — place at: Pages 40/42/43, Eqs (33), (37)] </w:t>
      </w:r>
    </w:p>
    <w:p>
      <w:pPr>
        <w:spacing w:after="140" w:line="300"/>
        <w:jc w:val="both"/>
      </w:pPr>
      <w:r>
        <w:rPr>
          <w:rFonts w:ascii="Cambria" w:cs="Cambria" w:eastAsia="Cambria" w:hAnsi="Cambria"/>
          <w:color w:val="C00000"/>
          <w:sz w:val="24"/>
          <w:szCs w:val="24"/>
        </w:rPr>
        <w:t xml:space="preserve">(Append after Eq 37) In the implemented prototype N = |G|: every listed guardian must sign (2-of-2 in the evaluation); configurable k-of-n thresholds are future work.</w:t>
      </w:r>
    </w:p>
    <w:p>
      <w:pPr>
        <w:spacing w:after="140" w:line="300"/>
        <w:jc w:val="both"/>
      </w:pPr>
      <w:r>
        <w:rPr>
          <w:rFonts w:ascii="Cambria" w:cs="Cambria" w:eastAsia="Cambria" w:hAnsi="Cambria"/>
          <w:sz w:val="24"/>
          <w:szCs w:val="24"/>
        </w:rPr>
        <w:t xml:space="preserve">If the required threshold is not satisfied, the authorization process terminates with a denial decision. This prevents a single participant from unilaterally establishing authorization when the consent policy requires collective approval. When the authorization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 edication, a request additionally containing P rocedure should not be authorized because SR ⊈ SC ,</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consent-authorized scope. Similarly, the requested purpose must be consistent with the purpose specified in the consent. Consequently, a valid identity and sufficient multi-party approval are necessary but not sufficient conditions for access. The final authorization decision is therefore determined by the conjunction of identity and authority verification, multi-party authorization, and policy compliance. For the current stage scope of the proposed framework, the decision can be expressed as Decision(C, R) = ALLOW ⇐⇒ VI (u) ∧ VA (C) ∧ VP (C, R),</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authorization threshold, and VP (C, R) represents compliance between the access request and the consent policy. If any of these conditions is false, the request is denied. Only when all required conditions are satisfied is healthcare data access granted. Finally, the framework records the resulting authorization evidence in the audit layer. Importantly, both successful and denied decisions should be recorded because a trustworthy authorization framework requires accountability not only for data that were released but also for access attempts that were rejected. The audit evidence can therefore provide a traceable record of the authorization decision, including the relevant consent, participants, policy evaluation, decision outcome, and associated evidence. In this manner, the workflow connects consent specification with identity trust, collective authorization, policy enforcement, and accountability, providing the operational foundation of the proposed trust-oriented authorization framework.</w:t>
      </w:r>
    </w:p>
    <w:p>
      <w:pPr>
        <w:pStyle w:val="Heading2"/>
        <w:spacing w:after="160" w:before="280"/>
      </w:pPr>
      <w:r>
        <w:t xml:space="preserve">5.3  Model: Trust-Aware Consent and Authorisation Representation</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current current stage scope, the core consent object is represented as</w:t>
      </w:r>
    </w:p>
    <w:p>
      <w:pPr>
        <w:tabs>
          <w:tab w:val="right" w:pos="9360"/>
        </w:tabs>
        <w:spacing w:after="40" w:before="60"/>
        <w:jc w:val="center"/>
      </w:pPr>
      <w:r>
        <w:rPr>
          <w:rFonts w:ascii="Cambria Math" w:cs="Cambria Math" w:eastAsia="Cambria Math" w:hAnsi="Cambria Math"/>
          <w:i/>
          <w:iCs/>
          <w:strike/>
          <w:color w:val="808080"/>
          <w:sz w:val="22"/>
          <w:szCs w:val="22"/>
        </w:rPr>
        <w:t xml:space="preserve">C = (I, A, P, E),</w:t>
      </w:r>
      <w:r>
        <w:rPr>
          <w:rFonts w:ascii="Cambria" w:cs="Cambria" w:eastAsia="Cambria" w:hAnsi="Cambria"/>
          <w:color w:val="808080"/>
          <w:sz w:val="22"/>
          <w:szCs w:val="22"/>
        </w:rPr>
        <w:t xml:space="preserve">	(36)</w:t>
      </w:r>
    </w:p>
    <w:p>
      <w:pPr>
        <w:spacing w:after="40" w:before="60"/>
      </w:pPr>
      <w:r>
        <w:rPr>
          <w:rFonts w:ascii="Cambria" w:cs="Cambria" w:eastAsia="Cambria" w:hAnsi="Cambria"/>
          <w:b/>
          <w:bCs/>
          <w:color w:val="C00000"/>
          <w:sz w:val="18"/>
          <w:szCs w:val="18"/>
        </w:rPr>
        <w:t xml:space="preserve">[EDIT 27] </w:t>
      </w:r>
    </w:p>
    <w:p>
      <w:pPr>
        <w:spacing w:after="80"/>
        <w:jc w:val="center"/>
      </w:pPr>
      <w:r>
        <w:rPr>
          <w:rFonts w:ascii="Cambria Math" w:cs="Cambria Math" w:eastAsia="Cambria Math" w:hAnsi="Cambria Math"/>
          <w:i/>
          <w:iCs/>
          <w:color w:val="C00000"/>
          <w:sz w:val="22"/>
          <w:szCs w:val="22"/>
        </w:rPr>
        <w:t xml:space="preserve">C = (I, A, P, T, L, E), with T (temporal window) and L (jurisdiction) defined as implemented.</w:t>
      </w:r>
    </w:p>
    <w:p>
      <w:pPr>
        <w:spacing w:after="140" w:line="300"/>
        <w:jc w:val="both"/>
      </w:pPr>
      <w:r>
        <w:rPr>
          <w:rFonts w:ascii="Cambria" w:cs="Cambria" w:eastAsia="Cambria" w:hAnsi="Cambria"/>
          <w:sz w:val="24"/>
          <w:szCs w:val="24"/>
        </w:rPr>
        <w:t xml:space="preserve">where I represents identity-related information associated with the relevant participants,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Let Av denote the set of participants whose identities and authority have been successfully verified,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 For the current current stage implementation, the Model focuses on the foundational dimensions of identity, authority, multi-party approval, policy constraints, and authorisation evidence. The subsequent next research will extend this representation to include temporal validity, expiration, revocation, lifecycle transitions, and formal security properties.</w:t>
      </w:r>
    </w:p>
    <w:p>
      <w:pPr>
        <w:spacing w:after="40" w:before="60"/>
      </w:pPr>
      <w:r>
        <w:rPr>
          <w:rFonts w:ascii="Cambria" w:cs="Cambria" w:eastAsia="Cambria" w:hAnsi="Cambria"/>
          <w:b/>
          <w:bCs/>
          <w:color w:val="C00000"/>
          <w:sz w:val="18"/>
          <w:szCs w:val="18"/>
        </w:rPr>
        <w:t xml:space="preserve">[EDIT 31] </w:t>
      </w:r>
    </w:p>
    <w:p>
      <w:pPr>
        <w:spacing w:after="140" w:line="300"/>
        <w:jc w:val="both"/>
      </w:pPr>
      <w:r>
        <w:rPr>
          <w:rFonts w:ascii="Cambria" w:cs="Cambria" w:eastAsia="Cambria" w:hAnsi="Cambria"/>
          <w:color w:val="C00000"/>
          <w:sz w:val="24"/>
          <w:szCs w:val="24"/>
        </w:rPr>
        <w:t xml:space="preserve">The implementation realises this representation, including temporal validity, expiration, on-chain revocation and an explicit lifecycle state machine; formal security properties remain future work.</w:t>
      </w:r>
    </w:p>
    <w:p>
      <w:pPr>
        <w:pStyle w:val="Heading2"/>
        <w:spacing w:after="160" w:before="280"/>
      </w:pPr>
      <w: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The overall current stage authorisation decision is therefore determined by the conjunction of the foundational trust conditions: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pStyle w:val="Heading2"/>
        <w:spacing w:after="160" w:before="280"/>
      </w:pPr>
      <w: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 that</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t xml:space="preserve">5.8  Authorisation Evidence and Auditability</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 The trustworthiness of the access decision instead originates from the coordinated enforcement of identity, authority, multi-party approval, and policy conditions.</w:t>
      </w:r>
    </w:p>
    <w:p>
      <w:pPr>
        <w:spacing w:after="40" w:before="60"/>
      </w:pPr>
      <w:r>
        <w:rPr>
          <w:rFonts w:ascii="Cambria" w:cs="Cambria" w:eastAsia="Cambria" w:hAnsi="Cambria"/>
          <w:b/>
          <w:bCs/>
          <w:color w:val="C00000"/>
          <w:sz w:val="18"/>
          <w:szCs w:val="18"/>
        </w:rPr>
        <w:t xml:space="preserve">[EDIT 32] </w:t>
      </w:r>
    </w:p>
    <w:p>
      <w:pPr>
        <w:spacing w:after="140" w:line="300"/>
        <w:jc w:val="both"/>
      </w:pPr>
      <w:r>
        <w:rPr>
          <w:rFonts w:ascii="Cambria" w:cs="Cambria" w:eastAsia="Cambria" w:hAnsi="Cambria"/>
          <w:color w:val="C00000"/>
          <w:sz w:val="24"/>
          <w:szCs w:val="24"/>
        </w:rPr>
        <w:t xml:space="preserve">In the implementation, consent activation and revocation are anchored on the Sepolia blockchain via the ConsentSBTv3 soulbound contract; anchoring is asynchronous, and the ledger records each transaction hash and block number.</w:t>
      </w:r>
    </w:p>
    <w:p>
      <w:pPr>
        <w:pStyle w:val="Heading2"/>
        <w:spacing w:after="160" w:before="280"/>
      </w:pPr>
      <w: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can be summarised as shown in Table 5.</w:t>
      </w:r>
    </w:p>
    <w:p>
      <w:pPr>
        <w:pStyle w:val="Heading2"/>
        <w:spacing w:after="160" w:before="280"/>
      </w:pPr>
      <w: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6,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pStyle w:val="Heading2"/>
        <w:spacing w:after="160" w:before="280"/>
      </w:pPr>
      <w: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architecture therefore establishes the foundational mechanisms required to answer RQ1–RQ4. The implemented HALAH prototype provides the practical</w:t>
      </w:r>
    </w:p>
    <w:p>
      <w:pPr>
        <w:keepNext/>
        <w:spacing w:after="80" w:before="160"/>
        <w:jc w:val="center"/>
      </w:pPr>
      <w:r>
        <w:rPr>
          <w:rFonts w:ascii="Cambria" w:cs="Cambria" w:eastAsia="Cambria" w:hAnsi="Cambria"/>
          <w:b/>
          <w:bCs/>
          <w:sz w:val="21"/>
          <w:szCs w:val="21"/>
        </w:rPr>
        <w:t xml:space="preserve">Table 5: </w:t>
      </w:r>
      <w:r>
        <w:rPr>
          <w:rFonts w:ascii="Cambria" w:cs="Cambria" w:eastAsia="Cambria" w:hAnsi="Cambria"/>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Prevents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Prevents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Prevents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Prevents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Provides traceability and supports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Prevents user-interface actions from being interpreted directly as trusted authorisation outcomes.</w:t>
            </w:r>
          </w:p>
        </w:tc>
      </w:tr>
    </w:tbl>
    <w:p>
      <w:pPr>
        <w:spacing w:after="180"/>
      </w:pPr>
    </w:p>
    <w:p>
      <w:pPr>
        <w:spacing w:after="40" w:before="60"/>
      </w:pPr>
      <w:r>
        <w:rPr>
          <w:rFonts w:ascii="Cambria" w:cs="Cambria" w:eastAsia="Cambria" w:hAnsi="Cambria"/>
          <w:b/>
          <w:bCs/>
          <w:color w:val="C00000"/>
          <w:sz w:val="18"/>
          <w:szCs w:val="18"/>
        </w:rPr>
        <w:t xml:space="preserve">[EDIT 35 — place at: Page 49, Table 5 (security properties)] </w:t>
      </w:r>
    </w:p>
    <w:p>
      <w:pPr>
        <w:spacing w:after="140" w:line="300"/>
        <w:jc w:val="both"/>
      </w:pPr>
      <w:r>
        <w:rPr>
          <w:rFonts w:ascii="Cambria" w:cs="Cambria" w:eastAsia="Cambria" w:hAnsi="Cambria"/>
          <w:color w:val="C00000"/>
          <w:sz w:val="24"/>
          <w:szCs w:val="24"/>
        </w:rPr>
        <w:t xml:space="preserve">TABLE EDIT — add rows: Temporal validity (VT enforced; on-chain notBefore/expiry); Jurisdictional constraint (VL; live SA-vs-AU denial); Revocability (patient revoke; on-chain revoke; fail-closed VA). Change “future verification” to “independent verification (verify_poc re-checks every transaction against Sepolia: ALL CHECKS PASSED)”.</w:t>
      </w:r>
    </w:p>
    <w:p>
      <w:pPr>
        <w:keepNext/>
        <w:spacing w:after="80" w:before="160"/>
        <w:jc w:val="center"/>
      </w:pPr>
      <w:r>
        <w:rPr>
          <w:rFonts w:ascii="Cambria" w:cs="Cambria" w:eastAsia="Cambria" w:hAnsi="Cambria"/>
          <w:b/>
          <w:bCs/>
          <w:sz w:val="21"/>
          <w:szCs w:val="21"/>
        </w:rPr>
        <w:t xml:space="preserve">Table 6: </w:t>
      </w:r>
      <w:r>
        <w:rPr>
          <w:rFonts w:ascii="Cambria" w:cs="Cambria" w:eastAsia="Cambria" w:hAnsi="Cambria"/>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Provides formal assurance of the defined trust and authorisation properties and empirically evaluates whether the implemented framework correctly enforces authorised and unauthorised healthcare data-access decisions.</w:t>
            </w:r>
          </w:p>
        </w:tc>
      </w:tr>
    </w:tbl>
    <w:p>
      <w:pPr>
        <w:spacing w:after="180"/>
      </w:pPr>
    </w:p>
    <w:p>
      <w:pPr>
        <w:spacing w:after="40" w:before="60"/>
      </w:pPr>
      <w:r>
        <w:rPr>
          <w:rFonts w:ascii="Cambria" w:cs="Cambria" w:eastAsia="Cambria" w:hAnsi="Cambria"/>
          <w:b/>
          <w:bCs/>
          <w:color w:val="C00000"/>
          <w:sz w:val="18"/>
          <w:szCs w:val="18"/>
        </w:rPr>
        <w:t xml:space="preserve">[EDIT 36 — place at: Page 50, Table 6, RO5/RO6 rows] </w:t>
      </w:r>
    </w:p>
    <w:p>
      <w:pPr>
        <w:spacing w:after="140" w:line="300"/>
        <w:jc w:val="both"/>
      </w:pPr>
      <w:r>
        <w:rPr>
          <w:rFonts w:ascii="Cambria" w:cs="Cambria" w:eastAsia="Cambria" w:hAnsi="Cambria"/>
          <w:color w:val="C00000"/>
          <w:sz w:val="24"/>
          <w:szCs w:val="24"/>
        </w:rPr>
        <w:t xml:space="preserve">TABLE EDIT — RO5 contribution: “Implemented: VT enforcement, lifecycle state machine, end-to-end revocation including on-chain”. RO6 mechanism: “Empirical validation (automated tests, live negative test, independent chain verification); formal proofs remain future work”.</w:t>
      </w: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 Accordingly, the current stage architecture establishes the foundational security core of the research, while next stagewill investigate whether this core can maintain trust dynamically over time,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t xml:space="preserve">6  Proposed Solution</w:t>
      </w:r>
    </w:p>
    <w:p>
      <w:pPr>
        <w:pStyle w:val="Heading2"/>
        <w:spacing w:after="160" w:before="280"/>
      </w:pPr>
      <w: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40" w:before="60"/>
        <w:jc w:val="center"/>
      </w:pPr>
      <w:r>
        <w:rPr>
          <w:rFonts w:ascii="Cambria Math" w:cs="Cambria Math" w:eastAsia="Cambria Math" w:hAnsi="Cambria Math"/>
          <w:i/>
          <w:iCs/>
          <w:strike/>
          <w:color w:val="808080"/>
          <w:sz w:val="22"/>
          <w:szCs w:val="22"/>
        </w:rPr>
        <w:t xml:space="preserve">C = (I, A, P, E),</w:t>
      </w:r>
      <w:r>
        <w:rPr>
          <w:rFonts w:ascii="Cambria" w:cs="Cambria" w:eastAsia="Cambria" w:hAnsi="Cambria"/>
          <w:color w:val="808080"/>
          <w:sz w:val="22"/>
          <w:szCs w:val="22"/>
        </w:rPr>
        <w:t xml:space="preserve">	(51)</w:t>
      </w:r>
    </w:p>
    <w:p>
      <w:pPr>
        <w:spacing w:after="40" w:before="60"/>
      </w:pPr>
      <w:r>
        <w:rPr>
          <w:rFonts w:ascii="Cambria" w:cs="Cambria" w:eastAsia="Cambria" w:hAnsi="Cambria"/>
          <w:b/>
          <w:bCs/>
          <w:color w:val="C00000"/>
          <w:sz w:val="18"/>
          <w:szCs w:val="18"/>
        </w:rPr>
        <w:t xml:space="preserve">[EDIT 37] </w:t>
      </w:r>
    </w:p>
    <w:p>
      <w:pPr>
        <w:spacing w:after="140" w:line="300"/>
        <w:jc w:val="both"/>
      </w:pPr>
      <w:r>
        <w:rPr>
          <w:rFonts w:ascii="Cambria" w:cs="Cambria" w:eastAsia="Cambria" w:hAnsi="Cambria"/>
          <w:color w:val="C00000"/>
          <w:sz w:val="24"/>
          <w:szCs w:val="24"/>
        </w:rPr>
        <w:t xml:space="preserve">C = (I, A, P, T, L, E), where T represents the temporal validity window of the consent and L represents the jurisdiction in which the consent may be exercised.</w:t>
      </w:r>
    </w:p>
    <w:p>
      <w:pPr>
        <w:spacing w:after="140" w:line="300"/>
        <w:jc w:val="both"/>
      </w:pPr>
      <w:r>
        <w:rPr>
          <w:rFonts w:ascii="Cambria" w:cs="Cambria" w:eastAsia="Cambria" w:hAnsi="Cambria"/>
          <w:sz w:val="24"/>
          <w:szCs w:val="24"/>
        </w:rPr>
        <w:t xml:space="preserve">where I represents patient and participant identity information, A represents authorisation requirements, P represents policy constraints, and E 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4000500" cy="6238875"/>
            <wp:effectExtent t="0" r="0" b="0" l="0"/>
            <wp:docPr id="1" name="rfig7.png" descr="Figure 7: RO1 workflow for trust-centric consent creation" title="Figure 7: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62388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RO1 workflow for trust-centric consent creation</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40" w:before="60"/>
      </w:pPr>
      <w:r>
        <w:rPr>
          <w:rFonts w:ascii="Cambria" w:cs="Cambria" w:eastAsia="Cambria" w:hAnsi="Cambria"/>
          <w:b/>
          <w:bCs/>
          <w:color w:val="C00000"/>
          <w:sz w:val="18"/>
          <w:szCs w:val="18"/>
        </w:rPr>
        <w:t xml:space="preserve">[EDIT 39 — place at: Pages 53–54, Procedure 6.1.2 and closing sequence] </w:t>
      </w:r>
    </w:p>
    <w:p>
      <w:pPr>
        <w:spacing w:after="140" w:line="300"/>
        <w:jc w:val="both"/>
      </w:pPr>
      <w:r>
        <w:rPr>
          <w:rFonts w:ascii="Cambria" w:cs="Cambria" w:eastAsia="Cambria" w:hAnsi="Cambria"/>
          <w:color w:val="C00000"/>
          <w:sz w:val="24"/>
          <w:szCs w:val="24"/>
        </w:rPr>
        <w:t xml:space="preserve">Insert “Step 6a — Validate the Jurisdiction. The declared jurisdiction L is validated as a well-formed ISO alpha-2 territory code (AU in the demonstrated transactions) and bound to the consent object, since the access decision is later evaluated against it.” Sequence: I_p → D → G → P_u → S_C → T → L → A → id_C → C → E.</w:t>
      </w:r>
    </w:p>
    <w:p>
      <w:pPr>
        <w:pStyle w:val="Heading3"/>
        <w:spacing w:after="160" w:before="280"/>
      </w:pPr>
      <w: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40" w:before="60"/>
      </w:pPr>
      <w:r>
        <w:rPr>
          <w:rFonts w:ascii="Cambria" w:cs="Cambria" w:eastAsia="Cambria" w:hAnsi="Cambria"/>
          <w:b/>
          <w:bCs/>
          <w:color w:val="C00000"/>
          <w:sz w:val="18"/>
          <w:szCs w:val="18"/>
        </w:rPr>
        <w:t xml:space="preserve">[EDIT 40] </w:t>
      </w:r>
    </w:p>
    <w:p>
      <w:pPr>
        <w:spacing w:after="140" w:line="300"/>
        <w:jc w:val="both"/>
      </w:pPr>
      <w:r>
        <w:rPr>
          <w:rFonts w:ascii="Cambria" w:cs="Cambria" w:eastAsia="Cambria" w:hAnsi="Cambria"/>
          <w:color w:val="C00000"/>
          <w:sz w:val="24"/>
          <w:szCs w:val="24"/>
        </w:rPr>
        <w:t xml:space="preserve">In the current prototype this validation is a structural check that each identifier is a well-formed DID; the doctor is not independently authenticated, and credential-based verification is deferred to the production design.</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C = (I, A, P, 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Patient identity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authorised doctor D, guardian set G, purpose P</w:t>
      </w:r>
      <w:r>
        <w:rPr>
          <w:rFonts w:ascii="Cambria" w:cs="Cambria" w:eastAsia="Cambria" w:hAnsi="Cambria"/>
          <w:sz w:val="21"/>
          <w:szCs w:val="21"/>
          <w:vertAlign w:val="subscript"/>
        </w:rPr>
        <w:t xml:space="preserve">u</w:t>
      </w:r>
      <w:r>
        <w:rPr>
          <w:rFonts w:ascii="Cambria" w:cs="Cambria" w:eastAsia="Cambria" w:hAnsi="Cambria"/>
          <w:sz w:val="21"/>
          <w:szCs w:val="21"/>
        </w:rPr>
        <w:t xml:space="preserve">, data scope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validity interval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Construct C = (I, A, P,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Record consent creation evidence</w:t>
      </w:r>
    </w:p>
    <w:p>
      <w:pPr>
        <w:pBdr>
          <w:bottom w:val="single" w:color="000000" w:sz="12"/>
        </w:pBdr>
        <w:spacing w:after="6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spacing w:after="160"/>
      </w:pPr>
    </w:p>
    <w:p>
      <w:pPr>
        <w:spacing w:after="40" w:before="60"/>
      </w:pPr>
      <w:r>
        <w:rPr>
          <w:rFonts w:ascii="Cambria" w:cs="Cambria" w:eastAsia="Cambria" w:hAnsi="Cambria"/>
          <w:b/>
          <w:bCs/>
          <w:color w:val="C00000"/>
          <w:sz w:val="18"/>
          <w:szCs w:val="18"/>
        </w:rPr>
        <w:t xml:space="preserve">[EDIT 38 — place at: Page 55, Algorithm 1] </w:t>
      </w:r>
    </w:p>
    <w:p>
      <w:pPr>
        <w:spacing w:after="30"/>
        <w:ind w:left="480"/>
      </w:pPr>
      <w:r>
        <w:rPr>
          <w:rFonts w:ascii="Consolas" w:cs="Consolas" w:eastAsia="Consolas" w:hAnsi="Consolas"/>
          <w:color w:val="C00000"/>
          <w:sz w:val="18"/>
          <w:szCs w:val="18"/>
        </w:rPr>
        <w:t xml:space="preserve">Line 15: “Construct C = (I, A, P, T, L, E)”. Insert after line 16 (Persist C): “state ← PENDING_SIGNATURE  ▷ nothing is anchored on-chain until all guardians approve”.</w:t>
      </w:r>
    </w:p>
    <w:p>
      <w:pPr>
        <w:pStyle w:val="Heading3"/>
        <w:spacing w:after="160" w:before="280"/>
      </w:pPr>
      <w: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The code therefore demonstrates the separation between participant identity verification and the subsequent authorisation operation. The output of RO2 is not an access-grant decision. It is a verified identity and authority result that can be consumed by RO3 and RO4. This separation prevents a participant from obtaining access merely by presenting a valid identity credential.</w:t>
      </w:r>
    </w:p>
    <w:p>
      <w:pPr>
        <w:spacing w:after="40" w:before="60"/>
      </w:pPr>
      <w:r>
        <w:rPr>
          <w:rFonts w:ascii="Cambria" w:cs="Cambria" w:eastAsia="Cambria" w:hAnsi="Cambria"/>
          <w:b/>
          <w:bCs/>
          <w:color w:val="C00000"/>
          <w:sz w:val="18"/>
          <w:szCs w:val="18"/>
        </w:rPr>
        <w:t xml:space="preserve">[EDIT 42] </w:t>
      </w:r>
    </w:p>
    <w:p>
      <w:pPr>
        <w:spacing w:after="140" w:line="300"/>
        <w:jc w:val="both"/>
      </w:pPr>
      <w:r>
        <w:rPr>
          <w:rFonts w:ascii="Cambria" w:cs="Cambria" w:eastAsia="Cambria" w:hAnsi="Cambria"/>
          <w:color w:val="C00000"/>
          <w:sz w:val="24"/>
          <w:szCs w:val="24"/>
        </w:rPr>
        <w:t xml:space="preserve">In the HALAH implementation, the guardian’s authority is evidenced by an EIP-712 typed-data signature bound to the consent, the guardian DID and the Sepolia chain identifier, verified by off-chain signer recovery; the VC check preceding it is presently a DID-format check, with the signing keys derived deterministically from the guardian DIDs in place of wallet-held keys.</w:t>
      </w:r>
    </w:p>
    <w:p>
      <w:pPr>
        <w:pStyle w:val="Heading3"/>
        <w:spacing w:after="160" w:before="280"/>
      </w:pPr>
      <w: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191000" cy="6391275"/>
            <wp:effectExtent t="0" r="0" b="0" l="0"/>
            <wp:docPr id="1" name="rfig8.png" descr="Figure 8: RO2 workflow for decentralised identity and authority verification" title="Figure 8: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6391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40" w:before="60"/>
      </w:pPr>
      <w:r>
        <w:rPr>
          <w:rFonts w:ascii="Cambria" w:cs="Cambria" w:eastAsia="Cambria" w:hAnsi="Cambria"/>
          <w:b/>
          <w:bCs/>
          <w:color w:val="C00000"/>
          <w:sz w:val="18"/>
          <w:szCs w:val="18"/>
        </w:rPr>
        <w:t xml:space="preserve">[EDIT 41] </w:t>
      </w:r>
    </w:p>
    <w:p>
      <w:pPr>
        <w:spacing w:after="140" w:line="300"/>
        <w:jc w:val="both"/>
      </w:pPr>
      <w:r>
        <w:rPr>
          <w:rFonts w:ascii="Cambria" w:cs="Cambria" w:eastAsia="Cambria" w:hAnsi="Cambria"/>
          <w:color w:val="C00000"/>
          <w:sz w:val="24"/>
          <w:szCs w:val="24"/>
        </w:rPr>
        <w:t xml:space="preserve">This condition defines the target verification model. The present prototype implements V_I(u) as a structural DID-format check and records the outcome; cryptographic VC validation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pBdr>
          <w:bottom w:val="single" w:color="000000" w:sz="12"/>
        </w:pBdr>
        <w:spacing w:after="6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spacing w:after="160"/>
      </w:pPr>
    </w:p>
    <w:p>
      <w:pPr>
        <w:pStyle w:val="Heading2"/>
        <w:spacing w:after="160" w:before="280"/>
      </w:pPr>
      <w: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sz w:val="24"/>
          <w:szCs w:val="24"/>
        </w:rP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p>
      <w:pPr>
        <w:spacing w:after="40" w:before="60"/>
      </w:pPr>
      <w:r>
        <w:rPr>
          <w:rFonts w:ascii="Cambria" w:cs="Cambria" w:eastAsia="Cambria" w:hAnsi="Cambria"/>
          <w:b/>
          <w:bCs/>
          <w:color w:val="C00000"/>
          <w:sz w:val="18"/>
          <w:szCs w:val="18"/>
        </w:rPr>
        <w:t xml:space="preserve">[EDIT 43] </w:t>
      </w:r>
    </w:p>
    <w:p>
      <w:pPr>
        <w:spacing w:after="140" w:line="300"/>
        <w:jc w:val="both"/>
      </w:pPr>
      <w:r>
        <w:rPr>
          <w:rFonts w:ascii="Cambria" w:cs="Cambria" w:eastAsia="Cambria" w:hAnsi="Cambria"/>
          <w:color w:val="C00000"/>
          <w:sz w:val="24"/>
          <w:szCs w:val="24"/>
        </w:rPr>
        <w:t xml:space="preserve">In the current implementation the threshold is fixed to the full guardian set, N = |G|, so every designated guardian must approve before activation; the demonstrated configuration is therefore 2-of-2. A configurable k-of-n threshold is a direct generalisation left to future work.</w:t>
      </w:r>
    </w:p>
    <w:p>
      <w:pPr>
        <w:pStyle w:val="Heading3"/>
        <w:spacing w:after="160" w:before="280"/>
      </w:pPr>
      <w: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pStyle w:val="Heading3"/>
        <w:spacing w:after="160" w:before="280"/>
      </w:pPr>
      <w: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381500" cy="5610225"/>
            <wp:effectExtent t="0" r="0" b="0" l="0"/>
            <wp:docPr id="1" name="rfig9.png" descr="Figure 9: RO3 workflow for threshold-based multi-party authorisation" title="Figure 9: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5610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40" w:before="60"/>
      </w:pPr>
      <w:r>
        <w:rPr>
          <w:rFonts w:ascii="Cambria" w:cs="Cambria" w:eastAsia="Cambria" w:hAnsi="Cambria"/>
          <w:b/>
          <w:bCs/>
          <w:color w:val="C00000"/>
          <w:sz w:val="18"/>
          <w:szCs w:val="18"/>
        </w:rPr>
        <w:t xml:space="preserve">[EDIT 44] </w:t>
      </w:r>
    </w:p>
    <w:p>
      <w:pPr>
        <w:spacing w:after="140" w:line="300"/>
        <w:jc w:val="both"/>
      </w:pPr>
      <w:r>
        <w:rPr>
          <w:rFonts w:ascii="Cambria" w:cs="Cambria" w:eastAsia="Cambria" w:hAnsi="Cambria"/>
          <w:color w:val="C00000"/>
          <w:sz w:val="24"/>
          <w:szCs w:val="24"/>
        </w:rPr>
        <w:t xml:space="preserve">Step 2 — Derive the Authorisation Threshold. The system derives the threshold from the guardian set as N = |G|, so that activation requires a valid approval from every designated guardian.</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Authorisation(C) = { ALLOW,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PENDING,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participant approval a, threshold N</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Verify identity and authority of participant submitting a</w:t>
      </w:r>
    </w:p>
    <w:p>
      <w:pPr>
        <w:spacing w:after="20"/>
        <w:ind w:left="24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if</w:t>
      </w:r>
      <w:r>
        <w:rPr>
          <w:rFonts w:ascii="Cambria" w:cs="Cambria" w:eastAsia="Cambria" w:hAnsi="Cambria"/>
          <w:sz w:val="21"/>
          <w:szCs w:val="21"/>
        </w:rPr>
        <w:t xml:space="preserve">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4: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12: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Record valid approval a</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Generate activation or token evidence</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555555"/>
          <w:sz w:val="18"/>
          <w:szCs w:val="18"/>
        </w:rPr>
        <w:t xml:space="preserve">21: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pBdr>
          <w:bottom w:val="single" w:color="000000" w:sz="12"/>
        </w:pBdr>
        <w:spacing w:after="6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end if</w:t>
      </w:r>
    </w:p>
    <w:p>
      <w:pPr>
        <w:spacing w:after="160"/>
      </w:pPr>
    </w:p>
    <w:p>
      <w:pPr>
        <w:spacing w:after="40" w:before="60"/>
      </w:pPr>
      <w:r>
        <w:rPr>
          <w:rFonts w:ascii="Cambria" w:cs="Cambria" w:eastAsia="Cambria" w:hAnsi="Cambria"/>
          <w:b/>
          <w:bCs/>
          <w:color w:val="C00000"/>
          <w:sz w:val="18"/>
          <w:szCs w:val="18"/>
        </w:rPr>
        <w:t xml:space="preserve">[EDIT 45 — place at: Page 66, Algorithm 3, Require line] </w:t>
      </w:r>
    </w:p>
    <w:p>
      <w:pPr>
        <w:spacing w:after="140" w:line="300"/>
        <w:jc w:val="both"/>
      </w:pPr>
      <w:r>
        <w:rPr>
          <w:rFonts w:ascii="Cambria" w:cs="Cambria" w:eastAsia="Cambria" w:hAnsi="Cambria"/>
          <w:color w:val="C00000"/>
          <w:sz w:val="24"/>
          <w:szCs w:val="24"/>
        </w:rPr>
        <w:t xml:space="preserve">Require: Consent object C, participant approval a — and insert after line 1: “N ← |G|”.</w:t>
      </w:r>
    </w:p>
    <w:p>
      <w:pPr>
        <w:spacing w:after="40" w:before="60"/>
      </w:pPr>
      <w:r>
        <w:rPr>
          <w:rFonts w:ascii="Cambria" w:cs="Cambria" w:eastAsia="Cambria" w:hAnsi="Cambria"/>
          <w:b/>
          <w:bCs/>
          <w:color w:val="C00000"/>
          <w:sz w:val="18"/>
          <w:szCs w:val="18"/>
        </w:rPr>
        <w:t xml:space="preserve">[EDIT 46] </w:t>
      </w:r>
    </w:p>
    <w:p>
      <w:pPr>
        <w:spacing w:after="140" w:line="300"/>
        <w:jc w:val="both"/>
      </w:pPr>
      <w:r>
        <w:rPr>
          <w:rFonts w:ascii="Cambria" w:cs="Cambria" w:eastAsia="Cambria" w:hAnsi="Cambria"/>
          <w:color w:val="C00000"/>
          <w:sz w:val="24"/>
          <w:szCs w:val="24"/>
        </w:rPr>
        <w:t xml:space="preserve">2: signer ← RecoverEIP712(domain, {id_C, g, APPROVE}, sig_a)  ▷ off-chain recovery. 3: if signer ≠ Addr(g), or the signature binds a different consent, guardian, or chain, then return DENY.</w:t>
      </w:r>
    </w:p>
    <w:p>
      <w:pPr>
        <w:spacing w:after="40" w:before="60"/>
      </w:pPr>
      <w:r>
        <w:rPr>
          <w:rFonts w:ascii="Cambria" w:cs="Cambria" w:eastAsia="Cambria" w:hAnsi="Cambria"/>
          <w:b/>
          <w:bCs/>
          <w:color w:val="C00000"/>
          <w:sz w:val="18"/>
          <w:szCs w:val="18"/>
        </w:rPr>
        <w:t xml:space="preserve">[EDIT 47] </w:t>
      </w:r>
    </w:p>
    <w:p>
      <w:pPr>
        <w:spacing w:after="30"/>
        <w:ind w:left="480"/>
      </w:pPr>
      <w:r>
        <w:rPr>
          <w:rFonts w:ascii="Consolas" w:cs="Consolas" w:eastAsia="Consolas" w:hAnsi="Consolas"/>
          <w:color w:val="C00000"/>
          <w:sz w:val="18"/>
          <w:szCs w:val="18"/>
        </w:rPr>
        <w:t xml:space="preserve">15: record signature_data[g] ← (signer, sig_a).</w:t>
      </w:r>
    </w:p>
    <w:p>
      <w:pPr>
        <w:spacing w:after="40" w:before="60"/>
      </w:pPr>
      <w:r>
        <w:rPr>
          <w:rFonts w:ascii="Cambria" w:cs="Cambria" w:eastAsia="Cambria" w:hAnsi="Cambria"/>
          <w:b/>
          <w:bCs/>
          <w:color w:val="C00000"/>
          <w:sz w:val="18"/>
          <w:szCs w:val="18"/>
        </w:rPr>
        <w:t xml:space="preserve">[EDIT 48] </w:t>
      </w:r>
    </w:p>
    <w:p>
      <w:pPr>
        <w:spacing w:after="140" w:line="300"/>
        <w:jc w:val="both"/>
      </w:pPr>
      <w:r>
        <w:rPr>
          <w:rFonts w:ascii="Cambria" w:cs="Cambria" w:eastAsia="Cambria" w:hAnsi="Cambria"/>
          <w:color w:val="C00000"/>
          <w:sz w:val="24"/>
          <w:szCs w:val="24"/>
        </w:rPr>
        <w:t xml:space="preserve">19: state ← PENDING_TOKEN. 20: submit mintConsentV3(addr_p, addr_r, keccak(P_u), t_s, t_e, L, burnAuth) via the owner account (background job; reconciled on next lookup). 21: on confirmation: state ← ACTIVE; record the token identifier.</w:t>
      </w:r>
    </w:p>
    <w:p>
      <w:pPr>
        <w:spacing w:after="40" w:before="60"/>
      </w:pPr>
      <w:r>
        <w:rPr>
          <w:rFonts w:ascii="Cambria" w:cs="Cambria" w:eastAsia="Cambria" w:hAnsi="Cambria"/>
          <w:b/>
          <w:bCs/>
          <w:color w:val="C00000"/>
          <w:sz w:val="18"/>
          <w:szCs w:val="18"/>
        </w:rPr>
        <w:t xml:space="preserve">[EDIT 49 — place at: Page 66, Algorithm 3, terminal line (minor)] </w:t>
      </w:r>
    </w:p>
    <w:p>
      <w:pPr>
        <w:spacing w:after="30"/>
        <w:ind w:left="480"/>
      </w:pPr>
      <w:r>
        <w:rPr>
          <w:rFonts w:ascii="Consolas" w:cs="Consolas" w:eastAsia="Consolas" w:hAnsi="Consolas"/>
          <w:color w:val="C00000"/>
          <w:sz w:val="18"/>
          <w:szCs w:val="18"/>
        </w:rPr>
        <w:t xml:space="preserve">return ACTIVATED — avoiding conflation of consent activation with the access decision.</w:t>
      </w:r>
    </w:p>
    <w:p>
      <w:pPr>
        <w:pStyle w:val="Heading2"/>
        <w:spacing w:after="160" w:before="280"/>
      </w:pPr>
      <w: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The complete current stage research on authorisation decision is</w:t>
      </w:r>
    </w:p>
    <w:p>
      <w:pPr>
        <w:tabs>
          <w:tab w:val="right" w:pos="9360"/>
        </w:tabs>
        <w:spacing w:after="40" w:before="60"/>
        <w:jc w:val="center"/>
      </w:pPr>
      <w:r>
        <w:rPr>
          <w:rFonts w:ascii="Cambria Math" w:cs="Cambria Math" w:eastAsia="Cambria Math" w:hAnsi="Cambria Math"/>
          <w:i/>
          <w:iCs/>
          <w:strike/>
          <w:color w:val="808080"/>
          <w:sz w:val="22"/>
          <w:szCs w:val="22"/>
        </w:rPr>
        <w:t xml:space="preserve">Decision(C, R) = ALLOW ⟺ V</w:t>
      </w:r>
      <w:r>
        <w:rPr>
          <w:rFonts w:ascii="Cambria Math" w:cs="Cambria Math" w:eastAsia="Cambria Math" w:hAnsi="Cambria Math"/>
          <w:i/>
          <w:iCs/>
          <w:strike/>
          <w:color w:val="808080"/>
          <w:sz w:val="22"/>
          <w:szCs w:val="22"/>
          <w:vertAlign w:val="subscript"/>
        </w:rPr>
        <w:t xml:space="preserve">I</w:t>
      </w:r>
      <w:r>
        <w:rPr>
          <w:rFonts w:ascii="Cambria Math" w:cs="Cambria Math" w:eastAsia="Cambria Math" w:hAnsi="Cambria Math"/>
          <w:i/>
          <w:iCs/>
          <w:strike/>
          <w:color w:val="808080"/>
          <w:sz w:val="22"/>
          <w:szCs w:val="22"/>
        </w:rPr>
        <w:t xml:space="preserve">(u) ∧ V</w:t>
      </w:r>
      <w:r>
        <w:rPr>
          <w:rFonts w:ascii="Cambria Math" w:cs="Cambria Math" w:eastAsia="Cambria Math" w:hAnsi="Cambria Math"/>
          <w:i/>
          <w:iCs/>
          <w:strike/>
          <w:color w:val="808080"/>
          <w:sz w:val="22"/>
          <w:szCs w:val="22"/>
          <w:vertAlign w:val="subscript"/>
        </w:rPr>
        <w:t xml:space="preserve">A</w:t>
      </w:r>
      <w:r>
        <w:rPr>
          <w:rFonts w:ascii="Cambria Math" w:cs="Cambria Math" w:eastAsia="Cambria Math" w:hAnsi="Cambria Math"/>
          <w:i/>
          <w:iCs/>
          <w:strike/>
          <w:color w:val="808080"/>
          <w:sz w:val="22"/>
          <w:szCs w:val="22"/>
        </w:rPr>
        <w:t xml:space="preserve">(C) ∧ V</w:t>
      </w:r>
      <w:r>
        <w:rPr>
          <w:rFonts w:ascii="Cambria Math" w:cs="Cambria Math" w:eastAsia="Cambria Math" w:hAnsi="Cambria Math"/>
          <w:i/>
          <w:iCs/>
          <w:strike/>
          <w:color w:val="808080"/>
          <w:sz w:val="22"/>
          <w:szCs w:val="22"/>
          <w:vertAlign w:val="subscript"/>
        </w:rPr>
        <w:t xml:space="preserve">P</w:t>
      </w:r>
      <w:r>
        <w:rPr>
          <w:rFonts w:ascii="Cambria Math" w:cs="Cambria Math" w:eastAsia="Cambria Math" w:hAnsi="Cambria Math"/>
          <w:i/>
          <w:iCs/>
          <w:strike/>
          <w:color w:val="808080"/>
          <w:sz w:val="22"/>
          <w:szCs w:val="22"/>
        </w:rPr>
        <w:t xml:space="preserve">(C, R).</w:t>
      </w:r>
      <w:r>
        <w:rPr>
          <w:rFonts w:ascii="Cambria" w:cs="Cambria" w:eastAsia="Cambria" w:hAnsi="Cambria"/>
          <w:color w:val="808080"/>
          <w:sz w:val="22"/>
          <w:szCs w:val="22"/>
        </w:rPr>
        <w:t xml:space="preserve">	(59)</w:t>
      </w:r>
    </w:p>
    <w:p>
      <w:pPr>
        <w:spacing w:after="40" w:before="60"/>
      </w:pPr>
      <w:r>
        <w:rPr>
          <w:rFonts w:ascii="Cambria" w:cs="Cambria" w:eastAsia="Cambria" w:hAnsi="Cambria"/>
          <w:b/>
          <w:bCs/>
          <w:color w:val="C00000"/>
          <w:sz w:val="18"/>
          <w:szCs w:val="18"/>
        </w:rPr>
        <w:t xml:space="preserve">[EDIT 50] </w:t>
      </w:r>
    </w:p>
    <w:p>
      <w:pPr>
        <w:spacing w:after="140" w:line="300"/>
        <w:jc w:val="both"/>
      </w:pPr>
      <w:r>
        <w:rPr>
          <w:rFonts w:ascii="Cambria" w:cs="Cambria" w:eastAsia="Cambria" w:hAnsi="Cambria"/>
          <w:color w:val="C00000"/>
          <w:sz w:val="24"/>
          <w:szCs w:val="24"/>
        </w:rPr>
        <w:t xml:space="preserve">Decision(C, R, t) = ALLOW ⟺ V_I ∧ V_A ∧ V_P ∧ V_T ∧ V_L, evaluated at every access request; the decision matrix is recorded in the audit ledger with each GRANTED or DENIED result.</w:t>
      </w:r>
    </w:p>
    <w:p>
      <w:pPr>
        <w:pStyle w:val="Heading3"/>
        <w:spacing w:after="160" w:before="280"/>
      </w:pPr>
      <w: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4381500" cy="5610225"/>
            <wp:effectExtent t="0" r="0" b="0" l="0"/>
            <wp:docPr id="1" name="rfig10.png" descr="Figure 10: RO4 workflow for policy- and context-aware access control" title="Figure 10: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5610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RO4 workflow for policy- and context-aware access control</w:t>
      </w:r>
    </w:p>
    <w:p>
      <w:pPr>
        <w:pStyle w:val="Heading3"/>
        <w:spacing w:after="160" w:before="280"/>
      </w:pPr>
      <w:r>
        <w:t xml:space="preserve">6.4.2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40" w:before="60"/>
      </w:pPr>
      <w:r>
        <w:rPr>
          <w:rFonts w:ascii="Cambria" w:cs="Cambria" w:eastAsia="Cambria" w:hAnsi="Cambria"/>
          <w:b/>
          <w:bCs/>
          <w:color w:val="C00000"/>
          <w:sz w:val="18"/>
          <w:szCs w:val="18"/>
        </w:rPr>
        <w:t xml:space="preserve">[EDIT 57] </w:t>
      </w:r>
    </w:p>
    <w:p>
      <w:pPr>
        <w:spacing w:after="140" w:line="300"/>
        <w:jc w:val="both"/>
      </w:pPr>
      <w:r>
        <w:rPr>
          <w:rFonts w:ascii="Cambria" w:cs="Cambria" w:eastAsia="Cambria" w:hAnsi="Cambria"/>
          <w:color w:val="C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VALID. If any mandatory condition fails, the procedure returns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(C, t, q)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 Consent → Identity → Authority → Policy → Temporal/Lifecycle Validation → Access</w:t>
      </w:r>
    </w:p>
    <w:p>
      <w:pPr>
        <w:spacing w:after="40" w:before="60"/>
      </w:pPr>
      <w:r>
        <w:rPr>
          <w:rFonts w:ascii="Cambria" w:cs="Cambria" w:eastAsia="Cambria" w:hAnsi="Cambria"/>
          <w:b/>
          <w:bCs/>
          <w:color w:val="C00000"/>
          <w:sz w:val="18"/>
          <w:szCs w:val="18"/>
        </w:rPr>
        <w:t xml:space="preserve">[EDIT 56] </w:t>
      </w:r>
    </w:p>
    <w:p>
      <w:pPr>
        <w:spacing w:after="140" w:line="300"/>
        <w:jc w:val="both"/>
      </w:pPr>
      <w:r>
        <w:rPr>
          <w:rFonts w:ascii="Cambria" w:cs="Cambria" w:eastAsia="Cambria" w:hAnsi="Cambria"/>
          <w:color w:val="C00000"/>
          <w:sz w:val="24"/>
          <w:szCs w:val="24"/>
        </w:rPr>
        <w:t xml:space="preserve">a per-request validity layer: validity is re-established at each evaluated access request and recorded as a STATE_CHECK event, rather than assumed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p>
      <w:pPr>
        <w:pStyle w:val="Heading3"/>
        <w:spacing w:after="160" w:before="280"/>
      </w:pPr>
      <w:r>
        <w:t xml:space="preserve">6.4.3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access request R, requesting participant u</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if</w:t>
      </w:r>
      <w:r>
        <w:rPr>
          <w:rFonts w:ascii="Cambria" w:cs="Cambria" w:eastAsia="Cambria" w:hAnsi="Cambria"/>
          <w:sz w:val="21"/>
          <w:szCs w:val="21"/>
        </w:rPr>
        <w:t xml:space="preserve"> S</w:t>
      </w:r>
      <w:r>
        <w:rPr>
          <w:rFonts w:ascii="Cambria" w:cs="Cambria" w:eastAsia="Cambria" w:hAnsi="Cambria"/>
          <w:sz w:val="21"/>
          <w:szCs w:val="21"/>
          <w:vertAlign w:val="subscript"/>
        </w:rPr>
        <w:t xml:space="preserve">R</w:t>
      </w:r>
      <w:r>
        <w:rPr>
          <w:rFonts w:ascii="Cambria" w:cs="Cambria" w:eastAsia="Cambria" w:hAnsi="Cambria"/>
          <w:sz w:val="21"/>
          <w:szCs w:val="21"/>
        </w:rPr>
        <w:t xml:space="preserve"> ⊈ S</w:t>
      </w:r>
      <w:r>
        <w:rPr>
          <w:rFonts w:ascii="Cambria" w:cs="Cambria" w:eastAsia="Cambria" w:hAnsi="Cambria"/>
          <w:sz w:val="21"/>
          <w:szCs w:val="21"/>
          <w:vertAlign w:val="subscript"/>
        </w:rPr>
        <w:t xml:space="preserve">C</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26:  </w:t>
      </w:r>
      <w:r>
        <w:rPr>
          <w:rFonts w:ascii="Cambria" w:cs="Cambria" w:eastAsia="Cambria" w:hAnsi="Cambria"/>
          <w:sz w:val="21"/>
          <w:szCs w:val="21"/>
        </w:rPr>
        <w:t xml:space="preserve">Generate or verify access evidence</w:t>
      </w:r>
    </w:p>
    <w:p>
      <w:pPr>
        <w:spacing w:after="20"/>
        <w:ind w:left="240"/>
      </w:pPr>
      <w:r>
        <w:rPr>
          <w:rFonts w:ascii="Cambria" w:cs="Cambria" w:eastAsia="Cambria" w:hAnsi="Cambria"/>
          <w:color w:val="555555"/>
          <w:sz w:val="18"/>
          <w:szCs w:val="18"/>
        </w:rPr>
        <w:t xml:space="preserve">27: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granted decision</w:t>
      </w:r>
    </w:p>
    <w:p>
      <w:pPr>
        <w:pBdr>
          <w:bottom w:val="single" w:color="000000" w:sz="12"/>
        </w:pBdr>
        <w:spacing w:after="6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spacing w:after="160"/>
      </w:pPr>
    </w:p>
    <w:p>
      <w:pPr>
        <w:spacing w:after="40" w:before="60"/>
      </w:pPr>
      <w:r>
        <w:rPr>
          <w:rFonts w:ascii="Cambria" w:cs="Cambria" w:eastAsia="Cambria" w:hAnsi="Cambria"/>
          <w:b/>
          <w:bCs/>
          <w:color w:val="C00000"/>
          <w:sz w:val="18"/>
          <w:szCs w:val="18"/>
        </w:rPr>
        <w:t xml:space="preserve">[EDIT 52 — place at: Page 72, Algorithm 4, lines 21–26] </w:t>
      </w:r>
    </w:p>
    <w:p>
      <w:pPr>
        <w:spacing w:after="140" w:line="300"/>
        <w:jc w:val="both"/>
      </w:pPr>
      <w:r>
        <w:rPr>
          <w:rFonts w:ascii="Cambria" w:cs="Cambria" w:eastAsia="Cambria" w:hAnsi="Cambria"/>
          <w:color w:val="C00000"/>
          <w:sz w:val="24"/>
          <w:szCs w:val="24"/>
        </w:rPr>
        <w:t xml:space="preserve">Line 21: “if S_R = ∅ or S_R ⊄ S_C then …”. Insert 25a: “if t &lt; t_s or t &gt; t_e then Record denied decision; return DENY”. Insert 25b: “if Jur(R) ≠ Jur(C) then Record denied decision; return DENY”.</w:t>
      </w: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t xml:space="preserve">6.4.4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which means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guarantees, satisfies, and complies with the privacy constraint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There is no execution path where the system can violate the privacy policy.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PurposeMatch(P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ScopeMatch(S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40" w:before="60"/>
      </w:pPr>
      <w:r>
        <w:rPr>
          <w:rFonts w:ascii="Cambria" w:cs="Cambria" w:eastAsia="Cambria" w:hAnsi="Cambria"/>
          <w:b/>
          <w:bCs/>
          <w:color w:val="C00000"/>
          <w:sz w:val="18"/>
          <w:szCs w:val="18"/>
        </w:rPr>
        <w:t xml:space="preserve">[EDIT 53] </w:t>
      </w:r>
    </w:p>
    <w:p>
      <w:pPr>
        <w:spacing w:after="140" w:line="300"/>
        <w:jc w:val="both"/>
      </w:pPr>
      <w:r>
        <w:rPr>
          <w:rFonts w:ascii="Cambria" w:cs="Cambria" w:eastAsia="Cambria" w:hAnsi="Cambria"/>
          <w:color w:val="C00000"/>
          <w:sz w:val="24"/>
          <w:szCs w:val="24"/>
        </w:rPr>
        <w:t xml:space="preserve">26: Generate and verify a Groth16 proof that Poseidon(secret, expiry) equals the public commitment and that t ≤ t_e; record proof_mode = groth16. Because the prover and verifier currently run on the same server, the proof demonstrates toolchain integration rather than an additional privacy guarantee.</w:t>
      </w:r>
    </w:p>
    <w:p>
      <w:pPr>
        <w:spacing w:after="40" w:before="60"/>
      </w:pPr>
      <w:r>
        <w:rPr>
          <w:rFonts w:ascii="Cambria" w:cs="Cambria" w:eastAsia="Cambria" w:hAnsi="Cambria"/>
          <w:b/>
          <w:bCs/>
          <w:color w:val="C00000"/>
          <w:sz w:val="18"/>
          <w:szCs w:val="18"/>
        </w:rPr>
        <w:t xml:space="preserve">[EDIT 54] </w:t>
      </w:r>
    </w:p>
    <w:p>
      <w:pPr>
        <w:spacing w:after="140" w:line="300"/>
        <w:jc w:val="both"/>
      </w:pPr>
      <w:r>
        <w:rPr>
          <w:rFonts w:ascii="Cambria" w:cs="Cambria" w:eastAsia="Cambria" w:hAnsi="Cambria"/>
          <w:color w:val="C00000"/>
          <w:sz w:val="24"/>
          <w:szCs w:val="24"/>
        </w:rPr>
        <w:t xml:space="preserve">In the implementation the threshold is N-of-N: N = |G|, every designated guardian must sign (2-of-2 in the evaluated configuration); a configurable k-of-n threshold remains future work.</w:t>
      </w:r>
    </w:p>
    <w:p>
      <w:pPr>
        <w:spacing w:after="40" w:before="60"/>
      </w:pPr>
      <w:r>
        <w:rPr>
          <w:rFonts w:ascii="Cambria" w:cs="Cambria" w:eastAsia="Cambria" w:hAnsi="Cambria"/>
          <w:b/>
          <w:bCs/>
          <w:color w:val="C00000"/>
          <w:sz w:val="18"/>
          <w:szCs w:val="18"/>
        </w:rPr>
        <w:t xml:space="preserve">[EDIT 55] </w:t>
      </w:r>
    </w:p>
    <w:p>
      <w:pPr>
        <w:spacing w:after="140" w:line="300"/>
        <w:jc w:val="both"/>
      </w:pPr>
      <w:r>
        <w:rPr>
          <w:rFonts w:ascii="Cambria" w:cs="Cambria" w:eastAsia="Cambria" w:hAnsi="Cambria"/>
          <w:color w:val="C00000"/>
          <w:sz w:val="24"/>
          <w:szCs w:val="24"/>
        </w:rPr>
        <w:t xml:space="preserve">In the prototype, purpose compatibility is an exact match against the consent purpose (stored on-chain as keccak256(purpose)); a formal no-violation proof is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r>
        <w:rPr>
          <w:rFonts w:ascii="Cambria" w:cs="Cambria" w:eastAsia="Cambria" w:hAnsi="Cambria"/>
          <w:sz w:val="22"/>
          <w:szCs w:val="22"/>
        </w:rPr>
        <w:t xml:space="preserve">	(undefined)</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t xml:space="preserve">6.5  Temporal and Lifecycle Trust for RO5</w:t>
      </w:r>
    </w:p>
    <w:p>
      <w:pPr>
        <w:spacing w:after="40" w:before="60"/>
      </w:pPr>
      <w:r>
        <w:rPr>
          <w:rFonts w:ascii="Cambria" w:cs="Cambria" w:eastAsia="Cambria" w:hAnsi="Cambria"/>
          <w:b/>
          <w:bCs/>
          <w:color w:val="C00000"/>
          <w:sz w:val="18"/>
          <w:szCs w:val="18"/>
        </w:rPr>
        <w:t xml:space="preserve">[GENERATED ADDITION — Figure A, implemented consent lifecycle (companion to HALAH Implementation v1.3, Section 6)]</w:t>
      </w:r>
    </w:p>
    <w:p>
      <w:pPr>
        <w:keepNext/>
        <w:spacing w:after="60" w:before="140"/>
        <w:jc w:val="center"/>
      </w:pPr>
      <w:r>
        <w:drawing>
          <wp:inline distT="0" distB="0" distL="0" distR="0">
            <wp:extent cx="5715000" cy="2009775"/>
            <wp:effectExtent t="0" r="0" b="0" l="0"/>
            <wp:docPr id="1" name="lifecycle.png" descr="Figure A: The implemented consent lifecycle: every consent progresses through controlled states, and the activating and revoking transitions are anchored as verifiable Sepolia transactions (blocks 11,771,243 and 11,771,307)." title="Figure A: The implemented consent lifecycle: every consent progresses through controlled states, and the activating and revoking transitions are anchored as verifiable Sepolia transactions (blocks 11,771,243 and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C00000"/>
          <w:sz w:val="20"/>
          <w:szCs w:val="20"/>
        </w:rPr>
        <w:t xml:space="preserve">Figure A: The implemented consent lifecycle: every consent progresses through controlled states, and the activating and revoking transitions are anchored as verifiable Sepolia transactions (blocks 11,771,243 and 11,771,307).</w:t>
      </w:r>
    </w:p>
    <w:p>
      <w:pPr>
        <w:spacing w:after="140" w:line="300"/>
        <w:jc w:val="both"/>
      </w:pPr>
      <w:r>
        <w:rPr>
          <w:rFonts w:ascii="Cambria" w:cs="Cambria" w:eastAsia="Cambria" w:hAnsi="Cambria"/>
          <w:sz w:val="24"/>
          <w:szCs w:val="24"/>
        </w:rPr>
        <w:t xml:space="preserve">RO5 addresses RQ5 and extends the foundational current stage works on authorisation model with temporal validity and consent lifecycle controls. This objective belongs primarily to CA3 because it investigates how an authorisation remains trustworthy as time passes and as the consent state changes.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sz w:val="24"/>
          <w:szCs w:val="24"/>
        </w:rPr>
        <w:t xml:space="preserve">The lifecycle condition can be expressed as</w:t>
      </w:r>
    </w:p>
    <w:p>
      <w:pPr>
        <w:tabs>
          <w:tab w:val="right" w:pos="9360"/>
        </w:tabs>
        <w:spacing w:after="40" w:before="60"/>
        <w:jc w:val="center"/>
      </w:pPr>
      <w:r>
        <w:rPr>
          <w:rFonts w:ascii="Cambria Math" w:cs="Cambria Math" w:eastAsia="Cambria Math" w:hAnsi="Cambria Math"/>
          <w:i/>
          <w:iCs/>
          <w:strike/>
          <w:color w:val="808080"/>
          <w:sz w:val="22"/>
          <w:szCs w:val="22"/>
        </w:rPr>
        <w:t xml:space="preserve">V</w:t>
      </w:r>
      <w:r>
        <w:rPr>
          <w:rFonts w:ascii="Cambria Math" w:cs="Cambria Math" w:eastAsia="Cambria Math" w:hAnsi="Cambria Math"/>
          <w:i/>
          <w:iCs/>
          <w:strike/>
          <w:color w:val="808080"/>
          <w:sz w:val="22"/>
          <w:szCs w:val="22"/>
          <w:vertAlign w:val="subscript"/>
        </w:rPr>
        <w:t xml:space="preserve">L</w:t>
      </w:r>
      <w:r>
        <w:rPr>
          <w:rFonts w:ascii="Cambria Math" w:cs="Cambria Math" w:eastAsia="Cambria Math" w:hAnsi="Cambria Math"/>
          <w:i/>
          <w:iCs/>
          <w:strike/>
          <w:color w:val="808080"/>
          <w:sz w:val="22"/>
          <w:szCs w:val="22"/>
        </w:rPr>
        <w:t xml:space="preserve">(C) = ValidState(C) ∧ ValidTransition(C).</w:t>
      </w:r>
      <w:r>
        <w:rPr>
          <w:rFonts w:ascii="Cambria" w:cs="Cambria" w:eastAsia="Cambria" w:hAnsi="Cambria"/>
          <w:color w:val="808080"/>
          <w:sz w:val="22"/>
          <w:szCs w:val="22"/>
        </w:rPr>
        <w:t xml:space="preserve">	(64)</w:t>
      </w:r>
    </w:p>
    <w:p>
      <w:pPr>
        <w:spacing w:after="40" w:before="60"/>
      </w:pPr>
      <w:r>
        <w:rPr>
          <w:rFonts w:ascii="Cambria" w:cs="Cambria" w:eastAsia="Cambria" w:hAnsi="Cambria"/>
          <w:b/>
          <w:bCs/>
          <w:color w:val="C00000"/>
          <w:sz w:val="18"/>
          <w:szCs w:val="18"/>
        </w:rPr>
        <w:t xml:space="preserve">[EDIT 51] </w:t>
      </w:r>
    </w:p>
    <w:p>
      <w:pPr>
        <w:spacing w:after="140" w:line="300"/>
        <w:jc w:val="both"/>
      </w:pPr>
      <w:r>
        <w:rPr>
          <w:rFonts w:ascii="Cambria" w:cs="Cambria" w:eastAsia="Cambria" w:hAnsi="Cambria"/>
          <w:color w:val="C00000"/>
          <w:sz w:val="24"/>
          <w:szCs w:val="24"/>
        </w:rPr>
        <w:t xml:space="preserve">V_L(C, R) = 1 ⟺ Jur(R) = Jur(C) ∨ Jur(C) = ∅, where the jurisdiction is a two-letter ISO code stored on-chain; lifecycle state and revocation are evaluated within V_A. This check produced the demonstrated denial for jurisdiction SA against a consent issued for AU.</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t xml:space="preserve">6.5.1  RO5 Temporal and Lifecycle Workflow</w:t>
      </w:r>
    </w:p>
    <w:p>
      <w:pPr>
        <w:spacing w:after="140" w:line="300"/>
        <w:jc w:val="both"/>
      </w:pPr>
      <w:r>
        <w:rPr>
          <w:rFonts w:ascii="Cambria" w:cs="Cambria" w:eastAsia="Cambria" w:hAnsi="Cambria"/>
          <w:sz w:val="24"/>
          <w:szCs w:val="24"/>
        </w:rPr>
        <w:t xml:space="preserve">The planned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The current HALAH code already collects a start time and expiry time during consent creation, but the complete temporal and lifecycle enforcement mechanism remains part of the planned CA3 extension.</w:t>
      </w:r>
    </w:p>
    <w:p>
      <w:pPr>
        <w:spacing w:after="40" w:before="60"/>
      </w:pPr>
      <w:r>
        <w:rPr>
          <w:rFonts w:ascii="Cambria" w:cs="Cambria" w:eastAsia="Cambria" w:hAnsi="Cambria"/>
          <w:b/>
          <w:bCs/>
          <w:color w:val="C00000"/>
          <w:sz w:val="18"/>
          <w:szCs w:val="18"/>
        </w:rPr>
        <w:t xml:space="preserve">[EDIT 58] </w:t>
      </w:r>
    </w:p>
    <w:p>
      <w:pPr>
        <w:spacing w:after="140" w:line="300"/>
        <w:jc w:val="both"/>
      </w:pPr>
      <w:r>
        <w:rPr>
          <w:rFonts w:ascii="Cambria" w:cs="Cambria" w:eastAsia="Cambria" w:hAnsi="Cambria"/>
          <w:color w:val="C00000"/>
          <w:sz w:val="24"/>
          <w:szCs w:val="24"/>
        </w:rPr>
        <w:t xml:space="preserve">Temporal and lifecycle enforcement is implemented: the Consent Engine evaluates t_s ≤ t ≤ t_e at every request, the contract stores notBefore and expiry and exposes checkValid and checkValidAt, and revocation is executed both locally and as an on-chain revoke transaction (block 11,771,307).</w:t>
      </w:r>
    </w:p>
    <w:p>
      <w:pPr>
        <w:pStyle w:val="Heading3"/>
        <w:spacing w:after="160" w:before="280"/>
      </w:pPr>
      <w:r>
        <w:t xml:space="preserve">6.5.2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pBdr>
          <w:bottom w:val="single" w:color="000000" w:sz="12"/>
        </w:pBdr>
        <w:spacing w:after="6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spacing w:after="160"/>
      </w:pPr>
    </w:p>
    <w:p>
      <w:pPr>
        <w:keepNext/>
        <w:spacing w:after="60" w:before="140"/>
        <w:jc w:val="center"/>
      </w:pPr>
      <w:r>
        <w:drawing>
          <wp:inline distT="0" distB="0" distL="0" distR="0">
            <wp:extent cx="4381500" cy="5610225"/>
            <wp:effectExtent t="0" r="0" b="0" l="0"/>
            <wp:docPr id="1" name="rfig11.png" descr="Figure 11: RO5 planned workflow for temporal and consent lifecycle trust" title="Figure 11: RO5 planned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5610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RO5 planned workflow for temporal and consent lifecycle trust</w:t>
      </w:r>
    </w:p>
    <w:p>
      <w:pPr>
        <w:spacing w:after="140" w:line="300"/>
        <w:jc w:val="both"/>
      </w:pPr>
      <w:r>
        <w:rPr>
          <w:rFonts w:ascii="Cambria" w:cs="Cambria" w:eastAsia="Cambria" w:hAnsi="Cambria"/>
          <w:sz w:val="24"/>
          <w:szCs w:val="24"/>
        </w:rPr>
        <w:t xml:space="preserve">Algorithm 5 extends the current stage works on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p>
      <w:pPr>
        <w:spacing w:after="40" w:before="60"/>
      </w:pPr>
      <w:r>
        <w:rPr>
          <w:rFonts w:ascii="Cambria" w:cs="Cambria" w:eastAsia="Cambria" w:hAnsi="Cambria"/>
          <w:b/>
          <w:bCs/>
          <w:color w:val="C00000"/>
          <w:sz w:val="18"/>
          <w:szCs w:val="18"/>
        </w:rPr>
        <w:t xml:space="preserve">[EDIT 59] </w:t>
      </w:r>
    </w:p>
    <w:p>
      <w:pPr>
        <w:spacing w:after="140" w:line="300"/>
        <w:jc w:val="both"/>
      </w:pPr>
      <w:r>
        <w:rPr>
          <w:rFonts w:ascii="Cambria" w:cs="Cambria" w:eastAsia="Cambria" w:hAnsi="Cambria"/>
          <w:color w:val="C00000"/>
          <w:sz w:val="24"/>
          <w:szCs w:val="24"/>
        </w:rPr>
        <w:t xml:space="preserve">Algorithm 5 is implemented in the current prototype: its checks are executed at every access request and recorded as STATE_CHECK events in the audit ledger, so expiration, revocation and state transitions already condition the demonstrated access decisions.</w:t>
      </w:r>
    </w:p>
    <w:p>
      <w:pPr>
        <w:pStyle w:val="Heading2"/>
        <w:spacing w:after="160" w:before="280"/>
      </w:pPr>
      <w: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The formal decision model is expressed as</w:t>
      </w:r>
    </w:p>
    <w:p>
      <w:pPr>
        <w:spacing w:after="40" w:before="60"/>
      </w:pPr>
      <w:r>
        <w:rPr>
          <w:rFonts w:ascii="Cambria" w:cs="Cambria" w:eastAsia="Cambria" w:hAnsi="Cambria"/>
          <w:b/>
          <w:bCs/>
          <w:color w:val="C00000"/>
          <w:sz w:val="18"/>
          <w:szCs w:val="18"/>
        </w:rPr>
        <w:t xml:space="preserve">[EDIT 62] </w:t>
      </w:r>
    </w:p>
    <w:p>
      <w:pPr>
        <w:spacing w:after="140" w:line="300"/>
        <w:jc w:val="both"/>
      </w:pPr>
      <w:r>
        <w:rPr>
          <w:rFonts w:ascii="Cambria" w:cs="Cambria" w:eastAsia="Cambria" w:hAnsi="Cambria"/>
          <w:color w:val="C00000"/>
          <w:sz w:val="24"/>
          <w:szCs w:val="24"/>
        </w:rPr>
        <w:t xml:space="preserve">The empirical half of this objective has been carried out on the prototype; formal proofs and model checking of the authorisation properties remain future work. Caption: “RO6 workflow for security assurance; the empirical branch has been executed, the formal branch remains planned.”</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strike/>
          <w:color w:val="808080"/>
          <w:sz w:val="24"/>
          <w:szCs w:val="24"/>
        </w:rPr>
        <w:t xml:space="preserve">For current stage, the primary validation conditions are</w:t>
      </w:r>
    </w:p>
    <w:p>
      <w:pPr>
        <w:spacing w:after="40" w:before="60"/>
      </w:pPr>
      <w:r>
        <w:rPr>
          <w:rFonts w:ascii="Cambria" w:cs="Cambria" w:eastAsia="Cambria" w:hAnsi="Cambria"/>
          <w:b/>
          <w:bCs/>
          <w:color w:val="C00000"/>
          <w:sz w:val="18"/>
          <w:szCs w:val="18"/>
        </w:rPr>
        <w:t xml:space="preserve">[EDIT 61] </w:t>
      </w:r>
    </w:p>
    <w:p>
      <w:pPr>
        <w:spacing w:after="80"/>
        <w:jc w:val="center"/>
      </w:pPr>
      <w:r>
        <w:rPr>
          <w:rFonts w:ascii="Cambria Math" w:cs="Cambria Math" w:eastAsia="Cambria Math" w:hAnsi="Cambria Math"/>
          <w:i/>
          <w:iCs/>
          <w:color w:val="C00000"/>
          <w:sz w:val="22"/>
          <w:szCs w:val="22"/>
        </w:rPr>
        <w:t xml:space="preserve">The validated soundness property is Decision = ALLOW ⇒ V_I ∧ V_A ∧ V_P ∧ V_T ∧ V_L, exercised by per-dimension failure tests for each conjunct.</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 The HALAH prototype provides the implementation basis for this evaluation. The current system includes separate patient, guardian, doctor, and auditor interfaces. It also records consent creation, guardian approval, token minting, state checks, and data-access events.</w:t>
      </w:r>
    </w:p>
    <w:p>
      <w:pPr>
        <w:spacing w:after="40" w:before="60"/>
      </w:pPr>
      <w:r>
        <w:rPr>
          <w:rFonts w:ascii="Cambria" w:cs="Cambria" w:eastAsia="Cambria" w:hAnsi="Cambria"/>
          <w:b/>
          <w:bCs/>
          <w:color w:val="C00000"/>
          <w:sz w:val="18"/>
          <w:szCs w:val="18"/>
        </w:rPr>
        <w:t xml:space="preserve">[EDIT 60] </w:t>
      </w:r>
    </w:p>
    <w:p>
      <w:pPr>
        <w:spacing w:after="140" w:line="300"/>
        <w:jc w:val="both"/>
      </w:pPr>
      <w:r>
        <w:rPr>
          <w:rFonts w:ascii="Cambria" w:cs="Cambria" w:eastAsia="Cambria" w:hAnsi="Cambria"/>
          <w:color w:val="C00000"/>
          <w:sz w:val="24"/>
          <w:szCs w:val="24"/>
        </w:rPr>
        <w:t xml:space="preserve">The empirical component has been executed against the prototype: 23 automated tests cover per-dimension matrix failures, EIP-712 signature rejection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pStyle w:val="Heading3"/>
        <w:spacing w:after="160" w:before="280"/>
      </w:pPr>
      <w: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476750" cy="5734050"/>
            <wp:effectExtent t="0" r="0" b="0" l="0"/>
            <wp:docPr id="1" name="rfig12.png" descr="Figure 12: RO6 planned workflow for formal security assurance and empirical validation" title="Figure 12: RO6 planned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57340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RO6 planned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r>
        <w:rPr>
          <w:rFonts w:ascii="Cambria" w:cs="Cambria" w:eastAsia="Cambria" w:hAnsi="Cambria"/>
          <w:sz w:val="22"/>
          <w:szCs w:val="22"/>
        </w:rPr>
        <w:t xml:space="preserve">	(undefined)</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pBdr>
          <w:bottom w:val="single" w:color="000000" w:sz="12"/>
        </w:pBdr>
        <w:spacing w:after="6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spacing w:after="160"/>
      </w:pPr>
    </w:p>
    <w:p>
      <w:pPr>
        <w:pStyle w:val="Heading3"/>
        <w:spacing w:after="160" w:before="280"/>
      </w:pPr>
      <w: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w:t>
      </w:r>
    </w:p>
    <w:p>
      <w:pPr>
        <w:spacing w:after="40" w:before="60"/>
      </w:pPr>
      <w:r>
        <w:rPr>
          <w:rFonts w:ascii="Cambria" w:cs="Cambria" w:eastAsia="Cambria" w:hAnsi="Cambria"/>
          <w:b/>
          <w:bCs/>
          <w:color w:val="C00000"/>
          <w:sz w:val="18"/>
          <w:szCs w:val="18"/>
        </w:rPr>
        <w:t xml:space="preserve">[EDIT 63] </w:t>
      </w:r>
    </w:p>
    <w:p>
      <w:pPr>
        <w:spacing w:after="140" w:line="300"/>
        <w:jc w:val="both"/>
      </w:pPr>
      <w:r>
        <w:rPr>
          <w:rFonts w:ascii="Cambria" w:cs="Cambria" w:eastAsia="Cambria" w:hAnsi="Cambria"/>
          <w:color w:val="C00000"/>
          <w:sz w:val="24"/>
          <w:szCs w:val="24"/>
        </w:rPr>
        <w:t xml:space="preserve">Algorithms 1–5 are all realised in the current prototype, and the empirical branch of Algorithm 6 has been executed against it; only the formal-assurance branch, together with k-of-n thresholds and authenticated requesters, remains for the next stage.</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1) Identity Trust Authority Trust, 2) Collective Authorisation, 3) Policy Compliance, 4)Temporal and Lifecycle Trust. For the current stage implementation, the operational decision is based on</w:t>
      </w:r>
    </w:p>
    <w:p>
      <w:pPr>
        <w:spacing w:after="40" w:before="60"/>
      </w:pPr>
      <w:r>
        <w:rPr>
          <w:rFonts w:ascii="Cambria" w:cs="Cambria" w:eastAsia="Cambria" w:hAnsi="Cambria"/>
          <w:b/>
          <w:bCs/>
          <w:color w:val="C00000"/>
          <w:sz w:val="18"/>
          <w:szCs w:val="18"/>
        </w:rPr>
        <w:t xml:space="preserve">[EDIT 64] </w:t>
      </w:r>
    </w:p>
    <w:p>
      <w:pPr>
        <w:spacing w:after="140" w:line="300"/>
        <w:jc w:val="both"/>
      </w:pPr>
      <w:r>
        <w:rPr>
          <w:rFonts w:ascii="Cambria" w:cs="Cambria" w:eastAsia="Cambria" w:hAnsi="Cambria"/>
          <w:color w:val="C00000"/>
          <w:sz w:val="24"/>
          <w:szCs w:val="24"/>
        </w:rPr>
        <w:t xml:space="preserve">The implemented system enforces the complete rule of Equation (70): access is granted only when VI, VA, VP, VT and VL all hold, with revocation evaluated within VA, and every decision — granted or denied — is logged with the full matrix. Equation (69) is retained only as the historical current-stage formulation.</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pStyle w:val="Heading1"/>
        <w:pageBreakBefore/>
        <w:spacing w:after="160" w:before="400"/>
      </w:pPr>
      <w:r>
        <w:t xml:space="preserve">7  Current Progress Status</w:t>
      </w:r>
    </w:p>
    <w:p>
      <w:pPr>
        <w:pStyle w:val="Heading2"/>
        <w:spacing w:after="160" w:before="280"/>
      </w:pPr>
      <w: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pStyle w:val="Heading2"/>
        <w:spacing w:after="160" w:before="280"/>
      </w:pPr>
      <w:r>
        <w:t xml:space="preserve">7.2  Progress of RO2: Decentralised Identity and Authority</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pStyle w:val="Heading2"/>
        <w:spacing w:after="160" w:before="280"/>
      </w:pPr>
      <w: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spacing w:after="40" w:before="60"/>
      </w:pPr>
      <w:r>
        <w:rPr>
          <w:rFonts w:ascii="Cambria" w:cs="Cambria" w:eastAsia="Cambria" w:hAnsi="Cambria"/>
          <w:b/>
          <w:bCs/>
          <w:color w:val="C00000"/>
          <w:sz w:val="18"/>
          <w:szCs w:val="18"/>
        </w:rPr>
        <w:t xml:space="preserve">[EDIT 65] </w:t>
      </w:r>
    </w:p>
    <w:p>
      <w:pPr>
        <w:spacing w:after="140" w:line="300"/>
        <w:jc w:val="both"/>
      </w:pPr>
      <w:r>
        <w:rPr>
          <w:rFonts w:ascii="Cambria" w:cs="Cambria" w:eastAsia="Cambria" w:hAnsi="Cambria"/>
          <w:color w:val="C00000"/>
          <w:sz w:val="24"/>
          <w:szCs w:val="24"/>
        </w:rPr>
        <w:t xml:space="preserve">(Append to §7.3) In the current prototype the threshold is fixed at N-of-N: every listed guardian must approve, each through an EIP-712 typed-data signature verified by cryptographic recovery, with the two-guardian case evaluated end-to-end. Configurable k-of-n thresholds remain future work. (Append to §7.2) In the prototype, VI performs identifier- and credential-format validation; cryptographic DID resolution against a registry and requester authentication are acknowledged limitations reserved for the next stage.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pStyle w:val="Heading2"/>
        <w:spacing w:after="160" w:before="280"/>
      </w:pPr>
      <w:r>
        <w:t xml:space="preserve">7.4  Progress of RO4: Policy-Aware Access Control</w:t>
      </w:r>
    </w:p>
    <w:p>
      <w:pPr>
        <w:spacing w:after="140" w:line="300"/>
        <w:jc w:val="both"/>
      </w:pPr>
      <w:r>
        <w:rPr>
          <w:rFonts w:ascii="Cambria" w:cs="Cambria" w:eastAsia="Cambria" w:hAnsi="Cambria"/>
          <w:sz w:val="24"/>
          <w:szCs w:val="24"/>
        </w:rPr>
        <w:t xml:space="preserve">Status: In Progress</w:t>
      </w:r>
    </w:p>
    <w:p>
      <w:pPr>
        <w:spacing w:after="140" w:line="300"/>
        <w:jc w:val="both"/>
      </w:pPr>
      <w:r>
        <w:rPr>
          <w:rFonts w:ascii="Cambria" w:cs="Cambria" w:eastAsia="Cambria" w:hAnsi="Cambria"/>
          <w:sz w:val="24"/>
          <w:szCs w:val="24"/>
        </w:rPr>
        <w:t xml:space="preserve">RO4 represents the next stage of the framework beyond identity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{Observation, Medic the request should be rejected because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expected outcome is a policy-aware access-control mechanism capable of evaluating purpose and data-scope constraints before an access decision is issued. This objective will provide the final foundational component of the current stage trust-oriented authorisation model.</w:t>
      </w:r>
    </w:p>
    <w:p>
      <w:pPr>
        <w:spacing w:after="40" w:before="60"/>
      </w:pPr>
      <w:r>
        <w:rPr>
          <w:rFonts w:ascii="Cambria" w:cs="Cambria" w:eastAsia="Cambria" w:hAnsi="Cambria"/>
          <w:b/>
          <w:bCs/>
          <w:color w:val="C00000"/>
          <w:sz w:val="18"/>
          <w:szCs w:val="18"/>
        </w:rPr>
        <w:t xml:space="preserve">[EDIT 66] </w:t>
      </w:r>
    </w:p>
    <w:p>
      <w:pPr>
        <w:spacing w:after="140" w:line="300"/>
        <w:jc w:val="both"/>
      </w:pPr>
      <w:r>
        <w:rPr>
          <w:rFonts w:ascii="Cambria" w:cs="Cambria" w:eastAsia="Cambria" w:hAnsi="Cambria"/>
          <w:color w:val="C00000"/>
          <w:sz w:val="24"/>
          <w:szCs w:val="24"/>
        </w:rPr>
        <w:t xml:space="preserve">Status: Completed at the prototype level. The policy predicate VP is implemented: each access request declares a purpose and a requested data scope S_R, and the request is rejected whenever S_R is not a subset of the authorised scope S_C. The predicate is evaluated as one term of the complete decision matrix VI ∧ VA ∧ VP ∧ VT ∧ VL, and every denial names the failed checks explicitly in both the interface and the audit ledger. Input validation on consent creation and access requests prevents malformed identifiers, scopes and jurisdictions from reaching the decision logic. Policy-aware access control is therefore an enforced property of the running system rather than an expected outcome.</w:t>
      </w:r>
    </w:p>
    <w:p>
      <w:pPr>
        <w:pStyle w:val="Heading2"/>
        <w:spacing w:after="160" w:before="280"/>
      </w:pPr>
      <w:r>
        <w:t xml:space="preserve">7.5  Progress of RO5: Temporal and Lifecycle Trust</w:t>
      </w:r>
    </w:p>
    <w:p>
      <w:pPr>
        <w:spacing w:after="40" w:before="60"/>
      </w:pPr>
      <w:r>
        <w:rPr>
          <w:rFonts w:ascii="Cambria" w:cs="Cambria" w:eastAsia="Cambria" w:hAnsi="Cambria"/>
          <w:b/>
          <w:bCs/>
          <w:color w:val="C00000"/>
          <w:sz w:val="18"/>
          <w:szCs w:val="18"/>
        </w:rPr>
        <w:t xml:space="preserve">[EDIT 1] </w:t>
      </w:r>
    </w:p>
    <w:p>
      <w:pPr>
        <w:spacing w:after="140" w:line="300"/>
        <w:jc w:val="both"/>
      </w:pPr>
      <w:r>
        <w:rPr>
          <w:rFonts w:ascii="Cambria" w:cs="Cambria" w:eastAsia="Cambria" w:hAnsi="Cambria"/>
          <w:color w:val="C00000"/>
          <w:sz w:val="24"/>
          <w:szCs w:val="24"/>
        </w:rPr>
        <w:t xml:space="preserve">Stage: Current. Objective: Extend the authorisation model with validity periods, expiration, revocation, and controlled consent-state transitions. Implemented in the current prototype: temporal windows are enforced locally and mirrored on-chain, and revocation is executed as a verifiable Sepolia transaction.</w:t>
      </w:r>
    </w:p>
    <w:p>
      <w:pPr>
        <w:spacing w:after="140" w:line="300"/>
        <w:jc w:val="both"/>
      </w:pPr>
      <w:r>
        <w:rPr>
          <w:rFonts w:ascii="Cambria" w:cs="Cambria" w:eastAsia="Cambria" w:hAnsi="Cambria"/>
          <w:sz w:val="24"/>
          <w:szCs w:val="24"/>
        </w:rPr>
        <w:t xml:space="preserve">Status: In Progress</w:t>
      </w:r>
    </w:p>
    <w:p>
      <w:pPr>
        <w:spacing w:after="140" w:line="300"/>
        <w:jc w:val="both"/>
      </w:pPr>
      <w:r>
        <w:rPr>
          <w:rFonts w:ascii="Cambria" w:cs="Cambria" w:eastAsia="Cambria" w:hAnsi="Cambria"/>
          <w:sz w:val="24"/>
          <w:szCs w:val="24"/>
        </w:rPr>
        <w:t xml:space="preserve">RO5 is reserved primarily for next stage. The objective is to introduce temporal and lifecycle trust so that consent is not considered permanently valid after creation or approval. A future consent validity interval will be represented as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with temporal validity defined as</w:t>
      </w:r>
    </w:p>
    <w:p>
      <w:pPr>
        <w:spacing w:after="40" w:before="60"/>
      </w:pPr>
      <w:r>
        <w:rPr>
          <w:rFonts w:ascii="Cambria" w:cs="Cambria" w:eastAsia="Cambria" w:hAnsi="Cambria"/>
          <w:b/>
          <w:bCs/>
          <w:color w:val="C00000"/>
          <w:sz w:val="18"/>
          <w:szCs w:val="18"/>
        </w:rPr>
        <w:t xml:space="preserve">[EDIT 67] </w:t>
      </w:r>
    </w:p>
    <w:p>
      <w:pPr>
        <w:spacing w:after="140" w:line="300"/>
        <w:jc w:val="both"/>
      </w:pPr>
      <w:r>
        <w:rPr>
          <w:rFonts w:ascii="Cambria" w:cs="Cambria" w:eastAsia="Cambria" w:hAnsi="Cambria"/>
          <w:color w:val="C00000"/>
          <w:sz w:val="24"/>
          <w:szCs w:val="24"/>
        </w:rPr>
        <w:t xml:space="preserve">Status: Largely Completed. RO5 has moved from planned work to implemented capability. The consent validity interval [t_s, t_e] is now enforced by the temporal predicate VT at every access request and is additionally stored on-chain in the SBT as the notBefore and expiry fields, so temporal validity can be verified independently of the application. The consent lifecycle is implemented as an explicit state machine (PENDING_SIGNATURE, PENDING_TOKEN, NOT_STARTED, ACTIVE, EXPIRED,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 dynamic and delegated dimension of lifecycle trust, such as consent modification, delegation and guardian-set changes, rather than temporal enforcement itself.</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sz w:val="24"/>
          <w:szCs w:val="24"/>
        </w:rPr>
        <w:t xml:space="preserve">The consent lifecycle will also be extended to represent controlled transitions such as Specification → Verification → Approval → Active → Expiration/Revocation. The expected outcome is a lifecycle-aware consent mechanism capable of rejecting access after expiration or revocation and preventing unauthorised lifecycle transitions. This work will constitute a major component of next stage.</w:t>
      </w:r>
    </w:p>
    <w:p>
      <w:pPr>
        <w:pStyle w:val="Heading2"/>
        <w:spacing w:after="160" w:before="280"/>
      </w:pPr>
      <w:r>
        <w:t xml:space="preserve">7.6  Progress of RO6: Security Assurance and Validation</w:t>
      </w:r>
    </w:p>
    <w:p>
      <w:pPr>
        <w:spacing w:after="140" w:line="300"/>
        <w:jc w:val="both"/>
      </w:pPr>
      <w:r>
        <w:rPr>
          <w:rFonts w:ascii="Cambria" w:cs="Cambria" w:eastAsia="Cambria" w:hAnsi="Cambria"/>
          <w:sz w:val="24"/>
          <w:szCs w:val="24"/>
        </w:rPr>
        <w:t xml:space="preserve">Status: Partially Completed (RQ1-RQ3)</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 The current validation focuses primarily on RQ1, RQ2, and RQ3. Representative scenarios include valid identity verification, invalid identity or credential submission, insufficient multiparty approval, and successful completion of the required approval threshold. The central decision model can be formulated as</w:t>
      </w:r>
    </w:p>
    <w:p>
      <w:pPr>
        <w:spacing w:after="40" w:before="60"/>
      </w:pPr>
      <w:r>
        <w:rPr>
          <w:rFonts w:ascii="Cambria" w:cs="Cambria" w:eastAsia="Cambria" w:hAnsi="Cambria"/>
          <w:b/>
          <w:bCs/>
          <w:color w:val="C00000"/>
          <w:sz w:val="18"/>
          <w:szCs w:val="18"/>
        </w:rPr>
        <w:t xml:space="preserve">[EDIT 68] </w:t>
      </w:r>
    </w:p>
    <w:p>
      <w:pPr>
        <w:spacing w:after="140" w:line="300"/>
        <w:jc w:val="both"/>
      </w:pPr>
      <w:r>
        <w:rPr>
          <w:rFonts w:ascii="Cambria" w:cs="Cambria" w:eastAsia="Cambria" w:hAnsi="Cambria"/>
          <w:color w:val="C00000"/>
          <w:sz w:val="24"/>
          <w:szCs w:val="24"/>
        </w:rPr>
        <w:t xml:space="preserve">Status: Partially Completed. Empirical validation now covers all six trust dimensions. A suite of 23 automated tests exercises per-dimension failures of the decision matrix, rejection of invalid EIP-712 guardian signatures, and tampered or expired zero-knowledge proofs. Live validation on Sepolia includes a negative demonstration in which a request declaring jurisdiction SA against a consent issued for AU is denied with VL named as the failed check, and a revocation scenario in which the same consent, once revoked on-chain, is subsequently denied through VA. An independent verification tool re-checks every ledger transaction hash against Sepolia receipts and reads each token back from the contract, reporting that all checks passed, and every granted access is accompanied by a real Groth16 proof generated and verified at request time. The implemented decision rule is Decision(C, R, t) = ALLOW iff VI ∧ VA ∧ VP ∧ VT ∧ VL. Formal security analysis and a systematic performance study remain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sz w:val="24"/>
          <w:szCs w:val="24"/>
        </w:rPr>
        <w:t xml:space="preserve">At the current stage, the experimental evidence primarily demonstrates the consistency between the implemented consent, identity, and multi-party authorisation mechanisms and their corresponding research questions.</w:t>
      </w:r>
    </w:p>
    <w:p>
      <w:pPr>
        <w:spacing w:after="140" w:line="300"/>
        <w:jc w:val="both"/>
      </w:pPr>
      <w:r>
        <w:rPr>
          <w:rFonts w:ascii="Cambria" w:cs="Cambria" w:eastAsia="Cambria" w:hAnsi="Cambria"/>
          <w:strike/>
          <w:color w:val="808080"/>
          <w:sz w:val="24"/>
          <w:szCs w:val="24"/>
        </w:rP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p>
      <w:pPr>
        <w:spacing w:after="40" w:before="60"/>
      </w:pPr>
      <w:r>
        <w:rPr>
          <w:rFonts w:ascii="Cambria" w:cs="Cambria" w:eastAsia="Cambria" w:hAnsi="Cambria"/>
          <w:b/>
          <w:bCs/>
          <w:color w:val="C00000"/>
          <w:sz w:val="18"/>
          <w:szCs w:val="18"/>
        </w:rPr>
        <w:t xml:space="preserve">[EDIT 69] </w:t>
      </w:r>
    </w:p>
    <w:p>
      <w:pPr>
        <w:spacing w:after="140" w:line="300"/>
        <w:jc w:val="both"/>
      </w:pPr>
      <w:r>
        <w:rPr>
          <w:rFonts w:ascii="Cambria" w:cs="Cambria" w:eastAsia="Cambria" w:hAnsi="Cambria"/>
          <w:color w:val="C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narrower: formal definition and verification of the security properties, a systematic performance and overhead study, and the removal of prototype limitations such as N-of-N approval, server-derived guardian keys and the unauthenticated requester role.</w:t>
      </w:r>
    </w:p>
    <w:p>
      <w:pPr>
        <w:pStyle w:val="Heading1"/>
        <w:pageBreakBefore/>
        <w:spacing w:after="160" w:before="400"/>
      </w:pPr>
      <w: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keepNext/>
        <w:spacing w:after="80" w:before="160"/>
        <w:jc w:val="center"/>
      </w:pPr>
      <w:r>
        <w:rPr>
          <w:rFonts w:ascii="Cambria" w:cs="Cambria" w:eastAsia="Cambria" w:hAnsi="Cambria"/>
          <w:b/>
          <w:bCs/>
          <w:sz w:val="21"/>
          <w:szCs w:val="21"/>
        </w:rPr>
        <w:t xml:space="preserve">Table 7: </w:t>
      </w:r>
      <w:r>
        <w:rPr>
          <w:rFonts w:ascii="Cambria" w:cs="Cambria" w:eastAsia="Cambria" w:hAnsi="Cambria"/>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addresses RQ1-RQ4 (Chapters 3-4).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Decentralised implementation and performance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evaluation (Chapter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Specialized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addresses formal security assurance (Chapter 6).</w:t>
            </w:r>
          </w:p>
        </w:tc>
      </w:tr>
    </w:tbl>
    <w:p>
      <w:pPr>
        <w:spacing w:after="180"/>
      </w:pPr>
    </w:p>
    <w:p>
      <w:pPr>
        <w:spacing w:after="40" w:before="60"/>
      </w:pPr>
      <w:r>
        <w:rPr>
          <w:rFonts w:ascii="Cambria" w:cs="Cambria" w:eastAsia="Cambria" w:hAnsi="Cambria"/>
          <w:b/>
          <w:bCs/>
          <w:color w:val="C00000"/>
          <w:sz w:val="18"/>
          <w:szCs w:val="18"/>
        </w:rPr>
        <w:t xml:space="preserve">[EDIT 70 — place at: Page 90, §8, Table 7] </w:t>
      </w:r>
    </w:p>
    <w:p>
      <w:pPr>
        <w:spacing w:after="140" w:line="300"/>
        <w:jc w:val="both"/>
      </w:pPr>
      <w:r>
        <w:rPr>
          <w:rFonts w:ascii="Cambria" w:cs="Cambria" w:eastAsia="Cambria" w:hAnsi="Cambria"/>
          <w:color w:val="C00000"/>
          <w:sz w:val="24"/>
          <w:szCs w:val="24"/>
        </w:rPr>
        <w:t xml:space="preserve">TABLE EDIT — status: “Decentralised implementation and scenario-based validation complete on the Sepolia public testnet; performance evaluation outstanding.” The paper’s empirical section can now draw on the deployed contract, the two minted tokens and the verified transaction trail as delivered evidence.</w:t>
      </w: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t xml:space="preserve">9.1  Current Stage: Completed and Current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The progression is RO1, RO2, RO3 and then RO4, in which RO1, RO2, and RO3 have been implemented and initially validated through the HALAH prototype. RO4 represents the current transition towards policy-aware access control.</w:t>
      </w:r>
    </w:p>
    <w:p>
      <w:pPr>
        <w:spacing w:after="40" w:before="60"/>
      </w:pPr>
      <w:r>
        <w:rPr>
          <w:rFonts w:ascii="Cambria" w:cs="Cambria" w:eastAsia="Cambria" w:hAnsi="Cambria"/>
          <w:b/>
          <w:bCs/>
          <w:color w:val="C00000"/>
          <w:sz w:val="18"/>
          <w:szCs w:val="18"/>
        </w:rPr>
        <w:t xml:space="preserve">[EDIT 71] </w:t>
      </w:r>
    </w:p>
    <w:p>
      <w:pPr>
        <w:spacing w:after="140" w:line="300"/>
        <w:jc w:val="both"/>
      </w:pPr>
      <w:r>
        <w:rPr>
          <w:rFonts w:ascii="Cambria" w:cs="Cambria" w:eastAsia="Cambria" w:hAnsi="Cambria"/>
          <w:color w:val="C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publicly inspectable on Etherscan.</w:t>
      </w:r>
    </w:p>
    <w:p>
      <w:pPr>
        <w:pStyle w:val="Heading2"/>
        <w:spacing w:after="160" w:before="280"/>
      </w:pPr>
      <w:r>
        <w:t xml:space="preserve">9.2  Next Stage: Planned Work</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sz w:val="24"/>
          <w:szCs w:val="24"/>
        </w:rPr>
        <w:t xml:space="preserve">The first major focus of next stageis the introduction of temporal and lifecycle trust.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spacing w:after="40" w:before="60"/>
      </w:pPr>
      <w:r>
        <w:rPr>
          <w:rFonts w:ascii="Cambria" w:cs="Cambria" w:eastAsia="Cambria" w:hAnsi="Cambria"/>
          <w:b/>
          <w:bCs/>
          <w:color w:val="C00000"/>
          <w:sz w:val="18"/>
          <w:szCs w:val="18"/>
        </w:rPr>
        <w:t xml:space="preserve">[EDIT 72] </w:t>
      </w:r>
    </w:p>
    <w:p>
      <w:pPr>
        <w:spacing w:after="140" w:line="300"/>
        <w:jc w:val="both"/>
      </w:pPr>
      <w:r>
        <w:rPr>
          <w:rFonts w:ascii="Cambria" w:cs="Cambria" w:eastAsia="Cambria" w:hAnsi="Cambria"/>
          <w:color w:val="C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The next stage accordingly concentrates on two remaining foci: formal security assurance and comprehensive empirical validation, including performance measurement.</w:t>
      </w:r>
    </w:p>
    <w:p>
      <w:pPr>
        <w:spacing w:after="140" w:line="300"/>
        <w:jc w:val="both"/>
      </w:pPr>
      <w:r>
        <w:rPr>
          <w:rFonts w:ascii="Cambria" w:cs="Cambria" w:eastAsia="Cambria" w:hAnsi="Cambria"/>
          <w:sz w:val="24"/>
          <w:szCs w:val="24"/>
        </w:rPr>
        <w:t xml:space="preserve">The second focus is formal security assurance. The current stage framework establishes the conceptual relationship between identity verification, collective authorisation, and policy enforcement.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third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8.</w:t>
      </w:r>
    </w:p>
    <w:p>
      <w:pPr>
        <w:keepNext/>
        <w:spacing w:after="80" w:before="160"/>
        <w:jc w:val="center"/>
      </w:pPr>
      <w:r>
        <w:rPr>
          <w:rFonts w:ascii="Cambria" w:cs="Cambria" w:eastAsia="Cambria" w:hAnsi="Cambria"/>
          <w:b/>
          <w:bCs/>
          <w:sz w:val="21"/>
          <w:szCs w:val="21"/>
        </w:rPr>
        <w:t xml:space="preserve">Table 8: </w:t>
      </w:r>
      <w:r>
        <w:rPr>
          <w:rFonts w:ascii="Cambria" w:cs="Cambria" w:eastAsia="Cambria" w:hAnsi="Cambria"/>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and Lifecycle Trust
(Dynamic Consent States)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consent model to incorporate validity periods, dynamic expiration, immediate revocation, and controlled lifecycle transitions.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Trust Computing framework providing secure, multi-party patient consent and decentralised healthcare data sharing.</w:t>
            </w:r>
          </w:p>
        </w:tc>
      </w:tr>
    </w:tbl>
    <w:p>
      <w:pPr>
        <w:spacing w:after="180"/>
      </w:pPr>
    </w:p>
    <w:p>
      <w:pPr>
        <w:spacing w:after="40" w:before="60"/>
      </w:pPr>
      <w:r>
        <w:rPr>
          <w:rFonts w:ascii="Cambria" w:cs="Cambria" w:eastAsia="Cambria" w:hAnsi="Cambria"/>
          <w:b/>
          <w:bCs/>
          <w:color w:val="C00000"/>
          <w:sz w:val="18"/>
          <w:szCs w:val="18"/>
        </w:rPr>
        <w:t xml:space="preserve">[EDIT 73 — place at: Page 92, Table 8] </w:t>
      </w:r>
    </w:p>
    <w:p>
      <w:pPr>
        <w:spacing w:after="140" w:line="300"/>
        <w:jc w:val="both"/>
      </w:pPr>
      <w:r>
        <w:rPr>
          <w:rFonts w:ascii="Cambria" w:cs="Cambria" w:eastAsia="Cambria" w:hAnsi="Cambria"/>
          <w:color w:val="C00000"/>
          <w:sz w:val="24"/>
          <w:szCs w:val="24"/>
        </w:rPr>
        <w:t xml:space="preserve">TABLE EDIT — mark Temporal and Lifecycle Trust as Completed (evidence: on-chain notBefore/expiry; revoke transaction in block 11,771,307; state machine); annotate Comprehensive Empirical Validation as partially delivered (23 automated tests; live jurisdiction denial and revocation-then-denial on Sepolia; independent chain verification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next stagewill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t xml:space="preserve">Appendix A — Traceability to the Implemented System (generated)</w:t>
      </w:r>
    </w:p>
    <w:p>
      <w:pPr>
        <w:spacing w:after="140" w:line="300"/>
        <w:jc w:val="both"/>
      </w:pPr>
      <w:r>
        <w:rPr>
          <w:rFonts w:ascii="Cambria" w:cs="Cambria" w:eastAsia="Cambria" w:hAnsi="Cambria"/>
          <w:color w:val="C00000"/>
          <w:sz w:val="24"/>
          <w:szCs w:val="24"/>
        </w:rPr>
        <w:t xml:space="preserve">Table A summarises how each formal artefact of this report is realised in the implemented HALAH v1.2 subsystem, as documented in the companion chapter HALAH Implementation v1.3,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Guardian subsystem: EIP-712 typed-data signatures, off-chain signer recovery per guardian DID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Decision rule and trust predicates, Eq. (59), Figure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§5.2,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§6.4 (next stage)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Six-state lifecycle with on-chain revocation (Figure A)</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C00000"/>
                <w:sz w:val="18"/>
                <w:szCs w:val="18"/>
              </w:rPr>
              <w:t xml:space="preserve">60-event ledger; RESULT: ALL CHECKS PASSED; token #2, block 11,771,581</w:t>
            </w:r>
          </w:p>
        </w:tc>
      </w:tr>
    </w:tbl>
    <w:p>
      <w:pPr>
        <w:spacing w:before="60"/>
        <w:jc w:val="center"/>
      </w:pPr>
      <w:r>
        <w:rPr>
          <w:rFonts w:ascii="Cambria" w:cs="Cambria" w:eastAsia="Cambria" w:hAnsi="Cambria"/>
          <w:i/>
          <w:iCs/>
          <w:color w:val="C00000"/>
          <w:sz w:val="19"/>
          <w:szCs w:val="19"/>
        </w:rPr>
        <w:t xml:space="preserve">Table A: Traceability from the formal artefacts of this report to the implemented mechanisms and their on-chain evidence.</w:t>
      </w:r>
    </w:p>
    <w:p>
      <w:pPr>
        <w:pStyle w:val="Heading1"/>
        <w:pageBreakBefore/>
        <w:spacing w:after="160" w:before="400"/>
      </w:pPr>
      <w:r>
        <w:t xml:space="preserve">References</w:t>
      </w:r>
    </w:p>
    <w:p>
      <w:pPr>
        <w:spacing w:after="140" w:line="300"/>
        <w:jc w:val="both"/>
      </w:pPr>
      <w:r>
        <w:rPr>
          <w:rFonts w:ascii="Cambria" w:cs="Cambria" w:eastAsia="Cambria" w:hAnsi="Cambria"/>
          <w:sz w:val="24"/>
          <w:szCs w:val="24"/>
        </w:rPr>
        <w:t xml:space="preserve">[1] Abdullah Al Mamun, Sami Azam, and Clementine Gritti. Blockchain-based electronic health records management: a comprehensive review and future research direction.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IEEE communications surveys &amp; tutorials, 25(1):386–424, 2022.</w:t>
      </w:r>
    </w:p>
    <w:p>
      <w:pPr>
        <w:spacing w:after="140" w:line="300"/>
        <w:jc w:val="both"/>
      </w:pPr>
      <w:r>
        <w:rPr>
          <w:rFonts w:ascii="Cambria" w:cs="Cambria" w:eastAsia="Cambria" w:hAnsi="Cambria"/>
          <w:sz w:val="24"/>
          <w:szCs w:val="24"/>
        </w:rPr>
        <w:t xml:space="preserve">[4] Haotian Deng, Jinwen Liang, Chuan Zhang, Ximeng Liu, Liehuang Zhu, and Song Guo. Futuredid: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Blockchain application in healthcare systems: a review.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xinjiang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BMC nursing,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IEEe Access, 10:28545–28563, 2022.</w:t>
      </w:r>
    </w:p>
    <w:p>
      <w:pPr>
        <w:spacing w:after="140" w:line="300"/>
        <w:jc w:val="both"/>
      </w:pPr>
      <w:r>
        <w:rPr>
          <w:rFonts w:ascii="Cambria" w:cs="Cambria" w:eastAsia="Cambria" w:hAnsi="Cambria"/>
          <w:sz w:val="24"/>
          <w:szCs w:val="24"/>
        </w:rPr>
        <w:t xml:space="preserve">[11] Rong Jiang, Xue Chen, Yimin Yu, Ying Zhang, and Weiping Ding. Risk and ucon-based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Digital health,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Glann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iot: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pages 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2025.</w:t>
      </w:r>
    </w:p>
    <w:p>
      <w:pPr>
        <w:spacing w:after="140" w:line="300"/>
        <w:jc w:val="both"/>
      </w:pPr>
      <w:r>
        <w:rPr>
          <w:rFonts w:ascii="Cambria" w:cs="Cambria" w:eastAsia="Cambria" w:hAnsi="Cambria"/>
          <w:sz w:val="24"/>
          <w:szCs w:val="24"/>
        </w:rPr>
        <w:t xml:space="preserve">[21] Andrei McCall. Privacy-preserving interoperability in healthcare data ecosystems: balancing data sharing with individual autonomy. IEEE J. Biomed. Health Inform, 28(3):1234–1245, 2024.</w:t>
      </w:r>
    </w:p>
    <w:p>
      <w:pPr>
        <w:spacing w:after="140" w:line="300"/>
        <w:jc w:val="both"/>
      </w:pPr>
      <w:r>
        <w:rPr>
          <w:rFonts w:ascii="Cambria" w:cs="Cambria" w:eastAsia="Cambria" w:hAnsi="Cambria"/>
          <w:sz w:val="24"/>
          <w:szCs w:val="24"/>
        </w:rPr>
        <w:t xml:space="preserve">[22] Roy McClelland and Colin M Harper. Information privacy in healthcare—the vital role of informed consent. European journal of health law, 30(4):469–480, 2022.</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Enhancing patient autonomy in data ownership: privacy models and consent frameworks for healthcare. Journal of Digital Health, pages 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iot: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ACM Transactions on Management Information Systems (TMIS), 13(4):1–21, 2022.</w:t>
      </w:r>
    </w:p>
    <w:p>
      <w:pPr>
        <w:spacing w:after="140" w:line="300"/>
        <w:jc w:val="both"/>
      </w:pPr>
      <w:r>
        <w:rPr>
          <w:rFonts w:ascii="Cambria" w:cs="Cambria" w:eastAsia="Cambria" w:hAnsi="Cambria"/>
          <w:sz w:val="24"/>
          <w:szCs w:val="24"/>
        </w:rPr>
        <w:t xml:space="preserve">[28] Ahmed M Tawfik, Ayman Al-Ahwal, Adly S Tag Eldien, and Hala H Zayed. Blockchain-based access control and privacy preservation in healthcare: a comprehensive survey.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2022.</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Journal of systems architecture, 148:103081, 2024.</w:t>
      </w:r>
    </w:p>
    <w:p>
      <w:pPr>
        <w:spacing w:after="140" w:line="300"/>
        <w:jc w:val="both"/>
      </w:pPr>
      <w:r>
        <w:rPr>
          <w:rFonts w:ascii="Cambria" w:cs="Cambria" w:eastAsia="Cambria" w:hAnsi="Cambria"/>
          <w:sz w:val="24"/>
          <w:szCs w:val="24"/>
        </w:rPr>
        <w:t xml:space="preserve">[33] Jie Yin, Yang Xiao, Qian Chen, Xuefeng Liu, Qingqi Pei, Jianying Zhou, et al. Dp-did: A dynamic and proactive decentralized identity system. IEEE Transactions on Information Forensics and Security, pages 4999–5014, 2025.</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cd210e8eb457bcb57a9ccca208ca766318bce9.png"/><Relationship Id="rId9" Type="http://schemas.openxmlformats.org/officeDocument/2006/relationships/image" Target="media/c381765b324aa100123106c06a4ad2b8db549c10.png"/><Relationship Id="rId10" Type="http://schemas.openxmlformats.org/officeDocument/2006/relationships/image" Target="media/2b536558d832546ec393dd67925c929dd6236fad.png"/><Relationship Id="rId11" Type="http://schemas.openxmlformats.org/officeDocument/2006/relationships/image" Target="media/e698f47fea018ba4e2802cc16cd6dfd9035c7463.png"/><Relationship Id="rId12" Type="http://schemas.openxmlformats.org/officeDocument/2006/relationships/image" Target="media/e56b4f992bdd903593631381fadd9d088590b949.png"/><Relationship Id="rId13" Type="http://schemas.openxmlformats.org/officeDocument/2006/relationships/image" Target="media/cfb68299954ed8f8f5e10a9a9db637b9bb1e6943.png"/><Relationship Id="rId14" Type="http://schemas.openxmlformats.org/officeDocument/2006/relationships/image" Target="media/a8d73304a4106b3294ed1cf9a7b9b4725782c8c5.png"/><Relationship Id="rId15" Type="http://schemas.openxmlformats.org/officeDocument/2006/relationships/image" Target="media/d18b259f9e46116a951c0404500b22b6bf0f9e49.png"/><Relationship Id="rId16" Type="http://schemas.openxmlformats.org/officeDocument/2006/relationships/image" Target="media/86b696492212c82c54cdf7bd11eb896a76f3ba1d.png"/><Relationship Id="rId17" Type="http://schemas.openxmlformats.org/officeDocument/2006/relationships/image" Target="media/d85a50bce26b13e819a3e8b3be5e830966b9878d.png"/><Relationship Id="rId18" Type="http://schemas.openxmlformats.org/officeDocument/2006/relationships/image" Target="media/6b2eed335569e4023d73a2acfc049e4652246425.png"/><Relationship Id="rId19" Type="http://schemas.openxmlformats.org/officeDocument/2006/relationships/image" Target="media/b751e5b06298218cccf601c827455ddbf9db1cb0.png"/><Relationship Id="rId20" Type="http://schemas.openxmlformats.org/officeDocument/2006/relationships/image" Target="media/f02b00c085b2d4ece697f6140c793cd40dccd38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Authorization Framework for Multi-Party Patient Consent in Healthcare Data Sharing</dc:title>
  <dc:creator>Yasir Dhaifallah O Alyoubi</dc:creator>
  <cp:lastModifiedBy>Un-named</cp:lastModifiedBy>
  <cp:revision>1</cp:revision>
  <dcterms:created xsi:type="dcterms:W3CDTF">2026-09-24T20:44:13.105Z</dcterms:created>
  <dcterms:modified xsi:type="dcterms:W3CDTF">2026-09-24T20:44:13.105Z</dcterms:modified>
</cp:coreProperties>
</file>

<file path=docProps/custom.xml><?xml version="1.0" encoding="utf-8"?>
<Properties xmlns="http://schemas.openxmlformats.org/officeDocument/2006/custom-properties" xmlns:vt="http://schemas.openxmlformats.org/officeDocument/2006/docPropsVTypes"/>
</file>