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trike/>
          <w:color w:val="FF0000"/>
          <w:sz w:val="40"/>
          <w:szCs w:val="40"/>
        </w:rPr>
        <w:t xml:space="preserve">Authorization</w:t>
      </w:r>
      <w:r>
        <w:rPr>
          <w:rFonts w:ascii="Times New Roman" w:cs="Times New Roman" w:eastAsia="Times New Roman" w:hAnsi="Times New Roman"/>
          <w:b/>
          <w:bCs/>
          <w:color w:val="FF0000"/>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30</w:t>
      </w:r>
    </w:p>
    <w:p>
      <w:pPr>
        <w:tabs>
          <w:tab w:val="right" w:pos="9128" w:leader="dot"/>
        </w:tabs>
        <w:spacing w:after="100"/>
      </w:pPr>
      <w:r>
        <w:rPr>
          <w:rFonts w:ascii="Times New Roman" w:cs="Times New Roman" w:eastAsia="Times New Roman" w:hAnsi="Times New Roman"/>
          <w:sz w:val="22"/>
          <w:szCs w:val="22"/>
        </w:rPr>
        <w:t xml:space="preserve">7. The Proposed Solution for RO2	34</w:t>
      </w:r>
    </w:p>
    <w:p>
      <w:pPr>
        <w:tabs>
          <w:tab w:val="right" w:pos="9128" w:leader="dot"/>
        </w:tabs>
        <w:spacing w:after="100"/>
      </w:pPr>
      <w:r>
        <w:rPr>
          <w:rFonts w:ascii="Times New Roman" w:cs="Times New Roman" w:eastAsia="Times New Roman" w:hAnsi="Times New Roman"/>
          <w:sz w:val="22"/>
          <w:szCs w:val="22"/>
        </w:rPr>
        <w:t xml:space="preserve">8. The Proposed Solution for RO3	38</w:t>
      </w:r>
    </w:p>
    <w:p>
      <w:pPr>
        <w:tabs>
          <w:tab w:val="right" w:pos="9128" w:leader="dot"/>
        </w:tabs>
        <w:spacing w:after="100"/>
      </w:pPr>
      <w:r>
        <w:rPr>
          <w:rFonts w:ascii="Times New Roman" w:cs="Times New Roman" w:eastAsia="Times New Roman" w:hAnsi="Times New Roman"/>
          <w:sz w:val="22"/>
          <w:szCs w:val="22"/>
        </w:rPr>
        <w:t xml:space="preserve">9. The Proposed Solution for RO4	43</w:t>
      </w:r>
    </w:p>
    <w:p>
      <w:pPr>
        <w:tabs>
          <w:tab w:val="right" w:pos="9128" w:leader="dot"/>
        </w:tabs>
        <w:spacing w:after="100"/>
      </w:pPr>
      <w:r>
        <w:rPr>
          <w:rFonts w:ascii="Times New Roman" w:cs="Times New Roman" w:eastAsia="Times New Roman" w:hAnsi="Times New Roman"/>
          <w:sz w:val="22"/>
          <w:szCs w:val="22"/>
        </w:rPr>
        <w:t xml:space="preserve">10. The Proposed Solution for RO5	48</w:t>
      </w:r>
    </w:p>
    <w:p>
      <w:pPr>
        <w:tabs>
          <w:tab w:val="right" w:pos="9128" w:leader="dot"/>
        </w:tabs>
        <w:spacing w:after="100"/>
      </w:pPr>
      <w:r>
        <w:rPr>
          <w:rFonts w:ascii="Times New Roman" w:cs="Times New Roman" w:eastAsia="Times New Roman" w:hAnsi="Times New Roman"/>
          <w:sz w:val="22"/>
          <w:szCs w:val="22"/>
        </w:rPr>
        <w:t xml:space="preserve">11. The Proposed Solution for RO6	52</w:t>
      </w:r>
    </w:p>
    <w:p>
      <w:pPr>
        <w:tabs>
          <w:tab w:val="right" w:pos="9128" w:leader="dot"/>
        </w:tabs>
        <w:spacing w:after="100"/>
      </w:pPr>
      <w:r>
        <w:rPr>
          <w:rFonts w:ascii="Times New Roman" w:cs="Times New Roman" w:eastAsia="Times New Roman" w:hAnsi="Times New Roman"/>
          <w:sz w:val="22"/>
          <w:szCs w:val="22"/>
        </w:rPr>
        <w:t xml:space="preserve">12. Publications Summary	68</w:t>
      </w:r>
    </w:p>
    <w:p>
      <w:pPr>
        <w:tabs>
          <w:tab w:val="right" w:pos="9128" w:leader="dot"/>
        </w:tabs>
        <w:spacing w:after="100"/>
      </w:pPr>
      <w:r>
        <w:rPr>
          <w:rFonts w:ascii="Times New Roman" w:cs="Times New Roman" w:eastAsia="Times New Roman" w:hAnsi="Times New Roman"/>
          <w:sz w:val="22"/>
          <w:szCs w:val="22"/>
        </w:rPr>
        <w:t xml:space="preserve">13. Research Plan	69</w:t>
      </w:r>
    </w:p>
    <w:p>
      <w:pPr>
        <w:tabs>
          <w:tab w:val="right" w:pos="9128" w:leader="dot"/>
        </w:tabs>
        <w:spacing w:after="100"/>
      </w:pPr>
      <w:r>
        <w:rPr>
          <w:rFonts w:ascii="Times New Roman" w:cs="Times New Roman" w:eastAsia="Times New Roman" w:hAnsi="Times New Roman"/>
          <w:sz w:val="22"/>
          <w:szCs w:val="22"/>
        </w:rPr>
        <w:t xml:space="preserve">References	71</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trike/>
          <w:color w:val="FF0000"/>
          <w:sz w:val="22"/>
          <w:szCs w:val="22"/>
        </w:rPr>
        <w:t xml:space="preserve">The digitalisation of society has created an increasing demand for secure and trustworthy data sharing</w:t>
      </w:r>
      <w:r>
        <w:rPr>
          <w:rFonts w:ascii="Times New Roman" w:cs="Times New Roman" w:eastAsia="Times New Roman" w:hAnsi="Times New Roman"/>
          <w:color w:val="FF0000"/>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Although digital transformation creates significant opportunities for collaboration and service innovation, it also introduces a fundamental governance challenge</w:t>
      </w:r>
      <w:r>
        <w:rPr>
          <w:rFonts w:ascii="Times New Roman" w:cs="Times New Roman" w:eastAsia="Times New Roman" w:hAnsi="Times New Roman"/>
          <w:color w:val="FF0000"/>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trike/>
          <w:color w:val="FF0000"/>
          <w:sz w:val="22"/>
          <w:szCs w:val="22"/>
        </w:rPr>
        <w:t xml:space="preserve">Healthcare represents a particularly important and challenging example of this broader problem.</w:t>
      </w:r>
      <w:r>
        <w:rPr>
          <w:rFonts w:ascii="Times New Roman" w:cs="Times New Roman" w:eastAsia="Times New Roman" w:hAnsi="Times New Roman"/>
          <w:color w:val="FF0000"/>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scenarios demonstrate that authorisation is increasingly a distributed governance problem rather than simply a process of authenticating a user and checking a static permission</w:t>
      </w:r>
      <w:r>
        <w:rPr>
          <w:rFonts w:ascii="Times New Roman" w:cs="Times New Roman" w:eastAsia="Times New Roman" w:hAnsi="Times New Roman"/>
          <w:color w:val="FF0000"/>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trike/>
          <w:color w:val="FF0000"/>
          <w:sz w:val="22"/>
          <w:szCs w:val="22"/>
        </w:rPr>
        <w:t xml:space="preserve">This requires a transition from viewing consent as a static record of permission towards understanding consent as an active and evaluable component of a broader authorisation process</w:t>
      </w:r>
      <w:r>
        <w:rPr>
          <w:rFonts w:ascii="Times New Roman" w:cs="Times New Roman" w:eastAsia="Times New Roman" w:hAnsi="Times New Roman"/>
          <w:color w:val="FF0000"/>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color w:val="FF0000"/>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trike/>
          <w:color w:val="FF0000"/>
          <w:sz w:val="22"/>
          <w:szCs w:val="22"/>
        </w:rPr>
        <w:t xml:space="preserve">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color w:val="FF0000"/>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trike/>
          <w:color w:val="FF0000"/>
          <w:sz w:val="22"/>
          <w:szCs w:val="22"/>
        </w:rPr>
        <w:t xml:space="preserve">The objective of the review is not simply to identify technologies that can be applied to healthcare data sharing, but to examine</w:t>
      </w:r>
      <w:r>
        <w:rPr>
          <w:rFonts w:ascii="Times New Roman" w:cs="Times New Roman" w:eastAsia="Times New Roman" w:hAnsi="Times New Roman"/>
          <w:color w:val="FF0000"/>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trike/>
          <w:color w:val="FF0000"/>
          <w:sz w:val="22"/>
          <w:szCs w:val="22"/>
        </w:rPr>
        <w:t xml:space="preserve">This fragmentation creates an important distinction between the availability of security mechanisms and the ability to construct a unified and trustworthy authorisation decision.</w:t>
      </w:r>
      <w:r>
        <w:rPr>
          <w:rFonts w:ascii="Times New Roman" w:cs="Times New Roman" w:eastAsia="Times New Roman" w:hAnsi="Times New Roman"/>
          <w:color w:val="FF0000"/>
          <w:sz w:val="22"/>
          <w:szCs w:val="22"/>
        </w:rPr>
        <w:t xml:space="preserve">Having the security mechanisms is one thing</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trike/>
          <w:color w:val="FF0000"/>
          <w:sz w:val="22"/>
          <w:szCs w:val="22"/>
        </w:rPr>
        <w:t xml:space="preserve">Identity (DID)</w:t>
      </w:r>
      <w:r>
        <w:rPr>
          <w:rFonts w:ascii="Times New Roman" w:cs="Times New Roman" w:eastAsia="Times New Roman" w:hAnsi="Times New Roman"/>
          <w:color w:val="FF0000"/>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trike/>
          <w:color w:val="FF0000"/>
          <w:sz w:val="22"/>
          <w:szCs w:val="22"/>
        </w:rPr>
        <w:t xml:space="preserve">We screened, coded, and assessed every record,</w:t>
      </w:r>
      <w:r>
        <w:rPr>
          <w:rFonts w:ascii="Times New Roman" w:cs="Times New Roman" w:eastAsia="Times New Roman" w:hAnsi="Times New Roman"/>
          <w:color w:val="FF0000"/>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trike/>
          <w:color w:val="FF0000"/>
          <w:sz w:val="22"/>
          <w:szCs w:val="22"/>
        </w:rPr>
        <w:t xml:space="preserve">These questions were formulated to ensure that the review remained directly aligned with the technical objectives of the proposed system.</w:t>
      </w:r>
      <w:r>
        <w:rPr>
          <w:rFonts w:ascii="Times New Roman" w:cs="Times New Roman" w:eastAsia="Times New Roman" w:hAnsi="Times New Roman"/>
          <w:color w:val="FF0000"/>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trike/>
          <w:color w:val="FF0000"/>
          <w:sz w:val="22"/>
          <w:szCs w:val="22"/>
        </w:rPr>
        <w:t xml:space="preserve">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strike/>
          <w:color w:val="FF0000"/>
          <w:sz w:val="22"/>
          <w:szCs w:val="22"/>
        </w:rPr>
        <w:t xml:space="preserve">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color w:val="FF0000"/>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trike/>
          <w:color w:val="FF0000"/>
          <w:sz w:val="22"/>
          <w:szCs w:val="22"/>
        </w:rPr>
        <w:t xml:space="preserve">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Access control becomes more complex when policies must be connected directly to a decentralised consent process.</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trike/>
          <w:color w:val="FF0000"/>
          <w:sz w:val="22"/>
          <w:szCs w:val="22"/>
        </w:rPr>
        <w:t xml:space="preserve">Li et al. </w:t>
      </w:r>
      <w:r>
        <w:rPr>
          <w:rFonts w:ascii="Times New Roman" w:cs="Times New Roman" w:eastAsia="Times New Roman" w:hAnsi="Times New Roman"/>
          <w:strike/>
          <w:color w:val="FF0000"/>
          <w:sz w:val="22"/>
          <w:szCs w:val="22"/>
        </w:rPr>
        <w:t xml:space="preserve">(2026a)</w:t>
      </w:r>
      <w:r>
        <w:rPr>
          <w:rFonts w:ascii="Times New Roman" w:cs="Times New Roman" w:eastAsia="Times New Roman" w:hAnsi="Times New Roman"/>
          <w:strike/>
          <w:color w:val="FF0000"/>
          <w:sz w:val="22"/>
          <w:szCs w:val="22"/>
        </w:rPr>
        <w:t xml:space="preserve"> enforce time on a credential rather than on the consent.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trike/>
          <w:color w:val="FF0000"/>
          <w:sz w:val="22"/>
          <w:szCs w:val="22"/>
        </w:rPr>
        <w:t xml:space="preserve">three</w:t>
      </w:r>
      <w:r>
        <w:rPr>
          <w:rFonts w:ascii="Times New Roman" w:cs="Times New Roman" w:eastAsia="Times New Roman" w:hAnsi="Times New Roman"/>
          <w:color w:val="FF0000"/>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color w:val="FF0000"/>
          <w:sz w:val="22"/>
          <w:szCs w:val="22"/>
        </w:rPr>
        <w:t xml:space="preserve">, with Li et al. </w:t>
      </w:r>
      <w:r>
        <w:rPr>
          <w:rFonts w:ascii="Times New Roman" w:cs="Times New Roman" w:eastAsia="Times New Roman" w:hAnsi="Times New Roman"/>
          <w:color w:val="FF0000"/>
          <w:sz w:val="22"/>
          <w:szCs w:val="22"/>
        </w:rPr>
        <w:t xml:space="preserve">(2026a)</w:t>
      </w:r>
      <w:r>
        <w:rPr>
          <w:rFonts w:ascii="Times New Roman" w:cs="Times New Roman" w:eastAsia="Times New Roman" w:hAnsi="Times New Roman"/>
          <w:color w:val="FF0000"/>
          <w:sz w:val="22"/>
          <w:szCs w:val="22"/>
        </w:rPr>
        <w:t xml:space="preserve">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trike/>
          <w:color w:val="FF0000"/>
          <w:sz w:val="22"/>
          <w:szCs w:val="22"/>
        </w:rPr>
        <w:t xml:space="preserve">We observed an inverse relation between predicate breadth and assurance strength</w:t>
      </w:r>
      <w:r>
        <w:rPr>
          <w:rFonts w:ascii="Times New Roman" w:cs="Times New Roman" w:eastAsia="Times New Roman" w:hAnsi="Times New Roman"/>
          <w:color w:val="FF0000"/>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r>
        <w:rPr>
          <w:rFonts w:ascii="Times New Roman" w:cs="Times New Roman" w:eastAsia="Times New Roman" w:hAnsi="Times New Roman"/>
          <w:strike/>
          <w:color w:val="FF0000"/>
          <w:sz w:val="22"/>
          <w:szCs w:val="22"/>
        </w:rPr>
        <w:t xml:space="preserve"> Table 2.3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trike/>
          <w:color w:val="FF0000"/>
          <w:sz w:val="22"/>
          <w:szCs w:val="22"/>
        </w:rPr>
        <w:t xml:space="preserve">The reviewed literature demonstrates that existing approaches provide strong solutions for individual dimensions of trustworthy data sharing. These contributions address different layers of the security problem.</w:t>
      </w:r>
      <w:r>
        <w:rPr>
          <w:rFonts w:ascii="Times New Roman" w:cs="Times New Roman" w:eastAsia="Times New Roman" w:hAnsi="Times New Roman"/>
          <w:color w:val="FF0000"/>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r>
              <w:rPr>
                <w:rFonts w:ascii="Times New Roman" w:cs="Times New Roman" w:eastAsia="Times New Roman" w:hAnsi="Times New Roman"/>
                <w:b w:val="false"/>
                <w:bCs w:val="false"/>
                <w:color w:val="FF0000"/>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r>
              <w:rPr>
                <w:rFonts w:ascii="Times New Roman" w:cs="Times New Roman" w:eastAsia="Times New Roman" w:hAnsi="Times New Roman"/>
                <w:b w:val="false"/>
                <w:bCs w:val="false"/>
                <w:color w:val="FF0000"/>
                <w:sz w:val="17"/>
                <w:szCs w:val="17"/>
              </w:rPr>
              <w:t xml:space="preserve">b</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r>
              <w:rPr>
                <w:rFonts w:ascii="Times New Roman" w:cs="Times New Roman" w:eastAsia="Times New Roman" w:hAnsi="Times New Roman"/>
                <w:b w:val="false"/>
                <w:bCs w:val="false"/>
                <w:color w:val="FF0000"/>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w:t>
      </w:r>
      <w:r>
        <w:rPr>
          <w:rFonts w:ascii="Times New Roman" w:cs="Times New Roman" w:eastAsia="Times New Roman" w:hAnsi="Times New Roman"/>
          <w:color w:val="FF0000"/>
          <w:sz w:val="22"/>
          <w:szCs w:val="22"/>
        </w:rPr>
        <w:t xml:space="preserve">Madine et al. </w:t>
      </w:r>
      <w:r>
        <w:rPr>
          <w:rFonts w:ascii="Times New Roman" w:cs="Times New Roman" w:eastAsia="Times New Roman" w:hAnsi="Times New Roman"/>
          <w:color w:val="FF0000"/>
          <w:sz w:val="22"/>
          <w:szCs w:val="22"/>
        </w:rPr>
        <w:t xml:space="preserve">(2020)</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lacks</w:t>
      </w:r>
      <w:r>
        <w:rPr>
          <w:rFonts w:ascii="Times New Roman" w:cs="Times New Roman" w:eastAsia="Times New Roman" w:hAnsi="Times New Roman"/>
          <w:color w:val="FF0000"/>
          <w:sz w:val="22"/>
          <w:szCs w:val="22"/>
        </w:rPr>
        <w:t xml:space="preserve">lack full</w:t>
      </w:r>
      <w:r>
        <w:rPr>
          <w:rFonts w:ascii="Times New Roman" w:cs="Times New Roman" w:eastAsia="Times New Roman" w:hAnsi="Times New Roman"/>
          <w:sz w:val="22"/>
          <w:szCs w:val="22"/>
        </w:rPr>
        <w:t xml:space="preserve"> policy and assurance, whereas </w:t>
      </w:r>
      <w:r>
        <w:rPr>
          <w:rFonts w:ascii="Times New Roman" w:cs="Times New Roman" w:eastAsia="Times New Roman" w:hAnsi="Times New Roman"/>
          <w:color w:val="FF0000"/>
          <w:sz w:val="22"/>
          <w:szCs w:val="22"/>
        </w:rPr>
        <w:t xml:space="preserve">Panagoulias et al. </w:t>
      </w:r>
      <w:r>
        <w:rPr>
          <w:rFonts w:ascii="Times New Roman" w:cs="Times New Roman" w:eastAsia="Times New Roman" w:hAnsi="Times New Roman"/>
          <w:color w:val="FF0000"/>
          <w:sz w:val="22"/>
          <w:szCs w:val="22"/>
        </w:rPr>
        <w:t xml:space="preserve">(2026)</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lacks</w:t>
      </w:r>
      <w:r>
        <w:rPr>
          <w:rFonts w:ascii="Times New Roman" w:cs="Times New Roman" w:eastAsia="Times New Roman" w:hAnsi="Times New Roman"/>
          <w:color w:val="FF0000"/>
          <w:sz w:val="22"/>
          <w:szCs w:val="22"/>
        </w:rPr>
        <w:t xml:space="preserve">lack</w:t>
      </w:r>
      <w:r>
        <w:rPr>
          <w:rFonts w:ascii="Times New Roman" w:cs="Times New Roman" w:eastAsia="Times New Roman" w:hAnsi="Times New Roman"/>
          <w:sz w:val="22"/>
          <w:szCs w:val="22"/>
        </w:rPr>
        <w:t xml:space="preserve"> multi-party approval and </w:t>
      </w:r>
      <w:r>
        <w:rPr>
          <w:rFonts w:ascii="Times New Roman" w:cs="Times New Roman" w:eastAsia="Times New Roman" w:hAnsi="Times New Roman"/>
          <w:color w:val="FF0000"/>
          <w:sz w:val="22"/>
          <w:szCs w:val="22"/>
        </w:rPr>
        <w:t xml:space="preserve">full </w:t>
      </w:r>
      <w:r>
        <w:rPr>
          <w:rFonts w:ascii="Times New Roman" w:cs="Times New Roman" w:eastAsia="Times New Roman" w:hAnsi="Times New Roman"/>
          <w:sz w:val="22"/>
          <w:szCs w:val="22"/>
        </w:rPr>
        <w:t xml:space="preserve">identity depth.</w:t>
      </w:r>
    </w:p>
    <w:p>
      <w:pPr>
        <w:spacing w:after="110" w:line="264"/>
        <w:jc w:val="both"/>
      </w:pPr>
      <w:r>
        <w:rPr>
          <w:rFonts w:ascii="Times New Roman" w:cs="Times New Roman" w:eastAsia="Times New Roman" w:hAnsi="Times New Roman"/>
          <w:strike/>
          <w:color w:val="FF0000"/>
          <w:sz w:val="22"/>
          <w:szCs w:val="22"/>
        </w:rPr>
        <w:t xml:space="preserve">The comparison indicates that the principal contribution of the proposed research is not the replacement of existing technologies. Rather, it lies in establishing an explicit conceptual relationship among them.</w:t>
      </w:r>
      <w:r>
        <w:rPr>
          <w:rFonts w:ascii="Times New Roman" w:cs="Times New Roman" w:eastAsia="Times New Roman" w:hAnsi="Times New Roman"/>
          <w:color w:val="FF0000"/>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proportions match</w:t>
      </w:r>
      <w:r>
        <w:rPr>
          <w:rFonts w:ascii="Times New Roman" w:cs="Times New Roman" w:eastAsia="Times New Roman" w:hAnsi="Times New Roman"/>
          <w:color w:val="FF0000"/>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trike/>
          <w:color w:val="FF0000"/>
          <w:sz w:val="22"/>
          <w:szCs w:val="22"/>
        </w:rPr>
        <w:t xml:space="preserve">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4572000" cy="22955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955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trike/>
          <w:color w:val="FF0000"/>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w:t>
      </w:r>
      <w:r>
        <w:rPr>
          <w:rFonts w:ascii="Times New Roman" w:cs="Times New Roman" w:eastAsia="Times New Roman" w:hAnsi="Times New Roman"/>
          <w:color w:val="FF0000"/>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trike/>
          <w:color w:val="FF0000"/>
          <w:sz w:val="22"/>
          <w:szCs w:val="22"/>
        </w:rPr>
        <w:t xml:space="preserve">The central gap is therefore not the absence of technologies for recording consent, verifying identity, or restricting data access. Rather, it is the absence of a sufficiently integrated model</w:t>
      </w:r>
      <w:r>
        <w:rPr>
          <w:rFonts w:ascii="Times New Roman" w:cs="Times New Roman" w:eastAsia="Times New Roman" w:hAnsi="Times New Roman"/>
          <w:color w:val="FF0000"/>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trike/>
          <w:color w:val="FF0000"/>
          <w:sz w:val="22"/>
          <w:szCs w:val="22"/>
        </w:rPr>
        <w:t xml:space="preserve">Recording consent and enforcing trustworthy authorisation represent fundamentally different security problems.</w:t>
      </w:r>
      <w:r>
        <w:rPr>
          <w:rFonts w:ascii="Times New Roman" w:cs="Times New Roman" w:eastAsia="Times New Roman" w:hAnsi="Times New Roman"/>
          <w:color w:val="FF0000"/>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trike/>
          <w:color w:val="FF0000"/>
          <w:sz w:val="22"/>
          <w:szCs w:val="22"/>
        </w:rPr>
        <w:t xml:space="preserve">The research therefore conceptualises trust not as a static attribute possessed by a particular entity or technology, but as an emergent property of a verifiable authorisation process.</w:t>
      </w:r>
      <w:r>
        <w:rPr>
          <w:rFonts w:ascii="Times New Roman" w:cs="Times New Roman" w:eastAsia="Times New Roman" w:hAnsi="Times New Roman"/>
          <w:color w:val="FF0000"/>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trike/>
          <w:color w:val="FF0000"/>
          <w:sz w:val="22"/>
          <w:szCs w:val="22"/>
        </w:rPr>
        <w:t xml:space="preserve">Existing healthcare consent and access-control research provides many of the necessary technological building blocks, but there remains a need for an integrated Trust Computing framework</w:t>
      </w:r>
      <w:r>
        <w:rPr>
          <w:rFonts w:ascii="Times New Roman" w:cs="Times New Roman" w:eastAsia="Times New Roman" w:hAnsi="Times New Roman"/>
          <w:color w:val="FF0000"/>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trike/>
          <w:color w:val="FF0000"/>
          <w:sz w:val="22"/>
          <w:szCs w:val="22"/>
        </w:rPr>
        <w:t xml:space="preserve">The six questions collectively establish a progression from consent modelling to formal security assurance and empirical validation.</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trike/>
          <w:color w:val="FF0000"/>
          <w:sz w:val="22"/>
          <w:szCs w:val="22"/>
        </w:rPr>
        <w:t xml:space="preserve">in the remaining sections</w:t>
      </w:r>
      <w:r>
        <w:rPr>
          <w:rFonts w:ascii="Times New Roman" w:cs="Times New Roman" w:eastAsia="Times New Roman" w:hAnsi="Times New Roman"/>
          <w:color w:val="FF0000"/>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trike/>
          <w:color w:val="FF0000"/>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w:t>
      </w:r>
      <w:r>
        <w:rPr>
          <w:rFonts w:ascii="Times New Roman" w:cs="Times New Roman" w:eastAsia="Times New Roman" w:hAnsi="Times New Roman"/>
          <w:color w:val="FF0000"/>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color w:val="FF0000"/>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trike/>
          <w:color w:val="FF0000"/>
          <w:sz w:val="22"/>
          <w:szCs w:val="22"/>
        </w:rPr>
        <w:t xml:space="preserve">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color w:val="FF0000"/>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trike/>
          <w:color w:val="FF0000"/>
          <w:sz w:val="22"/>
          <w:szCs w:val="22"/>
        </w:rPr>
        <w:t xml:space="preserve">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FF0000"/>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trike/>
          <w:color w:val="FF0000"/>
          <w:sz w:val="22"/>
          <w:szCs w:val="22"/>
        </w:rPr>
        <w:t xml:space="preserve">However, the MVC architecture is not used merely as a conventional software engineering pattern for separating data, interfaces, and application logic. Within the proposed framework, MVC is extended to support a more fundamental separation</w:t>
      </w:r>
      <w:r>
        <w:rPr>
          <w:rFonts w:ascii="Times New Roman" w:cs="Times New Roman" w:eastAsia="Times New Roman" w:hAnsi="Times New Roman"/>
          <w:color w:val="FF0000"/>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trike/>
          <w:color w:val="FF0000"/>
          <w:sz w:val="22"/>
          <w:szCs w:val="22"/>
        </w:rPr>
        <w:t xml:space="preserve">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trike/>
          <w:color w:val="FF0000"/>
          <w:sz w:val="22"/>
          <w:szCs w:val="22"/>
        </w:rPr>
        <w:t xml:space="preserve">Instead, the authorisation decision must emerge from the coordinated evaluation of independently verifiable security conditions.</w:t>
      </w:r>
      <w:r>
        <w:rPr>
          <w:rFonts w:ascii="Times New Roman" w:cs="Times New Roman" w:eastAsia="Times New Roman" w:hAnsi="Times New Roman"/>
          <w:color w:val="FF0000"/>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w:t>
      </w:r>
      <w:r>
        <w:rPr>
          <w:rFonts w:ascii="Times New Roman" w:cs="Times New Roman" w:eastAsia="Times New Roman" w:hAnsi="Times New Roman"/>
          <w:strike/>
          <w:color w:val="FF0000"/>
          <w:sz w:val="22"/>
          <w:szCs w:val="22"/>
        </w:rPr>
        <w:t xml:space="preserve">performs the Sepolia mint and revoke transactions as a background process</w:t>
      </w:r>
      <w:r>
        <w:rPr>
          <w:rFonts w:ascii="Times New Roman" w:cs="Times New Roman" w:eastAsia="Times New Roman" w:hAnsi="Times New Roman"/>
          <w:color w:val="FF0000"/>
          <w:sz w:val="22"/>
          <w:szCs w:val="22"/>
        </w:rPr>
        <w:t xml:space="preserve">anchors the Sepolia mint as a background process. A revoke transaction is sent when the patient revokes a consent, and the patient view waits for its confirmation</w:t>
      </w:r>
      <w:r>
        <w:rPr>
          <w:rFonts w:ascii="Times New Roman" w:cs="Times New Roman" w:eastAsia="Times New Roman" w:hAnsi="Times New Roman"/>
          <w:sz w:val="22"/>
          <w:szCs w:val="22"/>
        </w:rPr>
        <w:t xml:space="preserve">.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trike/>
          <w:color w:val="FF0000"/>
          <w:sz w:val="22"/>
          <w:szCs w:val="22"/>
        </w:rPr>
        <w:t xml:space="preserve">This distinction is important for the interpretation of the architecture</w:t>
      </w:r>
      <w:r>
        <w:rPr>
          <w:rFonts w:ascii="Times New Roman" w:cs="Times New Roman" w:eastAsia="Times New Roman" w:hAnsi="Times New Roman"/>
          <w:color w:val="FF0000"/>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w:t>
      </w:r>
      <w:r>
        <w:rPr>
          <w:rFonts w:ascii="Times New Roman" w:cs="Times New Roman" w:eastAsia="Times New Roman" w:hAnsi="Times New Roman"/>
          <w:color w:val="FF0000"/>
          <w:sz w:val="22"/>
          <w:szCs w:val="22"/>
        </w:rPr>
        <w:t xml:space="preserve">Figure 5.4 puts the same conditions in the order a request meets them. A DID answers who is asking, a verifiable credential and a signed approval answer what that participant may do, the threshold answers whether the guardians agreed, and the policy, temporal and jurisdictional checks with the zero-knowledge proof answer whether the consent is still valid for this request. The figure also states, gate by gate, what the current prototype checks, so the reader can see where the design and the prototype differ before the detailed sections.</w:t>
      </w:r>
    </w:p>
    <w:p>
      <w:pPr>
        <w:keepNext/>
        <w:spacing w:after="60" w:before="160"/>
        <w:jc w:val="center"/>
      </w:pPr>
      <w:r>
        <w:drawing>
          <wp:inline distT="0" distB="0" distL="0" distR="0">
            <wp:extent cx="5715000" cy="4752975"/>
            <wp:effectExtent t="0" r="0" b="0" l="0"/>
            <wp:docPr id="1" name="F44.png" descr="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the prototype records the decision matrix in the audit ledger only for a request evaluated against an ACTIVE consent" titl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the prototype records the decision matrix in the audit ledger only for a request evaluated against an ACTIVE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7529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color w:val="FF0000"/>
          <w:sz w:val="18"/>
          <w:szCs w:val="18"/>
        </w:rPr>
        <w:t xml:space="preserv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w:t>
      </w:r>
      <w:r>
        <w:rPr>
          <w:rFonts w:ascii="Times New Roman" w:cs="Times New Roman" w:eastAsia="Times New Roman" w:hAnsi="Times New Roman"/>
          <w:color w:val="FF0000"/>
          <w:sz w:val="18"/>
          <w:szCs w:val="18"/>
        </w:rPr>
        <w:t xml:space="preserve">;</w:t>
      </w:r>
      <w:r>
        <w:rPr>
          <w:rFonts w:ascii="Times New Roman" w:cs="Times New Roman" w:eastAsia="Times New Roman" w:hAnsi="Times New Roman"/>
          <w:color w:val="FF0000"/>
          <w:sz w:val="18"/>
          <w:szCs w:val="18"/>
        </w:rPr>
        <w:t xml:space="preserve"> the prototype records the decision matrix in the audit ledger only for a request evaluated against an ACTIVE consent</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trike/>
          <w:color w:val="FF0000"/>
          <w:sz w:val="22"/>
          <w:szCs w:val="22"/>
        </w:rPr>
        <w:t xml:space="preserve">Importantly, the framework explicitly separates identity authentication from authorisation.</w:t>
      </w:r>
      <w:r>
        <w:rPr>
          <w:rFonts w:ascii="Times New Roman" w:cs="Times New Roman" w:eastAsia="Times New Roman" w:hAnsi="Times New Roman"/>
          <w:color w:val="FF0000"/>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trike/>
          <w:color w:val="FF0000"/>
          <w:sz w:val="22"/>
          <w:szCs w:val="22"/>
        </w:rPr>
        <w:t xml:space="preserve">their</w:t>
      </w:r>
      <w:r>
        <w:rPr>
          <w:rFonts w:ascii="Times New Roman" w:cs="Times New Roman" w:eastAsia="Times New Roman" w:hAnsi="Times New Roman"/>
          <w:color w:val="FF0000"/>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trike/>
          <w:color w:val="FF0000"/>
          <w:sz w:val="22"/>
          <w:szCs w:val="22"/>
        </w:rPr>
        <w:t xml:space="preserve">successfully verified approvals</w:t>
      </w:r>
      <w:r>
        <w:rPr>
          <w:rFonts w:ascii="Times New Roman" w:cs="Times New Roman" w:eastAsia="Times New Roman" w:hAnsi="Times New Roman"/>
          <w:color w:val="FF0000"/>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5.5: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trike/>
          <w:color w:val="FF0000"/>
          <w:sz w:val="22"/>
          <w:szCs w:val="22"/>
        </w:rPr>
        <w:t xml:space="preserve">authorisation evidence set</w:t>
      </w:r>
      <w:r>
        <w:rPr>
          <w:rFonts w:ascii="Times New Roman" w:cs="Times New Roman" w:eastAsia="Times New Roman" w:hAnsi="Times New Roman"/>
          <w:color w:val="FF0000"/>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trike/>
          <w:color w:val="FF0000"/>
          <w:sz w:val="18"/>
          <w:szCs w:val="18"/>
        </w:rPr>
        <w:t xml:space="preserve">a</w:t>
      </w:r>
      <w:r>
        <w:rPr>
          <w:rFonts w:ascii="Cambria Math" w:cs="Cambria Math" w:eastAsia="Cambria Math" w:hAnsi="Cambria Math"/>
          <w:i w:val="false"/>
          <w:iCs w:val="false"/>
          <w:strike/>
          <w:color w:val="FF0000"/>
          <w:sz w:val="18"/>
          <w:szCs w:val="18"/>
          <w:vertAlign w:val="subscript"/>
        </w:rPr>
        <w:t xml:space="preserve">i</w:t>
      </w:r>
      <w:r>
        <w:rPr>
          <w:rFonts w:ascii="Cambria Math" w:cs="Cambria Math" w:eastAsia="Cambria Math" w:hAnsi="Cambria Math"/>
          <w:i w:val="false"/>
          <w:iCs w:val="false"/>
          <w:color w:val="FF0000"/>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trike/>
          <w:color w:val="FF0000"/>
          <w:sz w:val="22"/>
          <w:szCs w:val="22"/>
        </w:rPr>
        <w:t xml:space="preserve">The flow continues</w:t>
      </w:r>
      <w:r>
        <w:rPr>
          <w:rFonts w:ascii="Times New Roman" w:cs="Times New Roman" w:eastAsia="Times New Roman" w:hAnsi="Times New Roman"/>
          <w:color w:val="FF0000"/>
          <w:sz w:val="22"/>
          <w:szCs w:val="22"/>
        </w:rPr>
        <w:t xml:space="preserve">Beyond the access decision shown in Figure 5.5,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trike/>
          <w:color w:val="FF0000"/>
          <w:sz w:val="22"/>
          <w:szCs w:val="22"/>
        </w:rPr>
        <w:t xml:space="preserve">This step addresses an important limitation of identity-based and approval-based access control:</w:t>
      </w:r>
      <w:r>
        <w:rPr>
          <w:rFonts w:ascii="Times New Roman" w:cs="Times New Roman" w:eastAsia="Times New Roman" w:hAnsi="Times New Roman"/>
          <w:color w:val="FF0000"/>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trike/>
          <w:color w:val="FF0000"/>
          <w:sz w:val="22"/>
          <w:szCs w:val="22"/>
        </w:rPr>
        <w:t xml:space="preserve">Similarly, the requested purpose must be consistent with the purpose specified in the consent.</w:t>
      </w:r>
      <w:r>
        <w:rPr>
          <w:rFonts w:ascii="Times New Roman" w:cs="Times New Roman" w:eastAsia="Times New Roman" w:hAnsi="Times New Roman"/>
          <w:color w:val="FF0000"/>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and V</w:t>
      </w:r>
      <w:r>
        <w:rPr>
          <w:rFonts w:ascii="Times New Roman" w:cs="Times New Roman" w:eastAsia="Times New Roman" w:hAnsi="Times New Roman"/>
          <w:strike/>
          <w:color w:val="FF0000"/>
          <w:sz w:val="22"/>
          <w:szCs w:val="22"/>
          <w:vertAlign w:val="subscript"/>
        </w:rPr>
        <w:t xml:space="preserve">L</w:t>
      </w:r>
      <w:r>
        <w:rPr>
          <w:rFonts w:ascii="Times New Roman" w:cs="Times New Roman" w:eastAsia="Times New Roman" w:hAnsi="Times New Roman"/>
          <w:strike/>
          <w:color w:val="FF0000"/>
          <w:sz w:val="22"/>
          <w:szCs w:val="22"/>
        </w:rPr>
        <w:t xml:space="preserve"> are</w:t>
      </w:r>
      <w:r>
        <w:rPr>
          <w:rFonts w:ascii="Times New Roman" w:cs="Times New Roman" w:eastAsia="Times New Roman" w:hAnsi="Times New Roman"/>
          <w:color w:val="FF0000"/>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color w:val="FF0000"/>
          <w:sz w:val="22"/>
          <w:szCs w:val="22"/>
        </w:rPr>
        <w:t xml:space="preserve">, and the jurisdiction condition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trike/>
                <w:color w:val="FF0000"/>
                <w:sz w:val="17"/>
                <w:szCs w:val="17"/>
              </w:rPr>
              <w:t xml:space="preserve">evaluates</w:t>
            </w:r>
            <w:r>
              <w:rPr>
                <w:rFonts w:ascii="Times New Roman" w:cs="Times New Roman" w:eastAsia="Times New Roman" w:hAnsi="Times New Roman"/>
                <w:b w:val="false"/>
                <w:bCs w:val="false"/>
                <w:color w:val="FF0000"/>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trike/>
          <w:color w:val="FF0000"/>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color w:val="FF0000"/>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FF0000"/>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trike/>
          <w:color w:val="FF0000"/>
          <w:sz w:val="22"/>
          <w:szCs w:val="22"/>
        </w:rPr>
        <w:t xml:space="preserve">The resulting object therefore captures not only the patient's preference but also the evidence required to support subsequent authorisation decisions.</w:t>
      </w:r>
      <w:r>
        <w:rPr>
          <w:rFonts w:ascii="Times New Roman" w:cs="Times New Roman" w:eastAsia="Times New Roman" w:hAnsi="Times New Roman"/>
          <w:color w:val="FF0000"/>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trike/>
          <w:color w:val="FF0000"/>
          <w:sz w:val="22"/>
          <w:szCs w:val="22"/>
        </w:rPr>
        <w:t xml:space="preserve">contain at least one guardian with a well-formed DID</w:t>
      </w:r>
      <w:r>
        <w:rPr>
          <w:rFonts w:ascii="Times New Roman" w:cs="Times New Roman" w:eastAsia="Times New Roman" w:hAnsi="Times New Roman"/>
          <w:color w:val="FF0000"/>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trike/>
          <w:color w:val="FF0000"/>
          <w:sz w:val="22"/>
          <w:szCs w:val="22"/>
        </w:rPr>
        <w:t xml:space="preserve">requested</w:t>
      </w:r>
      <w:r>
        <w:rPr>
          <w:rFonts w:ascii="Times New Roman" w:cs="Times New Roman" w:eastAsia="Times New Roman" w:hAnsi="Times New Roman"/>
          <w:color w:val="FF0000"/>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trike/>
          <w:color w:val="FF0000"/>
          <w:sz w:val="22"/>
          <w:szCs w:val="22"/>
        </w:rPr>
        <w:t xml:space="preserve">This sequence ensures that consent is created only after the relevant identity, authority, purpose, scope, and temporal constraints have been validated.</w:t>
      </w:r>
      <w:r>
        <w:rPr>
          <w:rFonts w:ascii="Times New Roman" w:cs="Times New Roman" w:eastAsia="Times New Roman" w:hAnsi="Times New Roman"/>
          <w:color w:val="FF0000"/>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trike/>
          <w:color w:val="FF0000"/>
          <w:sz w:val="22"/>
          <w:szCs w:val="22"/>
        </w:rPr>
        <w:t xml:space="preserve">This distinction is important because the research treats consent as a structured policy-bound object rather than as a simple Boolean permission.</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trike/>
          <w:color w:val="FF0000"/>
          <w:sz w:val="22"/>
          <w:szCs w:val="22"/>
        </w:rPr>
        <w:t xml:space="preserve">The main contribution of RO1 is the transformation of consent from a static permission record into a structured authorisation object. The current result demonstrates that consent can be represented as an evaluable authorisation object rather than as a binary permission.</w:t>
      </w:r>
      <w:r>
        <w:rPr>
          <w:rFonts w:ascii="Times New Roman" w:cs="Times New Roman" w:eastAsia="Times New Roman" w:hAnsi="Times New Roman"/>
          <w:color w:val="FF0000"/>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color w:val="FF0000"/>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FF0000"/>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color w:val="FF0000"/>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trike/>
          <w:color w:val="FF0000"/>
          <w:sz w:val="22"/>
          <w:szCs w:val="22"/>
        </w:rPr>
        <w:t xml:space="preserve">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trike/>
          <w:color w:val="FF0000"/>
          <w:sz w:val="22"/>
          <w:szCs w:val="22"/>
        </w:rPr>
        <w:t xml:space="preserve">This mechanism contributes to the trust-oriented framework by converting identity and authority claims into verifiable evidence.</w:t>
      </w:r>
      <w:r>
        <w:rPr>
          <w:rFonts w:ascii="Times New Roman" w:cs="Times New Roman" w:eastAsia="Times New Roman" w:hAnsi="Times New Roman"/>
          <w:color w:val="FF0000"/>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color w:val="FF0000"/>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color w:val="FF0000"/>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trike/>
          <w:color w:val="FF0000"/>
          <w:sz w:val="22"/>
          <w:szCs w:val="22"/>
        </w:rPr>
        <w:t xml:space="preserve">authorisation participants</w:t>
      </w:r>
      <w:r>
        <w:rPr>
          <w:rFonts w:ascii="Times New Roman" w:cs="Times New Roman" w:eastAsia="Times New Roman" w:hAnsi="Times New Roman"/>
          <w:color w:val="FF0000"/>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trike/>
          <w:color w:val="FF0000"/>
          <w:sz w:val="22"/>
          <w:szCs w:val="22"/>
        </w:rPr>
        <w:t xml:space="preserve">Decentralised identity systems with multi-party verification have demonstrated the potential to strengthen the process through which identity claims are established or validated</w:t>
      </w:r>
      <w:r>
        <w:rPr>
          <w:rFonts w:ascii="Times New Roman" w:cs="Times New Roman" w:eastAsia="Times New Roman" w:hAnsi="Times New Roman"/>
          <w:color w:val="FF0000"/>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w:t>
      </w:r>
      <w:r>
        <w:rPr>
          <w:rFonts w:ascii="Times New Roman" w:cs="Times New Roman" w:eastAsia="Times New Roman" w:hAnsi="Times New Roman"/>
          <w:strike/>
          <w:color w:val="FF0000"/>
          <w:sz w:val="22"/>
          <w:szCs w:val="22"/>
        </w:rPr>
        <w:t xml:space="preserve">Guardian workflow verifies the guardian VC, appends the guardian DID to the consent signatures, and displays the current approval count relative to the threshold.</w:t>
      </w:r>
      <w:r>
        <w:rPr>
          <w:rFonts w:ascii="Times New Roman" w:cs="Times New Roman" w:eastAsia="Times New Roman" w:hAnsi="Times New Roman"/>
          <w:color w:val="FF0000"/>
          <w:sz w:val="22"/>
          <w:szCs w:val="22"/>
        </w:rPr>
        <w:t xml:space="preserve">guardian workflow checks the EIP-712 signature and the DID format, which stands in for VC verification in the prototype. It then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trike/>
          <w:color w:val="FF0000"/>
          <w:sz w:val="22"/>
          <w:szCs w:val="22"/>
        </w:rPr>
        <w:t xml:space="preserve">included in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according to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color w:val="FF0000"/>
          <w:sz w:val="22"/>
          <w:szCs w:val="22"/>
        </w:rPr>
        <w:t xml:space="preserve">counted, and their guardian g is added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according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trike/>
          <w:color w:val="FF0000"/>
          <w:sz w:val="19"/>
          <w:szCs w:val="19"/>
        </w:rPr>
        <w:t xml:space="preserve">approval</w:t>
      </w:r>
      <w:r>
        <w:rPr>
          <w:rFonts w:ascii="Times New Roman" w:cs="Times New Roman" w:eastAsia="Times New Roman" w:hAnsi="Times New Roman"/>
          <w:color w:val="FF0000"/>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trike/>
          <w:color w:val="FF0000"/>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color w:val="FF0000"/>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color w:val="FF0000"/>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color w:val="FF0000"/>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color w:val="FF0000"/>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color w:val="FF0000"/>
          <w:sz w:val="22"/>
          <w:szCs w:val="22"/>
        </w:rPr>
        <w:t xml:space="preserve">, where the jurisdiction predicate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trike/>
          <w:color w:val="FF0000"/>
          <w:sz w:val="22"/>
          <w:szCs w:val="22"/>
        </w:rPr>
        <w:t xml:space="preserve">Importantly, both successful and denied decisions should be recorded because a trustworthy authorisation framework requires accountability not only for data that were released but also for access attempts that were rejected.</w:t>
      </w:r>
      <w:r>
        <w:rPr>
          <w:rFonts w:ascii="Times New Roman" w:cs="Times New Roman" w:eastAsia="Times New Roman" w:hAnsi="Times New Roman"/>
          <w:color w:val="FF0000"/>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trike/>
          <w:color w:val="FF0000"/>
          <w:sz w:val="22"/>
          <w:szCs w:val="22"/>
        </w:rPr>
        <w:t xml:space="preserve">requested purpose</w:t>
      </w:r>
      <w:r>
        <w:rPr>
          <w:rFonts w:ascii="Times New Roman" w:cs="Times New Roman" w:eastAsia="Times New Roman" w:hAnsi="Times New Roman"/>
          <w:color w:val="FF0000"/>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color w:val="FF0000"/>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trike/>
          <w:color w:val="FF0000"/>
          <w:sz w:val="21"/>
          <w:szCs w:val="21"/>
        </w:rPr>
        <w:t xml:space="preserve">,</w:t>
      </w:r>
      <w:r>
        <w:rPr>
          <w:rFonts w:ascii="Cambria Math" w:cs="Cambria Math" w:eastAsia="Cambria Math" w:hAnsi="Cambria Math"/>
          <w:i w:val="false"/>
          <w:iCs w:val="false"/>
          <w:color w:val="FF0000"/>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trike/>
          <w:color w:val="FF0000"/>
          <w:sz w:val="22"/>
          <w:szCs w:val="22"/>
        </w:rPr>
        <w:t xml:space="preserve">This step is particularly important for fine-grained healthcare data access because authorisation to access one category of healthcare information does not imply authorisation to access all categories</w:t>
      </w:r>
      <w:r>
        <w:rPr>
          <w:rFonts w:ascii="Times New Roman" w:cs="Times New Roman" w:eastAsia="Times New Roman" w:hAnsi="Times New Roman"/>
          <w:color w:val="FF0000"/>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trike/>
          <w:color w:val="FF0000"/>
          <w:sz w:val="22"/>
          <w:szCs w:val="22"/>
        </w:rPr>
        <w:t xml:space="preserve">The exception is a consent that is not ACTIVE, whose refusal is reported only in the doctor interface in the prototype.</w:t>
      </w:r>
      <w:r>
        <w:rPr>
          <w:rFonts w:ascii="Times New Roman" w:cs="Times New Roman" w:eastAsia="Times New Roman" w:hAnsi="Times New Roman"/>
          <w:color w:val="FF000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trike/>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color w:val="FF0000"/>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trike/>
          <w:color w:val="FF0000"/>
          <w:sz w:val="19"/>
          <w:szCs w:val="19"/>
        </w:rPr>
        <w:t xml:space="preserve">, and record proof_mode = groth16</w:t>
      </w:r>
      <w:r>
        <w:rPr>
          <w:rFonts w:ascii="Times New Roman" w:cs="Times New Roman" w:eastAsia="Times New Roman" w:hAnsi="Times New Roman"/>
          <w:color w:val="FF0000"/>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color w:val="FF0000"/>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trike/>
          <w:color w:val="FF0000"/>
          <w:sz w:val="22"/>
          <w:szCs w:val="22"/>
        </w:rPr>
        <w:t xml:space="preserve">This ordering is important because it prevents the system from treating identity validity or collective approval as unrestricted permission.</w:t>
      </w:r>
      <w:r>
        <w:rPr>
          <w:rFonts w:ascii="Times New Roman" w:cs="Times New Roman" w:eastAsia="Times New Roman" w:hAnsi="Times New Roman"/>
          <w:color w:val="FF0000"/>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trike/>
          <w:color w:val="FF0000"/>
          <w:sz w:val="22"/>
          <w:szCs w:val="22"/>
        </w:rPr>
        <w:t xml:space="preserve">generates and verifies</w:t>
      </w:r>
      <w:r>
        <w:rPr>
          <w:rFonts w:ascii="Times New Roman" w:cs="Times New Roman" w:eastAsia="Times New Roman" w:hAnsi="Times New Roman"/>
          <w:color w:val="FF0000"/>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trike/>
          <w:color w:val="FF0000"/>
          <w:sz w:val="22"/>
          <w:szCs w:val="22"/>
        </w:rPr>
        <w:t xml:space="preserve"> as</w:t>
      </w:r>
      <w:r>
        <w:rPr>
          <w:rFonts w:ascii="Times New Roman" w:cs="Times New Roman" w:eastAsia="Times New Roman" w:hAnsi="Times New Roman"/>
          <w:color w:val="FF0000"/>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color w:val="FF0000"/>
          <w:sz w:val="22"/>
          <w:szCs w:val="22"/>
        </w:rPr>
        <w:t xml:space="preserve"> that has verified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color w:val="FF0000"/>
          <w:sz w:val="22"/>
          <w:szCs w:val="22"/>
        </w:rPr>
        <w:t xml:space="preserve"> The circuit is written in circom </w:t>
      </w:r>
      <w:r>
        <w:rPr>
          <w:rFonts w:ascii="Times New Roman" w:cs="Times New Roman" w:eastAsia="Times New Roman" w:hAnsi="Times New Roman"/>
          <w:color w:val="FF0000"/>
          <w:sz w:val="22"/>
          <w:szCs w:val="22"/>
        </w:rPr>
        <w:t xml:space="preserve">(iden3 2026b)</w:t>
      </w:r>
      <w:r>
        <w:rPr>
          <w:rFonts w:ascii="Times New Roman" w:cs="Times New Roman" w:eastAsia="Times New Roman" w:hAnsi="Times New Roman"/>
          <w:color w:val="FF0000"/>
          <w:sz w:val="22"/>
          <w:szCs w:val="22"/>
        </w:rPr>
        <w:t xml:space="preserve">, and the proof is generated and verified with snarkjs </w:t>
      </w:r>
      <w:r>
        <w:rPr>
          <w:rFonts w:ascii="Times New Roman" w:cs="Times New Roman" w:eastAsia="Times New Roman" w:hAnsi="Times New Roman"/>
          <w:color w:val="FF0000"/>
          <w:sz w:val="22"/>
          <w:szCs w:val="22"/>
        </w:rPr>
        <w:t xml:space="preserve">(iden3 2026a)</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trike/>
          <w:color w:val="FF0000"/>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trike/>
          <w:color w:val="FF0000"/>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FF0000"/>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color w:val="FF0000"/>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color w:val="FF0000"/>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trike/>
          <w:color w:val="FF0000"/>
          <w:sz w:val="26"/>
          <w:szCs w:val="26"/>
        </w:rPr>
        <w:t xml:space="preserve">and Jurisdictional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trike/>
          <w:color w:val="FF0000"/>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r>
        <w:rPr>
          <w:rFonts w:ascii="Times New Roman" w:cs="Times New Roman" w:eastAsia="Times New Roman" w:hAnsi="Times New Roman"/>
          <w:strike/>
          <w:color w:val="FF0000"/>
          <w:sz w:val="22"/>
          <w:szCs w:val="22"/>
        </w:rPr>
        <w:t xml:space="preserve">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trike/>
          <w:color w:val="FF0000"/>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w:t>
      </w:r>
      <w:r>
        <w:rPr>
          <w:rFonts w:ascii="Times New Roman" w:cs="Times New Roman" w:eastAsia="Times New Roman" w:hAnsi="Times New Roman"/>
          <w:color w:val="FF0000"/>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color w:val="FF0000"/>
          <w:sz w:val="22"/>
          <w:szCs w:val="22"/>
        </w:rPr>
        <w:t xml:space="preserve"> PENDING_TOKEN is the brief state between the last verified approval and the recording of the local token identifier</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w:t>
      </w:r>
      <w:r>
        <w:rPr>
          <w:rFonts w:ascii="Times New Roman" w:cs="Times New Roman" w:eastAsia="Times New Roman" w:hAnsi="Times New Roman"/>
          <w:color w:val="FF0000"/>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trike/>
          <w:color w:val="FF0000"/>
          <w:sz w:val="22"/>
          <w:szCs w:val="22"/>
        </w:rPr>
        <w:t xml:space="preserve">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FF0000"/>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trike/>
          <w:color w:val="FF0000"/>
          <w:sz w:val="22"/>
          <w:szCs w:val="22"/>
        </w:rPr>
        <w:t xml:space="preserve">records</w:t>
      </w:r>
      <w:r>
        <w:rPr>
          <w:rFonts w:ascii="Times New Roman" w:cs="Times New Roman" w:eastAsia="Times New Roman" w:hAnsi="Times New Roman"/>
          <w:color w:val="FF0000"/>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trike/>
          <w:color w:val="FF0000"/>
          <w:sz w:val="22"/>
          <w:szCs w:val="22"/>
        </w:rPr>
        <w:t xml:space="preserve">returns</w:t>
      </w:r>
      <w:r>
        <w:rPr>
          <w:rFonts w:ascii="Times New Roman" w:cs="Times New Roman" w:eastAsia="Times New Roman" w:hAnsi="Times New Roman"/>
          <w:color w:val="FF0000"/>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trike/>
          <w:color w:val="FF0000"/>
          <w:sz w:val="22"/>
          <w:szCs w:val="22"/>
        </w:rPr>
        <w:t xml:space="preserve">is the only step not yet implemented.</w:t>
      </w:r>
      <w:r>
        <w:rPr>
          <w:rFonts w:ascii="Times New Roman" w:cs="Times New Roman" w:eastAsia="Times New Roman" w:hAnsi="Times New Roman"/>
          <w:color w:val="FF0000"/>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It therefore ensures</w:t>
      </w:r>
      <w:r>
        <w:rPr>
          <w:rFonts w:ascii="Times New Roman" w:cs="Times New Roman" w:eastAsia="Times New Roman" w:hAnsi="Times New Roman"/>
          <w:color w:val="FF0000"/>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trike/>
          <w:color w:val="FF0000"/>
          <w:sz w:val="22"/>
          <w:szCs w:val="22"/>
        </w:rPr>
        <w:t xml:space="preserve">This work will be a major part of the next stage.</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color w:val="FF0000"/>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trike/>
          <w:color w:val="FF0000"/>
          <w:sz w:val="22"/>
          <w:szCs w:val="22"/>
        </w:rPr>
        <w:t xml:space="preserve">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trike/>
          <w:color w:val="FF0000"/>
          <w:sz w:val="22"/>
          <w:szCs w:val="22"/>
        </w:rPr>
        <w:t xml:space="preserve">This procedure establishes a distinction between functional correctness and security correctness.</w:t>
      </w:r>
      <w:r>
        <w:rPr>
          <w:rFonts w:ascii="Times New Roman" w:cs="Times New Roman" w:eastAsia="Times New Roman" w:hAnsi="Times New Roman"/>
          <w:color w:val="FF0000"/>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trike/>
          <w:color w:val="FF0000"/>
          <w:sz w:val="22"/>
          <w:szCs w:val="22"/>
        </w:rPr>
        <w:t xml:space="preserve">predicate of Section 10</w:t>
      </w:r>
      <w:r>
        <w:rPr>
          <w:rFonts w:ascii="Times New Roman" w:cs="Times New Roman" w:eastAsia="Times New Roman" w:hAnsi="Times New Roman"/>
          <w:color w:val="FF0000"/>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w:t>
      </w:r>
      <w:r>
        <w:rPr>
          <w:rFonts w:ascii="Times New Roman" w:cs="Times New Roman" w:eastAsia="Times New Roman" w:hAnsi="Times New Roman"/>
          <w:strike/>
          <w:color w:val="FF0000"/>
          <w:sz w:val="22"/>
          <w:szCs w:val="22"/>
        </w:rPr>
        <w:t xml:space="preserve">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r>
        <w:rPr>
          <w:rFonts w:ascii="Times New Roman" w:cs="Times New Roman" w:eastAsia="Times New Roman" w:hAnsi="Times New Roman"/>
          <w:color w:val="FF0000"/>
          <w:sz w:val="22"/>
          <w:szCs w:val="22"/>
        </w:rPr>
        <w:t xml:space="preserve">Its 23 functional and regression tests check that each of the five conditions can refuse a request on its own: an invalid guardian signature (V</w:t>
      </w:r>
      <w:r>
        <w:rPr>
          <w:rFonts w:ascii="Times New Roman" w:cs="Times New Roman" w:eastAsia="Times New Roman" w:hAnsi="Times New Roman"/>
          <w:color w:val="FF0000"/>
          <w:sz w:val="22"/>
          <w:szCs w:val="22"/>
          <w:vertAlign w:val="subscript"/>
        </w:rPr>
        <w:t xml:space="preserve">I</w:t>
      </w:r>
      <w:r>
        <w:rPr>
          <w:rFonts w:ascii="Times New Roman" w:cs="Times New Roman" w:eastAsia="Times New Roman" w:hAnsi="Times New Roman"/>
          <w:color w:val="FF0000"/>
          <w:sz w:val="22"/>
          <w:szCs w:val="22"/>
        </w:rPr>
        <w:t xml:space="preserve">), a revoked consent (V</w:t>
      </w:r>
      <w:r>
        <w:rPr>
          <w:rFonts w:ascii="Times New Roman" w:cs="Times New Roman" w:eastAsia="Times New Roman" w:hAnsi="Times New Roman"/>
          <w:color w:val="FF0000"/>
          <w:sz w:val="22"/>
          <w:szCs w:val="22"/>
          <w:vertAlign w:val="subscript"/>
        </w:rPr>
        <w:t xml:space="preserve">A</w:t>
      </w:r>
      <w:r>
        <w:rPr>
          <w:rFonts w:ascii="Times New Roman" w:cs="Times New Roman" w:eastAsia="Times New Roman" w:hAnsi="Times New Roman"/>
          <w:color w:val="FF0000"/>
          <w:sz w:val="22"/>
          <w:szCs w:val="22"/>
        </w:rPr>
        <w:t xml:space="preserve">), a purpose that is not a supported healthcare use (V</w:t>
      </w:r>
      <w:r>
        <w:rPr>
          <w:rFonts w:ascii="Times New Roman" w:cs="Times New Roman" w:eastAsia="Times New Roman" w:hAnsi="Times New Roman"/>
          <w:color w:val="FF0000"/>
          <w:sz w:val="22"/>
          <w:szCs w:val="22"/>
          <w:vertAlign w:val="subscript"/>
        </w:rPr>
        <w:t xml:space="preserve">P</w:t>
      </w:r>
      <w:r>
        <w:rPr>
          <w:rFonts w:ascii="Times New Roman" w:cs="Times New Roman" w:eastAsia="Times New Roman" w:hAnsi="Times New Roman"/>
          <w:color w:val="FF0000"/>
          <w:sz w:val="22"/>
          <w:szCs w:val="22"/>
        </w:rPr>
        <w:t xml:space="preserve">), an expired consent (V</w:t>
      </w:r>
      <w:r>
        <w:rPr>
          <w:rFonts w:ascii="Times New Roman" w:cs="Times New Roman" w:eastAsia="Times New Roman" w:hAnsi="Times New Roman"/>
          <w:color w:val="FF0000"/>
          <w:sz w:val="22"/>
          <w:szCs w:val="22"/>
          <w:vertAlign w:val="subscript"/>
        </w:rPr>
        <w:t xml:space="preserve">T</w:t>
      </w:r>
      <w:r>
        <w:rPr>
          <w:rFonts w:ascii="Times New Roman" w:cs="Times New Roman" w:eastAsia="Times New Roman" w:hAnsi="Times New Roman"/>
          <w:color w:val="FF0000"/>
          <w:sz w:val="22"/>
          <w:szCs w:val="22"/>
        </w:rPr>
        <w:t xml:space="preserve">) and a jurisdiction mismatch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The 13 adversarial tests cover a baseline and twelve attack scenarios. Among them, an approval from outside G and a repeated approval leave the consent short of the threshold, and an over-scope or empty request is refused.</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color w:val="FF0000"/>
          <w:sz w:val="22"/>
          <w:szCs w:val="22"/>
        </w:rPr>
        <w:t xml:space="preserve">The prototype uses synthetic patient records from the Synthea 1K sample </w:t>
      </w:r>
      <w:r>
        <w:rPr>
          <w:rFonts w:ascii="Times New Roman" w:cs="Times New Roman" w:eastAsia="Times New Roman" w:hAnsi="Times New Roman"/>
          <w:color w:val="FF0000"/>
          <w:sz w:val="22"/>
          <w:szCs w:val="22"/>
        </w:rPr>
        <w:t xml:space="preserve">(Walonoski et al. 2018)</w:t>
      </w:r>
      <w:r>
        <w:rPr>
          <w:rFonts w:ascii="Times New Roman" w:cs="Times New Roman" w:eastAsia="Times New Roman" w:hAnsi="Times New Roman"/>
          <w:color w:val="FF0000"/>
          <w:sz w:val="22"/>
          <w:szCs w:val="22"/>
        </w:rPr>
        <w:t xml:space="preserve">, taken from synthea.mitre.org in its CSV export rather than its FHIR R4 export </w:t>
      </w:r>
      <w:r>
        <w:rPr>
          <w:rFonts w:ascii="Times New Roman" w:cs="Times New Roman" w:eastAsia="Times New Roman" w:hAnsi="Times New Roman"/>
          <w:color w:val="FF0000"/>
          <w:sz w:val="22"/>
          <w:szCs w:val="22"/>
        </w:rPr>
        <w:t xml:space="preserve">(HL7 International 2019)</w:t>
      </w:r>
      <w:r>
        <w:rPr>
          <w:rFonts w:ascii="Times New Roman" w:cs="Times New Roman" w:eastAsia="Times New Roman" w:hAnsi="Times New Roman"/>
          <w:color w:val="FF0000"/>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trike/>
          <w:color w:val="FF0000"/>
          <w:sz w:val="22"/>
          <w:szCs w:val="22"/>
        </w:rPr>
        <w:t xml:space="preserve">role-based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color w:val="FF0000"/>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color w:val="FF0000"/>
          <w:sz w:val="22"/>
          <w:szCs w:val="22"/>
        </w:rPr>
        <w:t xml:space="preserve">, a contract written in Solidity </w:t>
      </w:r>
      <w:r>
        <w:rPr>
          <w:rFonts w:ascii="Times New Roman" w:cs="Times New Roman" w:eastAsia="Times New Roman" w:hAnsi="Times New Roman"/>
          <w:color w:val="FF0000"/>
          <w:sz w:val="22"/>
          <w:szCs w:val="22"/>
        </w:rPr>
        <w:t xml:space="preserve">(Ethereum Foundation 2026a)</w:t>
      </w:r>
      <w:r>
        <w:rPr>
          <w:rFonts w:ascii="Times New Roman" w:cs="Times New Roman" w:eastAsia="Times New Roman" w:hAnsi="Times New Roman"/>
          <w:color w:val="FF0000"/>
          <w:sz w:val="22"/>
          <w:szCs w:val="22"/>
        </w:rPr>
        <w:t xml:space="preserve"> for the Ethereum virtual machine </w:t>
      </w:r>
      <w:r>
        <w:rPr>
          <w:rFonts w:ascii="Times New Roman" w:cs="Times New Roman" w:eastAsia="Times New Roman" w:hAnsi="Times New Roman"/>
          <w:color w:val="FF0000"/>
          <w:sz w:val="22"/>
          <w:szCs w:val="22"/>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color w:val="FF0000"/>
          <w:sz w:val="22"/>
          <w:szCs w:val="22"/>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color w:val="FF0000"/>
          <w:sz w:val="22"/>
          <w:szCs w:val="22"/>
        </w:rPr>
        <w:t xml:space="preserve">on the Sepolia testnet </w:t>
      </w:r>
      <w:r>
        <w:rPr>
          <w:rFonts w:ascii="Times New Roman" w:cs="Times New Roman" w:eastAsia="Times New Roman" w:hAnsi="Times New Roman"/>
          <w:color w:val="FF0000"/>
          <w:sz w:val="22"/>
          <w:szCs w:val="22"/>
        </w:rPr>
        <w:t xml:space="preserve">(Ethereum Foundation 2026b)</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color w:val="FF0000"/>
          <w:sz w:val="22"/>
          <w:szCs w:val="22"/>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trike/>
          <w:color w:val="FF0000"/>
          <w:sz w:val="22"/>
          <w:szCs w:val="22"/>
        </w:rPr>
        <w:t xml:space="preserve">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trike/>
          <w:color w:val="FF0000"/>
          <w:sz w:val="22"/>
          <w:szCs w:val="22"/>
        </w:rPr>
        <w:t xml:space="preserve"> Synthetic healthcare records derived from the Synthea dataset are used to construct representative consent workflows.</w:t>
      </w:r>
      <w:r>
        <w:rPr>
          <w:rFonts w:ascii="Times New Roman" w:cs="Times New Roman" w:eastAsia="Times New Roman" w:hAnsi="Times New Roman"/>
          <w:color w:val="FF0000"/>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FF0000"/>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trike/>
          <w:color w:val="FF0000"/>
          <w:sz w:val="22"/>
          <w:szCs w:val="22"/>
        </w:rPr>
        <w:t xml:space="preserve"> Figure 11.4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trike/>
          <w:color w:val="FF0000"/>
          <w:sz w:val="22"/>
          <w:szCs w:val="22"/>
        </w:rPr>
        <w:t xml:space="preserve">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w:t>
      </w:r>
      <w:r>
        <w:rPr>
          <w:rFonts w:ascii="Times New Roman" w:cs="Times New Roman" w:eastAsia="Times New Roman" w:hAnsi="Times New Roman"/>
          <w:color w:val="FF0000"/>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trike/>
          <w:color w:val="FF0000"/>
          <w:sz w:val="22"/>
          <w:szCs w:val="22"/>
        </w:rPr>
        <w:t xml:space="preserve">fails at V</w:t>
      </w:r>
      <w:r>
        <w:rPr>
          <w:rFonts w:ascii="Times New Roman" w:cs="Times New Roman" w:eastAsia="Times New Roman" w:hAnsi="Times New Roman"/>
          <w:strike/>
          <w:color w:val="FF0000"/>
          <w:sz w:val="22"/>
          <w:szCs w:val="22"/>
          <w:vertAlign w:val="subscript"/>
        </w:rPr>
        <w:t xml:space="preserve">A</w:t>
      </w:r>
      <w:r>
        <w:rPr>
          <w:rFonts w:ascii="Times New Roman" w:cs="Times New Roman" w:eastAsia="Times New Roman" w:hAnsi="Times New Roman"/>
          <w:strike/>
          <w:color w:val="FF0000"/>
          <w:sz w:val="22"/>
          <w:szCs w:val="22"/>
        </w:rPr>
        <w:t xml:space="preserve">, because the system verifies that the consent has not been revoked or otherwise transitioned into an inactive state.</w:t>
      </w:r>
      <w:r>
        <w:rPr>
          <w:rFonts w:ascii="Times New Roman" w:cs="Times New Roman" w:eastAsia="Times New Roman" w:hAnsi="Times New Roman"/>
          <w:color w:val="FF0000"/>
          <w:sz w:val="22"/>
          <w:szCs w:val="22"/>
        </w:rPr>
        <w:t xml:space="preserve">is refused by the doctor subsystem at the consent-state check, because the consent is no longer ACTIVE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V</w:t>
      </w:r>
      <w:r>
        <w:rPr>
          <w:rFonts w:ascii="Times New Roman" w:cs="Times New Roman" w:eastAsia="Times New Roman" w:hAnsi="Times New Roman"/>
          <w:color w:val="FF0000"/>
          <w:sz w:val="22"/>
          <w:szCs w:val="22"/>
          <w:vertAlign w:val="subscript"/>
        </w:rPr>
        <w:t xml:space="preserve">A</w:t>
      </w:r>
      <w:r>
        <w:rPr>
          <w:rFonts w:ascii="Times New Roman" w:cs="Times New Roman" w:eastAsia="Times New Roman" w:hAnsi="Times New Roman"/>
          <w:color w:val="FF0000"/>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 auditor can examine not only whether access occurred, but also whether the requester possessed a valid identity</w:t>
      </w:r>
      <w:r>
        <w:rPr>
          <w:rFonts w:ascii="Times New Roman" w:cs="Times New Roman" w:eastAsia="Times New Roman" w:hAnsi="Times New Roman"/>
          <w:color w:val="FF0000"/>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trike/>
          <w:color w:val="FF0000"/>
          <w:sz w:val="22"/>
          <w:szCs w:val="22"/>
        </w:rPr>
        <w:t xml:space="preserve">The subsystems represent different interaction responsibilities but share the same architectural principle: none of them independently determines whether access should be granted.</w:t>
      </w:r>
      <w:r>
        <w:rPr>
          <w:rFonts w:ascii="Times New Roman" w:cs="Times New Roman" w:eastAsia="Times New Roman" w:hAnsi="Times New Roman"/>
          <w:color w:val="FF0000"/>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FF0000"/>
          <w:sz w:val="22"/>
          <w:szCs w:val="22"/>
        </w:rPr>
        <w:t xml:space="preserve">. Table 11.3 shows the proof mode of this row as not logged, because the prototype began to log it on denied requests later the same day</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trike/>
          <w:color w:val="FF0000"/>
          <w:sz w:val="22"/>
          <w:szCs w:val="22"/>
        </w:rPr>
        <w:t xml:space="preserve">Consequently, validation does not merely determine whether the final output is ALLOW or DENY</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trike/>
          <w:color w:val="FF0000"/>
          <w:sz w:val="22"/>
          <w:szCs w:val="22"/>
        </w:rPr>
        <w:t xml:space="preserve"> it also determines whether the underlying evidence is consistent with the decision.</w:t>
      </w:r>
      <w:r>
        <w:rPr>
          <w:rFonts w:ascii="Times New Roman" w:cs="Times New Roman" w:eastAsia="Times New Roman" w:hAnsi="Times New Roman"/>
          <w:color w:val="FF0000"/>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w:t>
      </w:r>
      <w:r>
        <w:rPr>
          <w:rFonts w:ascii="Times New Roman" w:cs="Times New Roman" w:eastAsia="Times New Roman" w:hAnsi="Times New Roman"/>
          <w:strike/>
          <w:color w:val="FF0000"/>
          <w:sz w:val="22"/>
          <w:szCs w:val="22"/>
        </w:rPr>
        <w:t xml:space="preserve">Anchoring confirmation is the slowest step, but it runs in the background, so it delays neither the guardians nor the doctor.</w:t>
      </w:r>
      <w:r>
        <w:rPr>
          <w:rFonts w:ascii="Times New Roman" w:cs="Times New Roman" w:eastAsia="Times New Roman" w:hAnsi="Times New Roman"/>
          <w:color w:val="FF0000"/>
          <w:sz w:val="22"/>
          <w:szCs w:val="22"/>
        </w:rPr>
        <w:t xml:space="preserve">Anchoring confirmation, measured over three mints and two revokes, is the slowest step. The mint is anchored in the background, so it delays neither the guardians nor the doctor, whereas the patient waits for the confirmation of a revoke.</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trike/>
          <w:color w:val="FF0000"/>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FF0000"/>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trike/>
          <w:color w:val="FF0000"/>
          <w:sz w:val="22"/>
          <w:szCs w:val="22"/>
        </w:rPr>
        <w:t xml:space="preserve">the security properties that it is intended to evaluate</w:t>
      </w:r>
      <w:r>
        <w:rPr>
          <w:rFonts w:ascii="Times New Roman" w:cs="Times New Roman" w:eastAsia="Times New Roman" w:hAnsi="Times New Roman"/>
          <w:color w:val="FF0000"/>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trike/>
          <w:color w:val="FF0000"/>
          <w:sz w:val="22"/>
          <w:szCs w:val="22"/>
        </w:rPr>
        <w:t xml:space="preserve">This confirms that a system may be conceptually correct but incorrectly implemented, or may pass functional tests while failing under invalid or adversarial conditions.</w:t>
      </w:r>
      <w:r>
        <w:rPr>
          <w:rFonts w:ascii="Times New Roman" w:cs="Times New Roman" w:eastAsia="Times New Roman" w:hAnsi="Times New Roman"/>
          <w:color w:val="FF0000"/>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trike/>
          <w:color w:val="FF0000"/>
          <w:sz w:val="22"/>
          <w:szCs w:val="22"/>
        </w:rPr>
        <w:t xml:space="preserve">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FF0000"/>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trike/>
          <w:color w:val="FF0000"/>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FF0000"/>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trike/>
          <w:color w:val="FF0000"/>
          <w:sz w:val="22"/>
          <w:szCs w:val="22"/>
        </w:rPr>
        <w:t xml:space="preserve">Particular attention will be given to the relationship between the formal security model and the observed behaviour of the implemented system.</w:t>
      </w:r>
      <w:r>
        <w:rPr>
          <w:rFonts w:ascii="Times New Roman" w:cs="Times New Roman" w:eastAsia="Times New Roman" w:hAnsi="Times New Roman"/>
          <w:color w:val="FF0000"/>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color w:val="FF0000"/>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trike/>
          <w:color w:val="FF0000"/>
          <w:sz w:val="22"/>
          <w:szCs w:val="22"/>
        </w:rPr>
        <w:t xml:space="preserve">The purpose of this work is not merely to demonstrate that the prototype works under normal conditions, but to establish explicit security properties</w:t>
      </w:r>
      <w:r>
        <w:rPr>
          <w:rFonts w:ascii="Times New Roman" w:cs="Times New Roman" w:eastAsia="Times New Roman" w:hAnsi="Times New Roman"/>
          <w:color w:val="FF0000"/>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trike/>
          <w:color w:val="FF0000"/>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trike/>
                <w:color w:val="FF0000"/>
                <w:sz w:val="17"/>
                <w:szCs w:val="17"/>
              </w:rPr>
              <w:t xml:space="preserve">Jul 2026</w:t>
            </w:r>
            <w:r>
              <w:rPr>
                <w:rFonts w:ascii="Times New Roman" w:cs="Times New Roman" w:eastAsia="Times New Roman" w:hAnsi="Times New Roman"/>
                <w:b w:val="false"/>
                <w:bCs w:val="false"/>
                <w:color w:val="FF0000"/>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trike/>
          <w:color w:val="FF0000"/>
          <w:sz w:val="22"/>
          <w:szCs w:val="22"/>
        </w:rPr>
        <w:t xml:space="preserve">will build upon the foundational trust-oriented authorisation framework established during </w:t>
      </w:r>
      <w:r>
        <w:rPr>
          <w:rFonts w:ascii="Times New Roman" w:cs="Times New Roman" w:eastAsia="Times New Roman" w:hAnsi="Times New Roman"/>
          <w:strike/>
          <w:color w:val="FF0000"/>
          <w:sz w:val="22"/>
          <w:szCs w:val="22"/>
        </w:rPr>
        <w:t xml:space="preserve">the </w:t>
      </w:r>
      <w:r>
        <w:rPr>
          <w:rFonts w:ascii="Times New Roman" w:cs="Times New Roman" w:eastAsia="Times New Roman" w:hAnsi="Times New Roman"/>
          <w:strike/>
          <w:color w:val="FF0000"/>
          <w:sz w:val="22"/>
          <w:szCs w:val="22"/>
        </w:rPr>
        <w:t xml:space="preserve">current stage and extend the research towards dynamic consent governance, formal security assurance, and comprehensive empirical validation.</w:t>
      </w:r>
      <w:r>
        <w:rPr>
          <w:rFonts w:ascii="Times New Roman" w:cs="Times New Roman" w:eastAsia="Times New Roman" w:hAnsi="Times New Roman"/>
          <w:color w:val="FF0000"/>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lifecycle transition check, the formal lifecycle model, and c</w:t>
      </w:r>
      <w:r>
        <w:rPr>
          <w:rFonts w:ascii="Times New Roman" w:cs="Times New Roman" w:eastAsia="Times New Roman" w:hAnsi="Times New Roman"/>
          <w:strike/>
          <w:color w:val="FF0000"/>
          <w:sz w:val="22"/>
          <w:szCs w:val="22"/>
        </w:rPr>
        <w:t xml:space="preserve">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color w:val="FF0000"/>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d1fcd4c36b78c8ff5aa352939eb1f7c4d7142381.png"/><Relationship Id="rId14" Type="http://schemas.openxmlformats.org/officeDocument/2006/relationships/image" Target="media/4f75743c835265daafdcbac66f2bdd6c1034f620.png"/><Relationship Id="rId15" Type="http://schemas.openxmlformats.org/officeDocument/2006/relationships/image" Target="media/03c920405551cc59ae0ad5edcc55300e0a8ed15e.png"/><Relationship Id="rId16" Type="http://schemas.openxmlformats.org/officeDocument/2006/relationships/image" Target="media/2b20591a43c6eb19bfdab74102d4f7f1165b386f.png"/><Relationship Id="rId17" Type="http://schemas.openxmlformats.org/officeDocument/2006/relationships/image" Target="media/11081a2422bebced6d030d22f0ebf13798832173.png"/><Relationship Id="rId18" Type="http://schemas.openxmlformats.org/officeDocument/2006/relationships/image" Target="media/fc5a6be7647fd964b300798307c832eee656672b.png"/><Relationship Id="rId19" Type="http://schemas.openxmlformats.org/officeDocument/2006/relationships/image" Target="media/7ce013ee8724e8dcb1576e7f068db7f8890e5be3.png"/><Relationship Id="rId20" Type="http://schemas.openxmlformats.org/officeDocument/2006/relationships/image" Target="media/f1f163df8a47e4df987495706c8e057d78128af6.png"/><Relationship Id="rId21" Type="http://schemas.openxmlformats.org/officeDocument/2006/relationships/image" Target="media/3f71846d42f224996eb357c7ac4f2281babf68df.png"/><Relationship Id="rId22" Type="http://schemas.openxmlformats.org/officeDocument/2006/relationships/image" Target="media/2bdcc233d9d5ad41e4df5ec32cccb0f936be6fdd.png"/><Relationship Id="rId23" Type="http://schemas.openxmlformats.org/officeDocument/2006/relationships/image" Target="media/3b43f208c34e619a9b1fcd7a8da9990014f117c8.png"/><Relationship Id="rId24" Type="http://schemas.openxmlformats.org/officeDocument/2006/relationships/image" Target="media/00d6986401b6325763b2855292d411f63286ea76.png"/><Relationship Id="rId25" Type="http://schemas.openxmlformats.org/officeDocument/2006/relationships/image" Target="media/e59b5686af22a06dff9cd4bfae93b397759ea42a.png"/><Relationship Id="rId26" Type="http://schemas.openxmlformats.org/officeDocument/2006/relationships/image" Target="media/551744d4db41183fe0c9b4d913479007233462c1.png"/><Relationship Id="rId27" Type="http://schemas.openxmlformats.org/officeDocument/2006/relationships/image" Target="media/379af060121c595b8dab938b017503bf01d94543.png"/><Relationship Id="rId28" Type="http://schemas.openxmlformats.org/officeDocument/2006/relationships/image" Target="media/8b0dede8cf949138f1ca18f2a0be3b9f91a5a8b2.png"/><Relationship Id="rId29" Type="http://schemas.openxmlformats.org/officeDocument/2006/relationships/image" Target="media/f0af766d9de14575067307b6f7dccaf71ca25b88.png"/><Relationship Id="rId30" Type="http://schemas.openxmlformats.org/officeDocument/2006/relationships/image" Target="media/32a920cb8d148805391dcda55782af93c6edfd51.png"/><Relationship Id="rId31" Type="http://schemas.openxmlformats.org/officeDocument/2006/relationships/image" Target="media/06dd8d4f71199a2b46751bf3ced20974c9f60efc.png"/><Relationship Id="rId32" Type="http://schemas.openxmlformats.org/officeDocument/2006/relationships/image" Target="media/02af0444c1c6970044f0f322105756947b915768.png"/><Relationship Id="rId33" Type="http://schemas.openxmlformats.org/officeDocument/2006/relationships/image" Target="media/9cb74c21136b6eec65353d28ee54d88601225eab.png"/><Relationship Id="rId34" Type="http://schemas.openxmlformats.org/officeDocument/2006/relationships/image" Target="media/1cde75c3ba6eefdc88f22c3d35398d022b2cb385.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2026-10-07T13:42:26.701Z</dcterms:created>
  <dcterms:modified xsi:type="dcterms:W3CDTF">2026-10-07T13:42:26.702Z</dcterms:modified>
</cp:coreProperties>
</file>

<file path=docProps/custom.xml><?xml version="1.0" encoding="utf-8"?>
<Properties xmlns="http://schemas.openxmlformats.org/officeDocument/2006/custom-properties" xmlns:vt="http://schemas.openxmlformats.org/officeDocument/2006/docPropsVTypes"/>
</file>