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color w:val="00A000"/>
          <w:sz w:val="22"/>
          <w:szCs w:val="22"/>
        </w:rPr>
        <w:t xml:space="preserve">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color w:val="00A000"/>
          <w:sz w:val="22"/>
          <w:szCs w:val="22"/>
        </w:rPr>
        <w:t xml:space="preserve">Traditional access-control architectures are based on centralised identity providers, institution-specific authentication systems, and relatively static permission-management mechanisms.</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color w:val="00A000"/>
          <w:sz w:val="22"/>
          <w:szCs w:val="22"/>
        </w:rPr>
        <w:t xml:space="preserve">Blockchain-based mechanisms can provide tamper-resistant recording and distributed auditability </w:t>
      </w:r>
      <w:r>
        <w:rPr>
          <w:rFonts w:ascii="Times New Roman" w:cs="Times New Roman" w:eastAsia="Times New Roman" w:hAnsi="Times New Roman"/>
          <w:color w:val="00A000"/>
          <w:sz w:val="22"/>
          <w:szCs w:val="22"/>
        </w:rPr>
        <w:t xml:space="preserve">(Al Mamun, Azam &amp; Gritti 2022; Hellstern et al. 2022; Li, Liu &amp; Shrestha 2026; Nguyen et al. 2025)</w:t>
      </w:r>
      <w:r>
        <w:rPr>
          <w:rFonts w:ascii="Times New Roman" w:cs="Times New Roman" w:eastAsia="Times New Roman" w:hAnsi="Times New Roman"/>
          <w:color w:val="00A000"/>
          <w:sz w:val="22"/>
          <w:szCs w:val="22"/>
        </w:rPr>
        <w:t xml:space="preserve">, while decentralised identifiers can support the identification of participants without relying exclusively on a central identity provider.</w:t>
      </w:r>
      <w:r>
        <w:rPr>
          <w:rFonts w:ascii="Times New Roman" w:cs="Times New Roman" w:eastAsia="Times New Roman" w:hAnsi="Times New Roman"/>
          <w:color w:val="00A000"/>
          <w:sz w:val="22"/>
          <w:szCs w:val="22"/>
        </w:rPr>
        <w:t xml:space="preserve"> Verifiable credentials can provide cryptographically verifiable evidence concerning roles or authority, and policy-based access-control mechanisms can restrict access to authorised resources.</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color w:val="00A000"/>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color w:val="00A000"/>
          <w:sz w:val="22"/>
          <w:szCs w:val="22"/>
        </w:rPr>
        <w:t xml:space="preserve">(Phuyal et al. 2026b; Wu &amp; Zhang 2025)</w:t>
      </w:r>
      <w:r>
        <w:rPr>
          <w:rFonts w:ascii="Times New Roman" w:cs="Times New Roman" w:eastAsia="Times New Roman" w:hAnsi="Times New Roman"/>
          <w:color w:val="00A000"/>
          <w:sz w:val="22"/>
          <w:szCs w:val="22"/>
        </w:rPr>
        <w:t xml:space="preserve">, blockchain-based records, multi-party approval mechanisms </w:t>
      </w:r>
      <w:r>
        <w:rPr>
          <w:rFonts w:ascii="Times New Roman" w:cs="Times New Roman" w:eastAsia="Times New Roman" w:hAnsi="Times New Roman"/>
          <w:color w:val="00A000"/>
          <w:sz w:val="22"/>
          <w:szCs w:val="22"/>
        </w:rPr>
        <w:t xml:space="preserve">(Ekholm et al. 2025; Punia et al. 2025; Tan, Chi &amp; Lam 2024)</w:t>
      </w:r>
      <w:r>
        <w:rPr>
          <w:rFonts w:ascii="Times New Roman" w:cs="Times New Roman" w:eastAsia="Times New Roman" w:hAnsi="Times New Roman"/>
          <w:color w:val="00A000"/>
          <w:sz w:val="22"/>
          <w:szCs w:val="22"/>
        </w:rPr>
        <w:t xml:space="preserve">, and policy-based access control </w:t>
      </w:r>
      <w:r>
        <w:rPr>
          <w:rFonts w:ascii="Times New Roman" w:cs="Times New Roman" w:eastAsia="Times New Roman" w:hAnsi="Times New Roman"/>
          <w:color w:val="00A000"/>
          <w:sz w:val="22"/>
          <w:szCs w:val="22"/>
        </w:rPr>
        <w:t xml:space="preserve">(Eneh et al. 2026; Khayer et al. 2025; Panagoulias et al. 2026; Román-Martínez et al. 2023)</w:t>
      </w:r>
      <w:r>
        <w:rPr>
          <w:rFonts w:ascii="Times New Roman" w:cs="Times New Roman" w:eastAsia="Times New Roman" w:hAnsi="Times New Roman"/>
          <w:color w:val="00A000"/>
          <w:sz w:val="22"/>
          <w:szCs w:val="22"/>
        </w:rPr>
        <w:t xml:space="preserve">, as well as several partial combinations.</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color w:val="00A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color w:val="00A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w:t>
      </w:r>
      <w:r>
        <w:rPr>
          <w:rFonts w:ascii="Times New Roman" w:cs="Times New Roman" w:eastAsia="Times New Roman" w:hAnsi="Times New Roman"/>
          <w:color w:val="00A000"/>
          <w:sz w:val="22"/>
          <w:szCs w:val="22"/>
        </w:rPr>
        <w:t xml:space="preserv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lack full policy and assurance, whereas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lack multi-party approval and full identity depth.</w:t>
      </w:r>
    </w:p>
    <w:p>
      <w:pPr>
        <w:spacing w:after="110" w:line="264"/>
        <w:jc w:val="both"/>
      </w:pPr>
      <w:r>
        <w:rPr>
          <w:rFonts w:ascii="Times New Roman" w:cs="Times New Roman" w:eastAsia="Times New Roman" w:hAnsi="Times New Roman"/>
          <w:color w:val="00A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color w:val="00A000"/>
          <w:sz w:val="22"/>
          <w:szCs w:val="22"/>
        </w:rPr>
        <w:t xml:space="preserv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color w:val="00A000"/>
          <w:sz w:val="22"/>
          <w:szCs w:val="22"/>
        </w:rPr>
        <w:t xml:space="preserve">The systematic literature review shows much work on individual mechanisms for securing healthcare data sharing, but also a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w:t>
      </w:r>
      <w:r>
        <w:rPr>
          <w:rFonts w:ascii="Times New Roman" w:cs="Times New Roman" w:eastAsia="Times New Roman" w:hAnsi="Times New Roman"/>
          <w:color w:val="00A000"/>
          <w:sz w:val="22"/>
          <w:szCs w:val="22"/>
        </w:rPr>
        <w:t xml:space="preserve">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color w:val="00A000"/>
          <w:sz w:val="22"/>
          <w:szCs w:val="22"/>
        </w:rPr>
        <w:t xml:space="preserve">The central gap is the absence of an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color w:val="00A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color w:val="00A000"/>
          <w:sz w:val="22"/>
          <w:szCs w:val="22"/>
        </w:rPr>
        <w:t xml:space="preserve"> In the proposed framework, MVC does more than separate data, interfaces, and application logic.</w:t>
      </w:r>
      <w:r>
        <w:rPr>
          <w:rFonts w:ascii="Times New Roman" w:cs="Times New Roman" w:eastAsia="Times New Roman" w:hAnsi="Times New Roman"/>
          <w:color w:val="00A000"/>
          <w:sz w:val="22"/>
          <w:szCs w:val="22"/>
        </w:rPr>
        <w:t xml:space="preserve"> It is extended to support a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r>
        <w:rPr>
          <w:rFonts w:ascii="Times New Roman" w:cs="Times New Roman" w:eastAsia="Times New Roman" w:hAnsi="Times New Roman"/>
          <w:color w:val="00A000"/>
          <w:sz w:val="22"/>
          <w:szCs w:val="22"/>
        </w:rPr>
        <w:t xml:space="preserve"> 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w:t>
      </w:r>
      <w:r>
        <w:rPr>
          <w:rFonts w:ascii="Times New Roman" w:cs="Times New Roman" w:eastAsia="Times New Roman" w:hAnsi="Times New Roman"/>
          <w:color w:val="00A000"/>
          <w:sz w:val="22"/>
          <w:szCs w:val="22"/>
        </w:rPr>
        <w:t xml:space="preserve"> A revoke transaction is sent when the patient revokes a consent, and the patient view waits for its confirmation.</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r>
        <w:rPr>
          <w:rFonts w:ascii="Times New Roman" w:cs="Times New Roman" w:eastAsia="Times New Roman" w:hAnsi="Times New Roman"/>
          <w:color w:val="00A000"/>
          <w:sz w:val="22"/>
          <w:szCs w:val="22"/>
        </w:rPr>
        <w:t xml:space="preserve"> Figure 5.4 puts the same conditions in the order a request meets them.</w:t>
      </w:r>
      <w:r>
        <w:rPr>
          <w:rFonts w:ascii="Times New Roman" w:cs="Times New Roman" w:eastAsia="Times New Roman" w:hAnsi="Times New Roman"/>
          <w:color w:val="00A000"/>
          <w:sz w:val="22"/>
          <w:szCs w:val="22"/>
        </w:rPr>
        <w:t xml:space="preserve">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w:t>
      </w:r>
      <w:r>
        <w:rPr>
          <w:rFonts w:ascii="Times New Roman" w:cs="Times New Roman" w:eastAsia="Times New Roman" w:hAnsi="Times New Roman"/>
          <w:color w:val="00A000"/>
          <w:sz w:val="22"/>
          <w:szCs w:val="22"/>
        </w:rPr>
        <w:t xml:space="preserve">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color w:val="00A000"/>
          <w:sz w:val="22"/>
          <w:szCs w:val="22"/>
        </w:rPr>
        <w:t xml:space="preserve"> Similarly, the purpose must be a supported healthcare use.</w:t>
      </w:r>
      <w:r>
        <w:rPr>
          <w:rFonts w:ascii="Times New Roman" w:cs="Times New Roman" w:eastAsia="Times New Roman" w:hAnsi="Times New Roman"/>
          <w:color w:val="00A000"/>
          <w:sz w:val="22"/>
          <w:szCs w:val="22"/>
        </w:rPr>
        <w:t xml:space="preserv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r>
        <w:rPr>
          <w:rFonts w:ascii="Times New Roman" w:cs="Times New Roman" w:eastAsia="Times New Roman" w:hAnsi="Times New Roman"/>
          <w:color w:val="00A000"/>
          <w:sz w:val="22"/>
          <w:szCs w:val="22"/>
        </w:rPr>
        <w:t xml:space="preserve"> 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color w:val="00A000"/>
          <w:sz w:val="22"/>
          <w:szCs w:val="22"/>
        </w:rPr>
        <w:t xml:space="preserve"> The main contribution of RO1 is that consent is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r>
        <w:rPr>
          <w:rFonts w:ascii="Times New Roman" w:cs="Times New Roman" w:eastAsia="Times New Roman" w:hAnsi="Times New Roman"/>
          <w:color w:val="00A000"/>
          <w:sz w:val="22"/>
          <w:szCs w:val="22"/>
        </w:rPr>
        <w:t xml:space="preserve"> 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color w:val="00A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r>
        <w:rPr>
          <w:rFonts w:ascii="Times New Roman" w:cs="Times New Roman" w:eastAsia="Times New Roman" w:hAnsi="Times New Roman"/>
          <w:color w:val="00A000"/>
          <w:sz w:val="22"/>
          <w:szCs w:val="22"/>
        </w:rPr>
        <w:t xml:space="preserve"> 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r>
        <w:rPr>
          <w:rFonts w:ascii="Times New Roman" w:cs="Times New Roman" w:eastAsia="Times New Roman" w:hAnsi="Times New Roman"/>
          <w:color w:val="00A000"/>
          <w:sz w:val="22"/>
          <w:szCs w:val="22"/>
        </w:rPr>
        <w:t xml:space="preserve"> 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color w:val="00A000"/>
          <w:sz w:val="22"/>
          <w:szCs w:val="22"/>
        </w:rPr>
        <w:t xml:space="preserve"> In the HALAH implementation, as shown in Figure 8.1, the guardian workflow checks the EIP-712 signature and the DID format, which stands in for VC verification in the prototype.</w:t>
      </w:r>
      <w:r>
        <w:rPr>
          <w:rFonts w:ascii="Times New Roman" w:cs="Times New Roman" w:eastAsia="Times New Roman" w:hAnsi="Times New Roman"/>
          <w:color w:val="00A000"/>
          <w:sz w:val="22"/>
          <w:szCs w:val="22"/>
        </w:rPr>
        <w:t xml:space="preserv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r>
        <w:rPr>
          <w:rFonts w:ascii="Times New Roman" w:cs="Times New Roman" w:eastAsia="Times New Roman" w:hAnsi="Times New Roman"/>
          <w:color w:val="00A000"/>
          <w:sz w:val="22"/>
          <w:szCs w:val="22"/>
        </w:rPr>
        <w:t xml:space="preserve"> 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r>
        <w:rPr>
          <w:rFonts w:ascii="Times New Roman" w:cs="Times New Roman" w:eastAsia="Times New Roman" w:hAnsi="Times New Roman"/>
          <w:color w:val="00A000"/>
          <w:sz w:val="22"/>
          <w:szCs w:val="22"/>
        </w:rPr>
        <w:t xml:space="preserve"> 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color w:val="00A000"/>
          <w:sz w:val="22"/>
          <w:szCs w:val="22"/>
        </w:rPr>
        <w:t xml:space="preserve"> After the identity and authorisation conditions are satisfied, the system evaluates the consent purpose and the requested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circuit is written in circom </w:t>
      </w:r>
      <w:r>
        <w:rPr>
          <w:rFonts w:ascii="Times New Roman" w:cs="Times New Roman" w:eastAsia="Times New Roman" w:hAnsi="Times New Roman"/>
          <w:color w:val="00A000"/>
          <w:sz w:val="22"/>
          <w:szCs w:val="22"/>
        </w:rPr>
        <w:t xml:space="preserve">(iden3 2026b)</w:t>
      </w:r>
      <w:r>
        <w:rPr>
          <w:rFonts w:ascii="Times New Roman" w:cs="Times New Roman" w:eastAsia="Times New Roman" w:hAnsi="Times New Roman"/>
          <w:color w:val="00A000"/>
          <w:sz w:val="22"/>
          <w:szCs w:val="22"/>
        </w:rPr>
        <w:t xml:space="preserve">, and the proof is generated and verified with snarkjs </w:t>
      </w:r>
      <w:r>
        <w:rPr>
          <w:rFonts w:ascii="Times New Roman" w:cs="Times New Roman" w:eastAsia="Times New Roman" w:hAnsi="Times New Roman"/>
          <w:color w:val="00A000"/>
          <w:sz w:val="22"/>
          <w:szCs w:val="22"/>
        </w:rPr>
        <w:t xml:space="preserve">(iden3 2026a)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color w:val="00A000"/>
          <w:sz w:val="22"/>
          <w:szCs w:val="22"/>
        </w:rPr>
        <w:t xml:space="preserve">From an architectural perspective, Algorithm 9.1 therefore acts as the final policy-enforcement layer of the proposed authorisation lifecycle.</w:t>
      </w:r>
      <w:r>
        <w:rPr>
          <w:rFonts w:ascii="Times New Roman" w:cs="Times New Roman" w:eastAsia="Times New Roman" w:hAnsi="Times New Roman"/>
          <w:color w:val="00A000"/>
          <w:sz w:val="22"/>
          <w:szCs w:val="22"/>
        </w:rPr>
        <w:t xml:space="preserve"> Algorithm 6.1 establishes the consent constraints, Algorithm 7.1 establishes trustworthy identity and authority evidence, and Algorithm 8.1 establishes collective authorisation evidence.</w:t>
      </w:r>
      <w:r>
        <w:rPr>
          <w:rFonts w:ascii="Times New Roman" w:cs="Times New Roman" w:eastAsia="Times New Roman" w:hAnsi="Times New Roman"/>
          <w:color w:val="00A000"/>
          <w:sz w:val="22"/>
          <w:szCs w:val="22"/>
        </w:rPr>
        <w:t xml:space="preserv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r>
        <w:rPr>
          <w:rFonts w:ascii="Times New Roman" w:cs="Times New Roman" w:eastAsia="Times New Roman" w:hAnsi="Times New Roman"/>
          <w:color w:val="00A000"/>
          <w:sz w:val="22"/>
          <w:szCs w:val="22"/>
        </w:rPr>
        <w:t xml:space="preserve"> 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r>
        <w:rPr>
          <w:rFonts w:ascii="Times New Roman" w:cs="Times New Roman" w:eastAsia="Times New Roman" w:hAnsi="Times New Roman"/>
          <w:color w:val="00A000"/>
          <w:sz w:val="22"/>
          <w:szCs w:val="22"/>
        </w:rPr>
        <w:t xml:space="preserve"> 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color w:val="00A000"/>
          <w:sz w:val="22"/>
          <w:szCs w:val="22"/>
        </w:rPr>
        <w:t xml:space="preserve">Equation (10.2)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(10.3).</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color w:val="00A000"/>
          <w:sz w:val="22"/>
          <w:szCs w:val="22"/>
        </w:rPr>
        <w:t xml:space="preserve">Authorisation is not permanent.</w:t>
      </w:r>
      <w:r>
        <w:rPr>
          <w:rFonts w:ascii="Times New Roman" w:cs="Times New Roman" w:eastAsia="Times New Roman" w:hAnsi="Times New Roman"/>
          <w:color w:val="00A000"/>
          <w:sz w:val="22"/>
          <w:szCs w:val="22"/>
        </w:rPr>
        <w:t xml:space="preserve"> A consent that was valid when approved can later become invalid through expiration or revocation.</w:t>
      </w:r>
      <w:r>
        <w:rPr>
          <w:rFonts w:ascii="Times New Roman" w:cs="Times New Roman" w:eastAsia="Times New Roman" w:hAnsi="Times New Roman"/>
          <w:color w:val="00A000"/>
          <w:sz w:val="22"/>
          <w:szCs w:val="22"/>
        </w:rPr>
        <w:t xml:space="preserve">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The main activities of the next stage and their expected outcomes are summarised in Section 13.</w:t>
      </w:r>
      <w:r>
        <w:rPr>
          <w:rFonts w:ascii="Times New Roman" w:cs="Times New Roman" w:eastAsia="Times New Roman" w:hAnsi="Times New Roman"/>
          <w:color w:val="00A000"/>
          <w:sz w:val="22"/>
          <w:szCs w:val="22"/>
        </w:rPr>
        <w:t xml:space="preserve"> 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r>
        <w:rPr>
          <w:rFonts w:ascii="Times New Roman" w:cs="Times New Roman" w:eastAsia="Times New Roman" w:hAnsi="Times New Roman"/>
          <w:color w:val="00A000"/>
          <w:sz w:val="22"/>
          <w:szCs w:val="22"/>
        </w:rPr>
        <w:t xml:space="preserve"> 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(10.3)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color w:val="00A000"/>
          <w:sz w:val="22"/>
          <w:szCs w:val="22"/>
        </w:rPr>
        <w:t xml:space="preserve"> Its 23 functional and regression tests check that each of the five conditions can refuse a request on its own: an invalid guardian signature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a revoked consent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 purpose that is not a supported healthcare use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an expired consent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a jurisdiction mismatch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They also check that a new consent starts as PENDING_SIGNATURE and is ACTIVE once both guardians have signed and the token is recorded.</w:t>
      </w:r>
      <w:r>
        <w:rPr>
          <w:rFonts w:ascii="Times New Roman" w:cs="Times New Roman" w:eastAsia="Times New Roman" w:hAnsi="Times New Roman"/>
          <w:color w:val="00A000"/>
          <w:sz w:val="22"/>
          <w:szCs w:val="22"/>
        </w:rPr>
        <w:t xml:space="preserve"> A tampered proof fails verification, and no proof can be produced for an expired consent.</w:t>
      </w:r>
      <w:r>
        <w:rPr>
          <w:rFonts w:ascii="Times New Roman" w:cs="Times New Roman" w:eastAsia="Times New Roman" w:hAnsi="Times New Roman"/>
          <w:color w:val="00A000"/>
          <w:sz w:val="22"/>
          <w:szCs w:val="22"/>
        </w:rPr>
        <w:t xml:space="preserve"> Consents, revocations and audit events persist after a reload.</w:t>
      </w:r>
      <w:r>
        <w:rPr>
          <w:rFonts w:ascii="Times New Roman" w:cs="Times New Roman" w:eastAsia="Times New Roman" w:hAnsi="Times New Roman"/>
          <w:color w:val="00A000"/>
          <w:sz w:val="22"/>
          <w:szCs w:val="22"/>
        </w:rPr>
        <w:t xml:space="preserve"> The 13 adversarial tests cover a baseline and twelve attack scenarios.</w:t>
      </w:r>
      <w:r>
        <w:rPr>
          <w:rFonts w:ascii="Times New Roman" w:cs="Times New Roman" w:eastAsia="Times New Roman" w:hAnsi="Times New Roman"/>
          <w:color w:val="00A000"/>
          <w:sz w:val="22"/>
          <w:szCs w:val="22"/>
        </w:rPr>
        <w:t xml:space="preserve">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consent management platform.</w:t>
      </w:r>
      <w:r>
        <w:rPr>
          <w:rFonts w:ascii="Times New Roman" w:cs="Times New Roman" w:eastAsia="Times New Roman" w:hAnsi="Times New Roman"/>
          <w:color w:val="00A000"/>
          <w:sz w:val="22"/>
          <w:szCs w:val="22"/>
        </w:rPr>
        <w:t xml:space="preserve"> The current system includes separate patient, guardian, doctor, and auditor interfaces,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color w:val="00A000"/>
          <w:sz w:val="22"/>
          <w:szCs w:val="22"/>
        </w:rPr>
        <w:t xml:space="preserve"> Following successful threshold satisfaction, the system generates activation or token evidence associated with the authorisation decision through ConsentSBTv3, a contract written in Solidity </w:t>
      </w:r>
      <w:r>
        <w:rPr>
          <w:rFonts w:ascii="Times New Roman" w:cs="Times New Roman" w:eastAsia="Times New Roman" w:hAnsi="Times New Roman"/>
          <w:color w:val="00A000"/>
          <w:sz w:val="22"/>
          <w:szCs w:val="22"/>
        </w:rPr>
        <w:t xml:space="preserve">(Ethereum Foundation 2026a)</w:t>
      </w:r>
      <w:r>
        <w:rPr>
          <w:rFonts w:ascii="Times New Roman" w:cs="Times New Roman" w:eastAsia="Times New Roman" w:hAnsi="Times New Roman"/>
          <w:color w:val="00A000"/>
          <w:sz w:val="22"/>
          <w:szCs w:val="22"/>
        </w:rPr>
        <w:t xml:space="preserve"> for the Ethereum virtual machine </w:t>
      </w:r>
      <w:r>
        <w:rPr>
          <w:rFonts w:ascii="Times New Roman" w:cs="Times New Roman" w:eastAsia="Times New Roman" w:hAnsi="Times New Roman"/>
          <w:color w:val="00A000"/>
          <w:sz w:val="22"/>
          <w:szCs w:val="22"/>
        </w:rPr>
        <w:t xml:space="preserve">(Wood 2014)</w:t>
      </w:r>
      <w:r>
        <w:rPr>
          <w:rFonts w:ascii="Times New Roman" w:cs="Times New Roman" w:eastAsia="Times New Roman" w:hAnsi="Times New Roman"/>
          <w:color w:val="00A000"/>
          <w:sz w:val="22"/>
          <w:szCs w:val="22"/>
        </w:rPr>
        <w:t xml:space="preserve">, compiled in Remix </w:t>
      </w:r>
      <w:r>
        <w:rPr>
          <w:rFonts w:ascii="Times New Roman" w:cs="Times New Roman" w:eastAsia="Times New Roman" w:hAnsi="Times New Roman"/>
          <w:color w:val="00A000"/>
          <w:sz w:val="22"/>
          <w:szCs w:val="22"/>
        </w:rPr>
        <w:t xml:space="preserve">(Ethereum Foundation 2026c)</w:t>
      </w:r>
      <w:r>
        <w:rPr>
          <w:rFonts w:ascii="Times New Roman" w:cs="Times New Roman" w:eastAsia="Times New Roman" w:hAnsi="Times New Roman"/>
          <w:color w:val="00A000"/>
          <w:sz w:val="22"/>
          <w:szCs w:val="22"/>
        </w:rPr>
        <w:t xml:space="preserve"> and deployed on the Sepolia testnet </w:t>
      </w:r>
      <w:r>
        <w:rPr>
          <w:rFonts w:ascii="Times New Roman" w:cs="Times New Roman" w:eastAsia="Times New Roman" w:hAnsi="Times New Roman"/>
          <w:color w:val="00A000"/>
          <w:sz w:val="22"/>
          <w:szCs w:val="22"/>
        </w:rPr>
        <w:t xml:space="preserve">(Ethereum Foundation 2026b)</w:t>
      </w:r>
      <w:r>
        <w:rPr>
          <w:rFonts w:ascii="Times New Roman" w:cs="Times New Roman" w:eastAsia="Times New Roman" w:hAnsi="Times New Roman"/>
          <w:color w:val="00A000"/>
          <w:sz w:val="22"/>
          <w:szCs w:val="22"/>
        </w:rPr>
        <w:t xml:space="preserve"> via MetaMask </w:t>
      </w:r>
      <w:r>
        <w:rPr>
          <w:rFonts w:ascii="Times New Roman" w:cs="Times New Roman" w:eastAsia="Times New Roman" w:hAnsi="Times New Roman"/>
          <w:color w:val="00A000"/>
          <w:sz w:val="22"/>
          <w:szCs w:val="22"/>
        </w:rPr>
        <w:t xml:space="preserve">(Consensys 2026)</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color w:val="00A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color w:val="00A000"/>
          <w:sz w:val="22"/>
          <w:szCs w:val="22"/>
        </w:rPr>
        <w:t xml:space="preserve"> The consent object therefore holds the information needed for identity verification, multi-party authorisation, policy evaluation, and auditability.</w:t>
      </w:r>
      <w:r>
        <w:rPr>
          <w:rFonts w:ascii="Times New Roman" w:cs="Times New Roman" w:eastAsia="Times New Roman" w:hAnsi="Times New Roman"/>
          <w:color w:val="00A000"/>
          <w:sz w:val="22"/>
          <w:szCs w:val="22"/>
        </w:rPr>
        <w:t xml:space="preserve"> It is a structured authorisation artefact, not only a record of patient preference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measured over three mints and two revokes, is the slowest step.</w:t>
      </w:r>
      <w:r>
        <w:rPr>
          <w:rFonts w:ascii="Times New Roman" w:cs="Times New Roman" w:eastAsia="Times New Roman" w:hAnsi="Times New Roman"/>
          <w:color w:val="00A000"/>
          <w:sz w:val="22"/>
          <w:szCs w:val="22"/>
        </w:rPr>
        <w:t xml:space="preserve">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2026-10-07T13:42:25.261Z</dcterms:created>
  <dcterms:modified xsi:type="dcterms:W3CDTF">2026-10-07T13:42:25.261Z</dcterms:modified>
</cp:coreProperties>
</file>

<file path=docProps/custom.xml><?xml version="1.0" encoding="utf-8"?>
<Properties xmlns="http://schemas.openxmlformats.org/officeDocument/2006/custom-properties" xmlns:vt="http://schemas.openxmlformats.org/officeDocument/2006/docPropsVTypes"/>
</file>