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w:t>
      </w:r>
      <w:r>
        <w:rPr>
          <w:rFonts w:ascii="Times New Roman" w:cs="Times New Roman" w:eastAsia="Times New Roman" w:hAnsi="Times New Roman"/>
          <w:b/>
          <w:bCs/>
          <w:sz w:val="40"/>
          <w:szCs w:val="40"/>
        </w:rPr>
        <w:t xml:space="preserve">Authorisation</w:t>
      </w:r>
      <w:r>
        <w:rPr>
          <w:rFonts w:ascii="Times New Roman" w:cs="Times New Roman" w:eastAsia="Times New Roman" w:hAnsi="Times New Roman"/>
          <w:b/>
          <w:bCs/>
          <w:sz w:val="40"/>
          <w:szCs w:val="40"/>
        </w:rPr>
        <w:t xml:space="preserve">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22</w:t>
      </w:r>
    </w:p>
    <w:p>
      <w:pPr>
        <w:tabs>
          <w:tab w:val="right" w:pos="9128" w:leader="dot"/>
        </w:tabs>
        <w:spacing w:after="100"/>
      </w:pPr>
      <w:r>
        <w:rPr>
          <w:rFonts w:ascii="Times New Roman" w:cs="Times New Roman" w:eastAsia="Times New Roman" w:hAnsi="Times New Roman"/>
          <w:sz w:val="22"/>
          <w:szCs w:val="22"/>
        </w:rPr>
        <w:t xml:space="preserve">6. The Proposed Solution for RO1	30</w:t>
      </w:r>
    </w:p>
    <w:p>
      <w:pPr>
        <w:tabs>
          <w:tab w:val="right" w:pos="9128" w:leader="dot"/>
        </w:tabs>
        <w:spacing w:after="100"/>
      </w:pPr>
      <w:r>
        <w:rPr>
          <w:rFonts w:ascii="Times New Roman" w:cs="Times New Roman" w:eastAsia="Times New Roman" w:hAnsi="Times New Roman"/>
          <w:sz w:val="22"/>
          <w:szCs w:val="22"/>
        </w:rPr>
        <w:t xml:space="preserve">7. The Proposed Solution for RO2	34</w:t>
      </w:r>
    </w:p>
    <w:p>
      <w:pPr>
        <w:tabs>
          <w:tab w:val="right" w:pos="9128" w:leader="dot"/>
        </w:tabs>
        <w:spacing w:after="100"/>
      </w:pPr>
      <w:r>
        <w:rPr>
          <w:rFonts w:ascii="Times New Roman" w:cs="Times New Roman" w:eastAsia="Times New Roman" w:hAnsi="Times New Roman"/>
          <w:sz w:val="22"/>
          <w:szCs w:val="22"/>
        </w:rPr>
        <w:t xml:space="preserve">8. The Proposed Solution for RO3	38</w:t>
      </w:r>
    </w:p>
    <w:p>
      <w:pPr>
        <w:tabs>
          <w:tab w:val="right" w:pos="9128" w:leader="dot"/>
        </w:tabs>
        <w:spacing w:after="100"/>
      </w:pPr>
      <w:r>
        <w:rPr>
          <w:rFonts w:ascii="Times New Roman" w:cs="Times New Roman" w:eastAsia="Times New Roman" w:hAnsi="Times New Roman"/>
          <w:sz w:val="22"/>
          <w:szCs w:val="22"/>
        </w:rPr>
        <w:t xml:space="preserve">9. The Proposed Solution for RO4	43</w:t>
      </w:r>
    </w:p>
    <w:p>
      <w:pPr>
        <w:tabs>
          <w:tab w:val="right" w:pos="9128" w:leader="dot"/>
        </w:tabs>
        <w:spacing w:after="100"/>
      </w:pPr>
      <w:r>
        <w:rPr>
          <w:rFonts w:ascii="Times New Roman" w:cs="Times New Roman" w:eastAsia="Times New Roman" w:hAnsi="Times New Roman"/>
          <w:sz w:val="22"/>
          <w:szCs w:val="22"/>
        </w:rPr>
        <w:t xml:space="preserve">10. The Proposed Solution for RO5	48</w:t>
      </w:r>
    </w:p>
    <w:p>
      <w:pPr>
        <w:tabs>
          <w:tab w:val="right" w:pos="9128" w:leader="dot"/>
        </w:tabs>
        <w:spacing w:after="100"/>
      </w:pPr>
      <w:r>
        <w:rPr>
          <w:rFonts w:ascii="Times New Roman" w:cs="Times New Roman" w:eastAsia="Times New Roman" w:hAnsi="Times New Roman"/>
          <w:sz w:val="22"/>
          <w:szCs w:val="22"/>
        </w:rPr>
        <w:t xml:space="preserve">11. The Proposed Solution for RO6	52</w:t>
      </w:r>
    </w:p>
    <w:p>
      <w:pPr>
        <w:tabs>
          <w:tab w:val="right" w:pos="9128" w:leader="dot"/>
        </w:tabs>
        <w:spacing w:after="100"/>
      </w:pPr>
      <w:r>
        <w:rPr>
          <w:rFonts w:ascii="Times New Roman" w:cs="Times New Roman" w:eastAsia="Times New Roman" w:hAnsi="Times New Roman"/>
          <w:sz w:val="22"/>
          <w:szCs w:val="22"/>
        </w:rPr>
        <w:t xml:space="preserve">12. Publications Summary	68</w:t>
      </w:r>
    </w:p>
    <w:p>
      <w:pPr>
        <w:tabs>
          <w:tab w:val="right" w:pos="9128" w:leader="dot"/>
        </w:tabs>
        <w:spacing w:after="100"/>
      </w:pPr>
      <w:r>
        <w:rPr>
          <w:rFonts w:ascii="Times New Roman" w:cs="Times New Roman" w:eastAsia="Times New Roman" w:hAnsi="Times New Roman"/>
          <w:sz w:val="22"/>
          <w:szCs w:val="22"/>
        </w:rPr>
        <w:t xml:space="preserve">13. Research Plan	69</w:t>
      </w:r>
    </w:p>
    <w:p>
      <w:pPr>
        <w:tabs>
          <w:tab w:val="right" w:pos="9128" w:leader="dot"/>
        </w:tabs>
        <w:spacing w:after="100"/>
      </w:pPr>
      <w:r>
        <w:rPr>
          <w:rFonts w:ascii="Times New Roman" w:cs="Times New Roman" w:eastAsia="Times New Roman" w:hAnsi="Times New Roman"/>
          <w:sz w:val="22"/>
          <w:szCs w:val="22"/>
        </w:rPr>
        <w:t xml:space="preserve">References	71</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rPr>
        <w:t xml:space="preserve">Secure and trustworthy data sharing is now needed</w:t>
      </w:r>
      <w:r>
        <w:rPr>
          <w:rFonts w:ascii="Times New Roman" w:cs="Times New Roman" w:eastAsia="Times New Roman" w:hAnsi="Times New Roman"/>
          <w:sz w:val="22"/>
          <w:szCs w:val="22"/>
        </w:rPr>
        <w:t xml:space="preserve"> across organisational boundaries. Modern digital ecosystems involve multiple independent stakeholders, including individuals, healthcare providers, regulatory authorities, researchers, and third-party data processors </w:t>
      </w:r>
      <w:r>
        <w:rPr>
          <w:rFonts w:ascii="Times New Roman" w:cs="Times New Roman" w:eastAsia="Times New Roman" w:hAnsi="Times New Roman"/>
          <w:sz w:val="22"/>
          <w:szCs w:val="22"/>
        </w:rPr>
        <w:t xml:space="preserve">(Ghafoor et al. 2025; Lomotey, Kumi &amp; Deters 2022;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Digital services make collaboration easier, but they also raise a governance question</w:t>
      </w:r>
      <w:r>
        <w:rPr>
          <w:rFonts w:ascii="Times New Roman" w:cs="Times New Roman" w:eastAsia="Times New Roman" w:hAnsi="Times New Roman"/>
          <w:sz w:val="22"/>
          <w:szCs w:val="22"/>
        </w:rPr>
        <w:t xml:space="preserve">: how can data access be authorised and trusted when the participating entities do not belong to a single administrative or institutional domain? </w:t>
      </w:r>
      <w:r>
        <w:rPr>
          <w:rFonts w:ascii="Times New Roman" w:cs="Times New Roman" w:eastAsia="Times New Roman" w:hAnsi="Times New Roman"/>
          <w:sz w:val="22"/>
          <w:szCs w:val="22"/>
        </w:rPr>
        <w:t xml:space="preserve">Healthcare is a clear example of this problem.</w:t>
      </w:r>
      <w:r>
        <w:rPr>
          <w:rFonts w:ascii="Times New Roman" w:cs="Times New Roman" w:eastAsia="Times New Roman" w:hAnsi="Times New Roman"/>
          <w:sz w:val="22"/>
          <w:szCs w:val="22"/>
        </w:rPr>
        <w:t xml:space="preserve"> The increasing digitisation of healthcare information enables patients, healthcare professionals, guardians, researchers, and healthcare organisations to participate in data-sharing processes </w:t>
      </w:r>
      <w:r>
        <w:rPr>
          <w:rFonts w:ascii="Times New Roman" w:cs="Times New Roman" w:eastAsia="Times New Roman" w:hAnsi="Times New Roman"/>
          <w:sz w:val="22"/>
          <w:szCs w:val="22"/>
        </w:rPr>
        <w:t xml:space="preserve">(Webber et al. 2019; Welzel et al. 2025)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w:t>
      </w:r>
      <w:r>
        <w:rPr>
          <w:rFonts w:ascii="Times New Roman" w:cs="Times New Roman" w:eastAsia="Times New Roman" w:hAnsi="Times New Roman"/>
          <w:sz w:val="22"/>
          <w:szCs w:val="22"/>
        </w:rPr>
        <w:t xml:space="preserve">(Ibrahim et al. 2024; Webber et al. 2019)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these settings, authorisation is a distributed governance problem, not just a check of a user's login and a static permission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(Theodorakopoulos, Theodoropoulou &amp; Halkiopoulos 2024)</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w:t>
      </w:r>
      <w:r>
        <w:rPr>
          <w:rFonts w:ascii="Times New Roman" w:cs="Times New Roman" w:eastAsia="Times New Roman" w:hAnsi="Times New Roman"/>
          <w:sz w:val="22"/>
          <w:szCs w:val="22"/>
        </w:rPr>
        <w:t xml:space="preserve">(Al Mamun, Azam &amp; Gritti 2022; Hellstern et al. 2022; Li, Liu &amp; Shrestha 2026;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while decentralised identifiers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w:t>
      </w:r>
      <w:r>
        <w:rPr>
          <w:rFonts w:ascii="Times New Roman" w:cs="Times New Roman" w:eastAsia="Times New Roman" w:hAnsi="Times New Roman"/>
          <w:sz w:val="22"/>
          <w:szCs w:val="22"/>
        </w:rPr>
        <w:t xml:space="preserve">Consent must therefore be treated as an active, evaluable part of the authorisation process, not as a static record of permission</w:t>
      </w:r>
      <w:r>
        <w:rPr>
          <w:rFonts w:ascii="Times New Roman" w:cs="Times New Roman" w:eastAsia="Times New Roman" w:hAnsi="Times New Roman"/>
          <w:sz w:val="22"/>
          <w:szCs w:val="22"/>
        </w:rPr>
        <w:t xml:space="preserve">, extending the dynamic consent perspective </w:t>
      </w:r>
      <w:r>
        <w:rPr>
          <w:rFonts w:ascii="Times New Roman" w:cs="Times New Roman" w:eastAsia="Times New Roman" w:hAnsi="Times New Roman"/>
          <w:sz w:val="22"/>
          <w:szCs w:val="22"/>
        </w:rPr>
        <w:t xml:space="preserve">(Khalid et al. 2023; Narkhede, Wankhede &amp; Kamble 2025)</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w:t>
      </w:r>
      <w:r>
        <w:rPr>
          <w:rFonts w:ascii="Times New Roman" w:cs="Times New Roman" w:eastAsia="Times New Roman" w:hAnsi="Times New Roman"/>
          <w:sz w:val="22"/>
          <w:szCs w:val="22"/>
        </w:rPr>
        <w:t xml:space="preserve">(Jesus &amp; Pandit 2022; Khalid et al. 2023)</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color w:val="00B0F0"/>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w:t>
      </w:r>
      <w:r>
        <w:rPr>
          <w:rFonts w:ascii="Times New Roman" w:cs="Times New Roman" w:eastAsia="Times New Roman" w:hAnsi="Times New Roman"/>
          <w:sz w:val="22"/>
          <w:szCs w:val="22"/>
        </w:rPr>
        <w:t xml:space="preserve">(Phuyal et al. 2026b; Wu &amp; Zhang 2025)</w:t>
      </w:r>
      <w:r>
        <w:rPr>
          <w:rFonts w:ascii="Times New Roman" w:cs="Times New Roman" w:eastAsia="Times New Roman" w:hAnsi="Times New Roman"/>
          <w:sz w:val="22"/>
          <w:szCs w:val="22"/>
        </w:rPr>
        <w:t xml:space="preserve">, blockchain-based records, multi-party approval mechanisms </w:t>
      </w:r>
      <w:r>
        <w:rPr>
          <w:rFonts w:ascii="Times New Roman" w:cs="Times New Roman" w:eastAsia="Times New Roman" w:hAnsi="Times New Roman"/>
          <w:sz w:val="22"/>
          <w:szCs w:val="22"/>
        </w:rPr>
        <w:t xml:space="preserve">(Ekholm et al. 2025; Punia et al. 2025; Tan, Chi &amp; Lam 2024)</w:t>
      </w:r>
      <w:r>
        <w:rPr>
          <w:rFonts w:ascii="Times New Roman" w:cs="Times New Roman" w:eastAsia="Times New Roman" w:hAnsi="Times New Roman"/>
          <w:sz w:val="22"/>
          <w:szCs w:val="22"/>
        </w:rPr>
        <w:t xml:space="preserve">, and policy-based access control </w:t>
      </w:r>
      <w:r>
        <w:rPr>
          <w:rFonts w:ascii="Times New Roman" w:cs="Times New Roman" w:eastAsia="Times New Roman" w:hAnsi="Times New Roman"/>
          <w:sz w:val="22"/>
          <w:szCs w:val="22"/>
        </w:rPr>
        <w:t xml:space="preserve">(Eneh et al. 2026; Khayer et al. 2025; Panagoulias et al. 2026; Román-Martínez et al. 2023)</w:t>
      </w:r>
      <w:r>
        <w:rPr>
          <w:rFonts w:ascii="Times New Roman" w:cs="Times New Roman" w:eastAsia="Times New Roman" w:hAnsi="Times New Roman"/>
          <w:sz w:val="22"/>
          <w:szCs w:val="22"/>
        </w:rPr>
        <w:t xml:space="preserve">,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r>
        <w:rPr>
          <w:rFonts w:ascii="Times New Roman" w:cs="Times New Roman" w:eastAsia="Times New Roman" w:hAnsi="Times New Roman"/>
          <w:sz w:val="22"/>
          <w:szCs w:val="22"/>
        </w:rPr>
        <w:t xml:space="preserve"> (SRQ1 to SRQ6, referred to as RQ1 to RQ6)</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w:t>
      </w:r>
      <w:r>
        <w:rPr>
          <w:rFonts w:ascii="Times New Roman" w:cs="Times New Roman" w:eastAsia="Times New Roman" w:hAnsi="Times New Roman"/>
          <w:sz w:val="22"/>
          <w:szCs w:val="22"/>
        </w:rPr>
        <w:t xml:space="preserve">(Li et al. 2026b; Ménétrey et al. 2022)</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w:t>
      </w:r>
      <w:r>
        <w:rPr>
          <w:rFonts w:ascii="Times New Roman" w:cs="Times New Roman" w:eastAsia="Times New Roman" w:hAnsi="Times New Roman"/>
          <w:sz w:val="22"/>
          <w:szCs w:val="22"/>
        </w:rPr>
        <w:t xml:space="preserve">Together, these conditions decide whether an authorisation decision has enough basis to be trusted, not only whether access was requested.</w:t>
      </w:r>
      <w:r>
        <w:rPr>
          <w:rFonts w:ascii="Times New Roman" w:cs="Times New Roman" w:eastAsia="Times New Roman" w:hAnsi="Times New Roman"/>
          <w:sz w:val="22"/>
          <w:szCs w:val="22"/>
        </w:rPr>
        <w:t xml:space="preserve">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jurisdictional conditions, and evidence associated with an authorisation decision.</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and RO6 are in progress, and part of each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color w:val="FF0000"/>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color w:val="FF0000"/>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review does not only list technologies that can be applied to healthcare data sharing. It examines</w:t>
      </w:r>
      <w:r>
        <w:rPr>
          <w:rFonts w:ascii="Times New Roman" w:cs="Times New Roman" w:eastAsia="Times New Roman" w:hAnsi="Times New Roman"/>
          <w:sz w:val="22"/>
          <w:szCs w:val="22"/>
        </w:rPr>
        <w:t xml:space="preserve"> how existing approaches address different conditions required for a trustworthy authorisation decision and where conceptual or architectural gaps remain. Healthcare research has emphasised the importance of patient autonomy, privacy, informed consent, and controlled data sharing </w:t>
      </w:r>
      <w:r>
        <w:rPr>
          <w:rFonts w:ascii="Times New Roman" w:cs="Times New Roman" w:eastAsia="Times New Roman" w:hAnsi="Times New Roman"/>
          <w:sz w:val="22"/>
          <w:szCs w:val="22"/>
        </w:rPr>
        <w:t xml:space="preserve">(Kaplow et al. 2024; Kharlamov, Hohmann &amp; Parry 2023; McClelland &amp; Harper 2023; Narkhede, Wankhede &amp; Kamble 2025; Webber et al. 2019)</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w:t>
      </w:r>
      <w:r>
        <w:rPr>
          <w:rFonts w:ascii="Times New Roman" w:cs="Times New Roman" w:eastAsia="Times New Roman" w:hAnsi="Times New Roman"/>
          <w:sz w:val="22"/>
          <w:szCs w:val="22"/>
        </w:rPr>
        <w:t xml:space="preserve">(Andrew et al. 2023; Arbabi et al. 2023; Ghosh et al. 2023; Nguyen et al. 2025; Turan, Hashimzai &amp; Qiam 2025)</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w:t>
      </w:r>
      <w:r>
        <w:rPr>
          <w:rFonts w:ascii="Times New Roman" w:cs="Times New Roman" w:eastAsia="Times New Roman" w:hAnsi="Times New Roman"/>
          <w:sz w:val="22"/>
          <w:szCs w:val="22"/>
        </w:rPr>
        <w:t xml:space="preserve">(Deng et al. 2024; Flamini et al. 2024; Mazzocca et al. 2025; Nassar Kyriakidou, Papathanasiou &amp; Polyzos 2023; Parameswarath, Gope &amp; Sikdar 2022; Yin et al. 2025)</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w:t>
      </w:r>
      <w:r>
        <w:rPr>
          <w:rFonts w:ascii="Times New Roman" w:cs="Times New Roman" w:eastAsia="Times New Roman" w:hAnsi="Times New Roman"/>
          <w:sz w:val="22"/>
          <w:szCs w:val="22"/>
        </w:rPr>
        <w:t xml:space="preserve">(Jiang et al. 2023; Nazir et al. 2026; Tawfik et al. 2025; Yin et al. 2024)</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 </w:t>
      </w:r>
      <w:r>
        <w:rPr>
          <w:rFonts w:ascii="Times New Roman" w:cs="Times New Roman" w:eastAsia="Times New Roman" w:hAnsi="Times New Roman"/>
          <w:sz w:val="22"/>
          <w:szCs w:val="22"/>
        </w:rPr>
        <w:t xml:space="preserve">Having the security mechanisms is one thing</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combining them into one trustworthy authorisation decision is another.</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data scope, and jurisdiction, temporal validity, 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Every request should be evaluated against contextual constraints such as jurisdiction, because many unauthorised disclosures are caused by legitimate requesters who exceed their scope </w:t>
      </w:r>
      <w:r>
        <w:rPr>
          <w:rFonts w:ascii="Times New Roman" w:cs="Times New Roman" w:eastAsia="Times New Roman" w:hAnsi="Times New Roman"/>
          <w:sz w:val="22"/>
          <w:szCs w:val="22"/>
        </w:rPr>
        <w:t xml:space="preserve">(Jiang et al. 2023)</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w:t>
      </w:r>
      <w:r>
        <w:rPr>
          <w:rFonts w:ascii="Times New Roman" w:cs="Times New Roman" w:eastAsia="Times New Roman" w:hAnsi="Times New Roman"/>
          <w:sz w:val="22"/>
          <w:szCs w:val="22"/>
        </w:rPr>
        <w:t xml:space="preserve">(Page et al. 2021)</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color w:val="00B0F0"/>
          <w:sz w:val="22"/>
          <w:szCs w:val="22"/>
        </w:rPr>
        <w:t xml:space="preserve">All screening, coding, and quality assessment up to the reporting checkpoint were carried out by the author,</w:t>
      </w:r>
      <w:r>
        <w:rPr>
          <w:rFonts w:ascii="Times New Roman" w:cs="Times New Roman" w:eastAsia="Times New Roman" w:hAnsi="Times New Roman"/>
          <w:color w:val="00B0F0"/>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w:t>
      </w:r>
      <w:r>
        <w:rPr>
          <w:rFonts w:ascii="Times New Roman" w:cs="Times New Roman" w:eastAsia="Times New Roman" w:hAnsi="Times New Roman"/>
          <w:sz w:val="22"/>
          <w:szCs w:val="22"/>
        </w:rPr>
        <w:t xml:space="preserve">The questions follow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color w:val="FF0000"/>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w:t>
      </w:r>
      <w:r>
        <w:rPr>
          <w:rFonts w:ascii="Times New Roman" w:cs="Times New Roman" w:eastAsia="Times New Roman" w:hAnsi="Times New Roman"/>
          <w:sz w:val="22"/>
          <w:szCs w:val="22"/>
        </w:rPr>
        <w:t xml:space="preserve">(Albalwy, Brass &amp; Davies 2021; Jaiman &amp; Urovi 2020; Madine et al. 2020; Tith et al. 2020)</w:t>
      </w:r>
      <w:r>
        <w:rPr>
          <w:rFonts w:ascii="Times New Roman" w:cs="Times New Roman" w:eastAsia="Times New Roman" w:hAnsi="Times New Roman"/>
          <w:sz w:val="22"/>
          <w:szCs w:val="22"/>
        </w:rPr>
        <w:t xml:space="preserve">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color w:val="00B0F0"/>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t>
      </w:r>
      <w:r>
        <w:rPr>
          <w:rFonts w:ascii="Times New Roman" w:cs="Times New Roman" w:eastAsia="Times New Roman" w:hAnsi="Times New Roman"/>
          <w:sz w:val="22"/>
          <w:szCs w:val="22"/>
        </w:rPr>
        <w:t xml:space="preserve"> 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2.1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color w:val="FF0000"/>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color w:val="FF0000"/>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 had been assessed, and 44 reports had been fully coded and passed the quality gate. </w:t>
      </w:r>
      <w:r>
        <w:rPr>
          <w:rFonts w:ascii="Times New Roman" w:cs="Times New Roman" w:eastAsia="Times New Roman" w:hAnsi="Times New Roman"/>
          <w:color w:val="FF0000"/>
          <w:sz w:val="22"/>
          <w:szCs w:val="22"/>
        </w:rPr>
        <w:t xml:space="preserve">One full-text report could not be retrieved, and the</w:t>
      </w:r>
      <w:r>
        <w:rPr>
          <w:rFonts w:ascii="Times New Roman" w:cs="Times New Roman" w:eastAsia="Times New Roman" w:hAnsi="Times New Roman"/>
          <w:color w:val="FF0000"/>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color w:val="FF0000"/>
          <w:sz w:val="22"/>
          <w:szCs w:val="22"/>
        </w:rPr>
        <w:t xml:space="preserve">Table 2.1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w:t>
      </w:r>
      <w:r>
        <w:rPr>
          <w:rFonts w:ascii="Times New Roman" w:cs="Times New Roman" w:eastAsia="Times New Roman" w:hAnsi="Times New Roman"/>
          <w:sz w:val="22"/>
          <w:szCs w:val="22"/>
        </w:rPr>
        <w:t xml:space="preserve">(Albalwy, Brass &amp; Davies 2021; Li et al. 2026a)</w:t>
      </w:r>
      <w:r>
        <w:rPr>
          <w:rFonts w:ascii="Times New Roman" w:cs="Times New Roman" w:eastAsia="Times New Roman" w:hAnsi="Times New Roman"/>
          <w:sz w:val="22"/>
          <w:szCs w:val="22"/>
        </w:rPr>
        <w:t xml:space="preserve">, they form the 25 primary studies, S1 to S25. </w:t>
      </w:r>
      <w:r>
        <w:rPr>
          <w:rFonts w:ascii="Times New Roman" w:cs="Times New Roman" w:eastAsia="Times New Roman" w:hAnsi="Times New Roman"/>
          <w:color w:val="FF0000"/>
          <w:sz w:val="22"/>
          <w:szCs w:val="22"/>
        </w:rPr>
        <w:t xml:space="preserve">Table 2.2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2.1: </w:t>
      </w:r>
      <w:r>
        <w:rPr>
          <w:rFonts w:ascii="Times New Roman" w:cs="Times New Roman" w:eastAsia="Times New Roman" w:hAnsi="Times New Roman"/>
          <w:color w:val="FF0000"/>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w:t>
            </w:r>
          </w:p>
        </w:tc>
      </w:tr>
    </w:tbl>
    <w:p>
      <w:pPr>
        <w:spacing w:after="160"/>
      </w:pPr>
    </w:p>
    <w:p>
      <w:pPr>
        <w:keepNext/>
        <w:spacing w:after="60" w:before="160"/>
        <w:jc w:val="center"/>
      </w:pPr>
      <w:r>
        <w:drawing>
          <wp:inline distT="0" distB="0" distL="0" distR="0">
            <wp:extent cx="5715000" cy="521970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19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color w:val="00B0F0"/>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2.2: </w:t>
      </w:r>
      <w:r>
        <w:rPr>
          <w:rFonts w:ascii="Times New Roman" w:cs="Times New Roman" w:eastAsia="Times New Roman" w:hAnsi="Times New Roman"/>
          <w:color w:val="FF0000"/>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Abbasi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Albalwy et al. </w:t>
            </w:r>
            <w:r>
              <w:rPr>
                <w:rFonts w:ascii="Times New Roman" w:cs="Times New Roman" w:eastAsia="Times New Roman" w:hAnsi="Times New Roman"/>
                <w:b w:val="false"/>
                <w:bCs w:val="false"/>
                <w:color w:val="FF0000"/>
                <w:sz w:val="17"/>
                <w:szCs w:val="17"/>
              </w:rPr>
              <w:t xml:space="preserve">(2021)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Al Amin et al. </w:t>
            </w:r>
            <w:r>
              <w:rPr>
                <w:rFonts w:ascii="Times New Roman" w:cs="Times New Roman" w:eastAsia="Times New Roman" w:hAnsi="Times New Roman"/>
                <w:b w:val="false"/>
                <w:bCs w:val="false"/>
                <w:color w:val="FF0000"/>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Ekholm et al. </w:t>
            </w:r>
            <w:r>
              <w:rPr>
                <w:rFonts w:ascii="Times New Roman" w:cs="Times New Roman" w:eastAsia="Times New Roman" w:hAnsi="Times New Roman"/>
                <w:b w:val="false"/>
                <w:bCs w:val="false"/>
                <w:color w:val="FF0000"/>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Eneh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Hagström et al. </w:t>
            </w:r>
            <w:r>
              <w:rPr>
                <w:rFonts w:ascii="Times New Roman" w:cs="Times New Roman" w:eastAsia="Times New Roman" w:hAnsi="Times New Roman"/>
                <w:b w:val="false"/>
                <w:bCs w:val="false"/>
                <w:color w:val="FF0000"/>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Jaiman and Urovi </w:t>
            </w:r>
            <w:r>
              <w:rPr>
                <w:rFonts w:ascii="Times New Roman" w:cs="Times New Roman" w:eastAsia="Times New Roman" w:hAnsi="Times New Roman"/>
                <w:b w:val="false"/>
                <w:bCs w:val="false"/>
                <w:color w:val="FF0000"/>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Zhao and Su </w:t>
            </w:r>
            <w:r>
              <w:rPr>
                <w:rFonts w:ascii="Times New Roman" w:cs="Times New Roman" w:eastAsia="Times New Roman" w:hAnsi="Times New Roman"/>
                <w:b w:val="false"/>
                <w:bCs w:val="false"/>
                <w:color w:val="FF0000"/>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Li et al. </w:t>
            </w:r>
            <w:r>
              <w:rPr>
                <w:rFonts w:ascii="Times New Roman" w:cs="Times New Roman" w:eastAsia="Times New Roman" w:hAnsi="Times New Roman"/>
                <w:b w:val="false"/>
                <w:bCs w:val="false"/>
                <w:color w:val="FF0000"/>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Madine et al. </w:t>
            </w:r>
            <w:r>
              <w:rPr>
                <w:rFonts w:ascii="Times New Roman" w:cs="Times New Roman" w:eastAsia="Times New Roman" w:hAnsi="Times New Roman"/>
                <w:b w:val="false"/>
                <w:bCs w:val="false"/>
                <w:color w:val="FF0000"/>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Maruthi and Singh </w:t>
            </w:r>
            <w:r>
              <w:rPr>
                <w:rFonts w:ascii="Times New Roman" w:cs="Times New Roman" w:eastAsia="Times New Roman" w:hAnsi="Times New Roman"/>
                <w:b w:val="false"/>
                <w:bCs w:val="false"/>
                <w:color w:val="FF0000"/>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Mei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Panagoulias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Phuyal et al. </w:t>
            </w:r>
            <w:r>
              <w:rPr>
                <w:rFonts w:ascii="Times New Roman" w:cs="Times New Roman" w:eastAsia="Times New Roman" w:hAnsi="Times New Roman"/>
                <w:b w:val="false"/>
                <w:bCs w:val="false"/>
                <w:color w:val="FF0000"/>
                <w:sz w:val="17"/>
                <w:szCs w:val="17"/>
              </w:rPr>
              <w:t xml:space="preserve">(2026b)</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Phuyal et al. </w:t>
            </w:r>
            <w:r>
              <w:rPr>
                <w:rFonts w:ascii="Times New Roman" w:cs="Times New Roman" w:eastAsia="Times New Roman" w:hAnsi="Times New Roman"/>
                <w:b w:val="false"/>
                <w:bCs w:val="false"/>
                <w:color w:val="FF0000"/>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Punia et al. </w:t>
            </w:r>
            <w:r>
              <w:rPr>
                <w:rFonts w:ascii="Times New Roman" w:cs="Times New Roman" w:eastAsia="Times New Roman" w:hAnsi="Times New Roman"/>
                <w:b w:val="false"/>
                <w:bCs w:val="false"/>
                <w:color w:val="FF0000"/>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Román-Martínez et al. </w:t>
            </w:r>
            <w:r>
              <w:rPr>
                <w:rFonts w:ascii="Times New Roman" w:cs="Times New Roman" w:eastAsia="Times New Roman" w:hAnsi="Times New Roman"/>
                <w:b w:val="false"/>
                <w:bCs w:val="false"/>
                <w:color w:val="FF0000"/>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Hema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00B0F0"/>
                <w:sz w:val="17"/>
                <w:szCs w:val="17"/>
              </w:rPr>
              <w:t xml:space="preserve">SooHoo</w:t>
            </w:r>
            <w:r>
              <w:rPr>
                <w:rFonts w:ascii="Times New Roman" w:cs="Times New Roman" w:eastAsia="Times New Roman" w:hAnsi="Times New Roman"/>
                <w:b w:val="false"/>
                <w:bCs w:val="false"/>
                <w:color w:val="FF0000"/>
                <w:sz w:val="17"/>
                <w:szCs w:val="17"/>
              </w:rPr>
              <w:t xml:space="preserve">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Tan et al. </w:t>
            </w:r>
            <w:r>
              <w:rPr>
                <w:rFonts w:ascii="Times New Roman" w:cs="Times New Roman" w:eastAsia="Times New Roman" w:hAnsi="Times New Roman"/>
                <w:b w:val="false"/>
                <w:bCs w:val="false"/>
                <w:color w:val="FF0000"/>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Tith et al. </w:t>
            </w:r>
            <w:r>
              <w:rPr>
                <w:rFonts w:ascii="Times New Roman" w:cs="Times New Roman" w:eastAsia="Times New Roman" w:hAnsi="Times New Roman"/>
                <w:b w:val="false"/>
                <w:bCs w:val="false"/>
                <w:color w:val="FF0000"/>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Tremper et al. </w:t>
            </w:r>
            <w:r>
              <w:rPr>
                <w:rFonts w:ascii="Times New Roman" w:cs="Times New Roman" w:eastAsia="Times New Roman" w:hAnsi="Times New Roman"/>
                <w:b w:val="false"/>
                <w:bCs w:val="false"/>
                <w:color w:val="FF0000"/>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Tseng et al. </w:t>
            </w:r>
            <w:r>
              <w:rPr>
                <w:rFonts w:ascii="Times New Roman" w:cs="Times New Roman" w:eastAsia="Times New Roman" w:hAnsi="Times New Roman"/>
                <w:b w:val="false"/>
                <w:bCs w:val="false"/>
                <w:color w:val="FF0000"/>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Wu et al. </w:t>
            </w:r>
            <w:r>
              <w:rPr>
                <w:rFonts w:ascii="Times New Roman" w:cs="Times New Roman" w:eastAsia="Times New Roman" w:hAnsi="Times New Roman"/>
                <w:b w:val="false"/>
                <w:bCs w:val="false"/>
                <w:color w:val="FF0000"/>
                <w:sz w:val="17"/>
                <w:szCs w:val="17"/>
              </w:rPr>
              <w:t xml:space="preserve">(2022)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00B0F0"/>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Wu and Zhang </w:t>
            </w:r>
            <w:r>
              <w:rPr>
                <w:rFonts w:ascii="Times New Roman" w:cs="Times New Roman" w:eastAsia="Times New Roman" w:hAnsi="Times New Roman"/>
                <w:b w:val="false"/>
                <w:bCs w:val="false"/>
                <w:color w:val="FF0000"/>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color w:val="00B0F0"/>
          <w:sz w:val="22"/>
          <w:szCs w:val="22"/>
        </w:rPr>
        <w:t xml:space="preserve">Each included study was assigned to one stream, normally the one on which it is coded most strongly</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color w:val="00B0F0"/>
          <w:sz w:val="22"/>
          <w:szCs w:val="22"/>
        </w:rPr>
        <w:t xml:space="preserve"> S6 </w:t>
      </w:r>
      <w:r>
        <w:rPr>
          <w:rFonts w:ascii="Times New Roman" w:cs="Times New Roman" w:eastAsia="Times New Roman" w:hAnsi="Times New Roman"/>
          <w:color w:val="00B0F0"/>
          <w:sz w:val="22"/>
          <w:szCs w:val="22"/>
        </w:rPr>
        <w:t xml:space="preserve">(Hagström et al. 2024)</w:t>
      </w:r>
      <w:r>
        <w:rPr>
          <w:rFonts w:ascii="Times New Roman" w:cs="Times New Roman" w:eastAsia="Times New Roman" w:hAnsi="Times New Roman"/>
          <w:color w:val="00B0F0"/>
          <w:sz w:val="22"/>
          <w:szCs w:val="22"/>
        </w:rPr>
        <w:t xml:space="preserve">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FF0000"/>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SooHoo</w:t>
      </w:r>
      <w:r>
        <w:rPr>
          <w:rFonts w:ascii="Times New Roman" w:cs="Times New Roman" w:eastAsia="Times New Roman" w:hAnsi="Times New Roman"/>
          <w:sz w:val="22"/>
          <w:szCs w:val="22"/>
        </w:rPr>
        <w:t xml:space="preserve">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describe the iAgree portal across three United States health systems with a permissioned Ethereum audit contract, but consent enforcement is outside its scope. Tremper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report ten years of the Mainzelliste service with FHIR consent directives, but specify no check semantics and no demonstrated enforcement of withdrawal. </w:t>
      </w:r>
      <w:r>
        <w:rPr>
          <w:rFonts w:ascii="Times New Roman" w:cs="Times New Roman" w:eastAsia="Times New Roman" w:hAnsi="Times New Roman"/>
          <w:color w:val="FF0000"/>
          <w:sz w:val="22"/>
          <w:szCs w:val="22"/>
        </w:rPr>
        <w:t xml:space="preserve">The two platforms are single-party systems. Al Amin et al. </w:t>
      </w:r>
      <w:r>
        <w:rPr>
          <w:rFonts w:ascii="Times New Roman" w:cs="Times New Roman" w:eastAsia="Times New Roman" w:hAnsi="Times New Roman"/>
          <w:color w:val="FF0000"/>
          <w:sz w:val="22"/>
          <w:szCs w:val="22"/>
        </w:rPr>
        <w:t xml:space="preserve">(2023)</w:t>
      </w:r>
      <w:r>
        <w:rPr>
          <w:rFonts w:ascii="Times New Roman" w:cs="Times New Roman" w:eastAsia="Times New Roman" w:hAnsi="Times New Roman"/>
          <w:color w:val="FF0000"/>
          <w:sz w:val="22"/>
          <w:szCs w:val="22"/>
        </w:rPr>
        <w:t xml:space="preserve">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color w:val="00B0F0"/>
          <w:sz w:val="22"/>
          <w:szCs w:val="22"/>
        </w:rPr>
        <w:t xml:space="preserve">operation </w:t>
      </w:r>
      <w:r>
        <w:rPr>
          <w:rFonts w:ascii="Times New Roman" w:cs="Times New Roman" w:eastAsia="Times New Roman" w:hAnsi="Times New Roman"/>
          <w:color w:val="00B0F0"/>
          <w:sz w:val="22"/>
          <w:szCs w:val="22"/>
        </w:rPr>
        <w:t xml:space="preserve">(Akter &amp; Sanam 2025; Prashanth et al. 2024)</w:t>
      </w:r>
      <w:r>
        <w:rPr>
          <w:rFonts w:ascii="Times New Roman" w:cs="Times New Roman" w:eastAsia="Times New Roman" w:hAnsi="Times New Roman"/>
          <w:color w:val="00B0F0"/>
          <w:sz w:val="22"/>
          <w:szCs w:val="22"/>
        </w:rPr>
        <w:t xml:space="preserve">, as conditions fixed at encryption time </w:t>
      </w:r>
      <w:r>
        <w:rPr>
          <w:rFonts w:ascii="Times New Roman" w:cs="Times New Roman" w:eastAsia="Times New Roman" w:hAnsi="Times New Roman"/>
          <w:color w:val="00B0F0"/>
          <w:sz w:val="22"/>
          <w:szCs w:val="22"/>
        </w:rPr>
        <w:t xml:space="preserve">(Zhang, Kan &amp; Huang 2022)</w:t>
      </w:r>
      <w:r>
        <w:rPr>
          <w:rFonts w:ascii="Times New Roman" w:cs="Times New Roman" w:eastAsia="Times New Roman" w:hAnsi="Times New Roman"/>
          <w:color w:val="00B0F0"/>
          <w:sz w:val="22"/>
          <w:szCs w:val="22"/>
        </w:rPr>
        <w:t xml:space="preserve">, or as a key issued by the patient for each request </w:t>
      </w:r>
      <w:r>
        <w:rPr>
          <w:rFonts w:ascii="Times New Roman" w:cs="Times New Roman" w:eastAsia="Times New Roman" w:hAnsi="Times New Roman"/>
          <w:color w:val="00B0F0"/>
          <w:sz w:val="22"/>
          <w:szCs w:val="22"/>
        </w:rPr>
        <w:t xml:space="preserve">(Teeda &amp; Subba Rao 2026)</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r>
        <w:rPr>
          <w:rFonts w:ascii="Times New Roman" w:cs="Times New Roman" w:eastAsia="Times New Roman" w:hAnsi="Times New Roman"/>
          <w:sz w:val="22"/>
          <w:szCs w:val="22"/>
        </w:rPr>
        <w:t xml:space="preserve"> Table 2.3 summarises the description and the issues and limitations of each primary study.</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The trust dimension T2 was graded Yes in only 10 of the 25 studies and Partial in 15, and the stricter Req 2 grade in Table 2.4, which needs both identity and authority, is Yes in only 7.</w:t>
      </w:r>
      <w:r>
        <w:rPr>
          <w:rFonts w:ascii="Times New Roman" w:cs="Times New Roman" w:eastAsia="Times New Roman" w:hAnsi="Times New Roman"/>
          <w:sz w:val="22"/>
          <w:szCs w:val="22"/>
        </w:rPr>
        <w:t xml:space="preserve"> Phuyal et al. </w:t>
      </w:r>
      <w:r>
        <w:rPr>
          <w:rFonts w:ascii="Times New Roman" w:cs="Times New Roman" w:eastAsia="Times New Roman" w:hAnsi="Times New Roman"/>
          <w:sz w:val="22"/>
          <w:szCs w:val="22"/>
        </w:rPr>
        <w:t xml:space="preserve">(2026b)</w:t>
      </w:r>
      <w:r>
        <w:rPr>
          <w:rFonts w:ascii="Times New Roman" w:cs="Times New Roman" w:eastAsia="Times New Roman" w:hAnsi="Times New Roman"/>
          <w:sz w:val="22"/>
          <w:szCs w:val="22"/>
        </w:rPr>
        <w:t xml:space="preserve">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color w:val="00B0F0"/>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w:t>
      </w:r>
      <w:r>
        <w:rPr>
          <w:rFonts w:ascii="Times New Roman" w:cs="Times New Roman" w:eastAsia="Times New Roman" w:hAnsi="Times New Roman"/>
          <w:sz w:val="22"/>
          <w:szCs w:val="22"/>
        </w:rPr>
        <w:t xml:space="preserve">(Phuyal et al. 2026a)</w:t>
      </w:r>
      <w:r>
        <w:rPr>
          <w:rFonts w:ascii="Times New Roman" w:cs="Times New Roman" w:eastAsia="Times New Roman" w:hAnsi="Times New Roman"/>
          <w:sz w:val="22"/>
          <w:szCs w:val="22"/>
        </w:rPr>
        <w:t xml:space="preserve"> is design-only. Tseng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require a regulator and a guardian threshold on the incapacitated path, but a single patient key suffices on the normal path. Wu et al. </w:t>
      </w:r>
      <w:r>
        <w:rPr>
          <w:rFonts w:ascii="Times New Roman" w:cs="Times New Roman" w:eastAsia="Times New Roman" w:hAnsi="Times New Roman"/>
          <w:sz w:val="22"/>
          <w:szCs w:val="22"/>
        </w:rPr>
        <w:t xml:space="preserve">(2022)</w:t>
      </w:r>
      <w:r>
        <w:rPr>
          <w:rFonts w:ascii="Times New Roman" w:cs="Times New Roman" w:eastAsia="Times New Roman" w:hAnsi="Times New Roman"/>
          <w:sz w:val="22"/>
          <w:szCs w:val="22"/>
        </w:rPr>
        <w:t xml:space="preserve"> apply a (t, n) investigator threshold to record admission and revocation, and Abbasi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use a Shamir (5, 3) threshold for key custody. Punia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conjoin an M-of-N multi-signature with an attribute and role policy, but a single emergency officer can bypass the threshold. Tan et al.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use patient-appointed verifiers as a contingency, </w:t>
      </w:r>
      <w:r>
        <w:rPr>
          <w:rFonts w:ascii="Times New Roman" w:cs="Times New Roman" w:eastAsia="Times New Roman" w:hAnsi="Times New Roman"/>
          <w:color w:val="FF0000"/>
          <w:sz w:val="22"/>
          <w:szCs w:val="22"/>
        </w:rPr>
        <w:t xml:space="preserve">(Ekholm et al. 2025)</w:t>
      </w:r>
      <w:r>
        <w:rPr>
          <w:rFonts w:ascii="Times New Roman" w:cs="Times New Roman" w:eastAsia="Times New Roman" w:hAnsi="Times New Roman"/>
          <w:color w:val="FF0000"/>
          <w:sz w:val="22"/>
          <w:szCs w:val="22"/>
        </w:rPr>
        <w:t xml:space="preserve"> reports guardian co-consent at registration time, and </w:t>
      </w:r>
      <w:r>
        <w:rPr>
          <w:rFonts w:ascii="Times New Roman" w:cs="Times New Roman" w:eastAsia="Times New Roman" w:hAnsi="Times New Roman"/>
          <w:color w:val="FF0000"/>
          <w:sz w:val="22"/>
          <w:szCs w:val="22"/>
        </w:rPr>
        <w:t xml:space="preserve">(Hagström et al. 2024)</w:t>
      </w:r>
      <w:r>
        <w:rPr>
          <w:rFonts w:ascii="Times New Roman" w:cs="Times New Roman" w:eastAsia="Times New Roman" w:hAnsi="Times New Roman"/>
          <w:color w:val="FF0000"/>
          <w:sz w:val="22"/>
          <w:szCs w:val="22"/>
        </w:rPr>
        <w:t xml:space="preserve">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jurisdictional conditions. </w:t>
      </w:r>
      <w:r>
        <w:rPr>
          <w:rFonts w:ascii="Times New Roman" w:cs="Times New Roman" w:eastAsia="Times New Roman" w:hAnsi="Times New Roman"/>
          <w:sz w:val="22"/>
          <w:szCs w:val="22"/>
        </w:rPr>
        <w:t xml:space="preserve"> 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Tith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a purpose tree in chaincode, and Jaiman and Urovi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ontology terms against the patient's consent. Albalwy et al. </w:t>
      </w:r>
      <w:r>
        <w:rPr>
          <w:rFonts w:ascii="Times New Roman" w:cs="Times New Roman" w:eastAsia="Times New Roman" w:hAnsi="Times New Roman"/>
          <w:sz w:val="22"/>
          <w:szCs w:val="22"/>
        </w:rPr>
        <w:t xml:space="preserve">(2021)</w:t>
      </w:r>
      <w:r>
        <w:rPr>
          <w:rFonts w:ascii="Times New Roman" w:cs="Times New Roman" w:eastAsia="Times New Roman" w:hAnsi="Times New Roman"/>
          <w:sz w:val="22"/>
          <w:szCs w:val="22"/>
        </w:rPr>
        <w:t xml:space="preserve"> evaluate a hashed policy tree of data type, role, and purpose, and Román-Martínez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evaluate the FHIR purpose-of-use through XACML. </w:t>
      </w:r>
      <w:r>
        <w:rPr>
          <w:rFonts w:ascii="Times New Roman" w:cs="Times New Roman" w:eastAsia="Times New Roman" w:hAnsi="Times New Roman"/>
          <w:color w:val="00B0F0"/>
          <w:sz w:val="22"/>
          <w:szCs w:val="22"/>
        </w:rPr>
        <w:t xml:space="preserve">The trust dimension T4 is coded Yes in 11 studies, Partial in 10, and No in 4, and the Req 4 grade in Table 2.4 is Yes in 10, Partial in 11, and No in 4.</w:t>
      </w:r>
      <w:r>
        <w:rPr>
          <w:rFonts w:ascii="Times New Roman" w:cs="Times New Roman" w:eastAsia="Times New Roman" w:hAnsi="Times New Roman"/>
          <w:sz w:val="22"/>
          <w:szCs w:val="22"/>
        </w:rPr>
        <w:t xml:space="preserve"> However, purpose-of-use enters the decision in only six studies </w:t>
      </w:r>
      <w:r>
        <w:rPr>
          <w:rFonts w:ascii="Times New Roman" w:cs="Times New Roman" w:eastAsia="Times New Roman" w:hAnsi="Times New Roman"/>
          <w:sz w:val="22"/>
          <w:szCs w:val="22"/>
        </w:rPr>
        <w:t xml:space="preserve">(Eneh et al. 2026; Panagoulias et al. 2026)</w:t>
      </w:r>
      <w:r>
        <w:rPr>
          <w:rFonts w:ascii="Times New Roman" w:cs="Times New Roman" w:eastAsia="Times New Roman" w:hAnsi="Times New Roman"/>
          <w:sz w:val="22"/>
          <w:szCs w:val="22"/>
        </w:rPr>
        <w:t xml:space="preserve">,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present EdgeConsent, </w:t>
      </w:r>
      <w:r>
        <w:rPr>
          <w:rFonts w:ascii="Times New Roman" w:cs="Times New Roman" w:eastAsia="Times New Roman" w:hAnsi="Times New Roman"/>
          <w:color w:val="FF0000"/>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bind the expiry into key derivation, and 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enforce revocation at decision time across 43,500 simulated attempts in a single-node ledger.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color w:val="00B0F0"/>
          <w:sz w:val="22"/>
          <w:szCs w:val="22"/>
        </w:rPr>
        <w:t xml:space="preserve">is demonstrated only by </w:t>
      </w:r>
      <w:r>
        <w:rPr>
          <w:rFonts w:ascii="Times New Roman" w:cs="Times New Roman" w:eastAsia="Times New Roman" w:hAnsi="Times New Roman"/>
          <w:color w:val="00B0F0"/>
          <w:sz w:val="22"/>
          <w:szCs w:val="22"/>
        </w:rPr>
        <w:t xml:space="preserve">(Phuyal et al. 2026b)</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sz w:val="22"/>
          <w:szCs w:val="22"/>
        </w:rPr>
        <w:t xml:space="preserve">, with Li et al. </w:t>
      </w:r>
      <w:r>
        <w:rPr>
          <w:rFonts w:ascii="Times New Roman" w:cs="Times New Roman" w:eastAsia="Times New Roman" w:hAnsi="Times New Roman"/>
          <w:sz w:val="22"/>
          <w:szCs w:val="22"/>
        </w:rPr>
        <w:t xml:space="preserve">(2026a)</w:t>
      </w:r>
      <w:r>
        <w:rPr>
          <w:rFonts w:ascii="Times New Roman" w:cs="Times New Roman" w:eastAsia="Times New Roman" w:hAnsi="Times New Roman"/>
          <w:sz w:val="22"/>
          <w:szCs w:val="22"/>
        </w:rPr>
        <w:t xml:space="preserve">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present HealthDID, with three game-based definitions and three theorems proved by reduction, although </w:t>
      </w:r>
      <w:r>
        <w:rPr>
          <w:rFonts w:ascii="Times New Roman" w:cs="Times New Roman" w:eastAsia="Times New Roman" w:hAnsi="Times New Roman"/>
          <w:color w:val="FF0000"/>
          <w:sz w:val="22"/>
          <w:szCs w:val="22"/>
        </w:rPr>
        <w:t xml:space="preserve">the proofs cover</w:t>
      </w:r>
      <w:r>
        <w:rPr>
          <w:rFonts w:ascii="Times New Roman" w:cs="Times New Roman" w:eastAsia="Times New Roman" w:hAnsi="Times New Roman"/>
          <w:sz w:val="22"/>
          <w:szCs w:val="22"/>
        </w:rPr>
        <w:t xml:space="preserve"> only the identity and authority fragment. Zhao and Su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and Maruthi and Singh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prove threshold gates in isolation, and Mei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prove a static encryption predicate. Formal assurance is coded Yes in only 4 of the 25 studies, and empirical validation Yes in 5, Partial in 19, and No in 1. </w:t>
      </w:r>
      <w:r>
        <w:rPr>
          <w:rFonts w:ascii="Times New Roman" w:cs="Times New Roman" w:eastAsia="Times New Roman" w:hAnsi="Times New Roman"/>
          <w:color w:val="FF0000"/>
          <w:sz w:val="22"/>
          <w:szCs w:val="22"/>
        </w:rPr>
        <w:t xml:space="preserve">An inverse relation between predicate breadth and assurance strength was observed</w:t>
      </w:r>
      <w:r>
        <w:rPr>
          <w:rFonts w:ascii="Times New Roman" w:cs="Times New Roman" w:eastAsia="Times New Roman" w:hAnsi="Times New Roman"/>
          <w:color w:val="FF0000"/>
          <w:sz w:val="22"/>
          <w:szCs w:val="22"/>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FF0000"/>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w:t>
      </w:r>
    </w:p>
    <w:p>
      <w:pPr>
        <w:keepNext/>
        <w:spacing w:after="80" w:before="200"/>
        <w:jc w:val="center"/>
      </w:pPr>
      <w:r>
        <w:rPr>
          <w:rFonts w:ascii="Times New Roman" w:cs="Times New Roman" w:eastAsia="Times New Roman" w:hAnsi="Times New Roman"/>
          <w:b/>
          <w:bCs/>
          <w:sz w:val="18"/>
          <w:szCs w:val="18"/>
        </w:rPr>
        <w:t xml:space="preserve">Table 2.3: </w:t>
      </w:r>
      <w:r>
        <w:rPr>
          <w:rFonts w:ascii="Times New Roman" w:cs="Times New Roman" w:eastAsia="Times New Roman" w:hAnsi="Times New Roman"/>
          <w:color w:val="FF0000"/>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 Abbasi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 Albalwy et al. </w:t>
            </w:r>
            <w:r>
              <w:rPr>
                <w:rFonts w:ascii="Times New Roman" w:cs="Times New Roman" w:eastAsia="Times New Roman" w:hAnsi="Times New Roman"/>
                <w:b w:val="false"/>
                <w:bCs w:val="false"/>
                <w:color w:val="FF0000"/>
                <w:sz w:val="17"/>
                <w:szCs w:val="17"/>
              </w:rPr>
              <w:t xml:space="preserve">(2021)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S3 Al Amin et al. </w:t>
            </w:r>
            <w:r>
              <w:rPr>
                <w:rFonts w:ascii="Times New Roman" w:cs="Times New Roman" w:eastAsia="Times New Roman" w:hAnsi="Times New Roman"/>
                <w:b w:val="false"/>
                <w:bCs w:val="false"/>
                <w:color w:val="FF0000"/>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S4 Ekholm et al. </w:t>
            </w:r>
            <w:r>
              <w:rPr>
                <w:rFonts w:ascii="Times New Roman" w:cs="Times New Roman" w:eastAsia="Times New Roman" w:hAnsi="Times New Roman"/>
                <w:b w:val="false"/>
                <w:bCs w:val="false"/>
                <w:color w:val="FF0000"/>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S5 Eneh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S6 Hagström et al. </w:t>
            </w:r>
            <w:r>
              <w:rPr>
                <w:rFonts w:ascii="Times New Roman" w:cs="Times New Roman" w:eastAsia="Times New Roman" w:hAnsi="Times New Roman"/>
                <w:b w:val="false"/>
                <w:bCs w:val="false"/>
                <w:color w:val="FF0000"/>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S7 Jaiman and Urovi </w:t>
            </w:r>
            <w:r>
              <w:rPr>
                <w:rFonts w:ascii="Times New Roman" w:cs="Times New Roman" w:eastAsia="Times New Roman" w:hAnsi="Times New Roman"/>
                <w:b w:val="false"/>
                <w:bCs w:val="false"/>
                <w:color w:val="FF0000"/>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S8 Zhao and Su </w:t>
            </w:r>
            <w:r>
              <w:rPr>
                <w:rFonts w:ascii="Times New Roman" w:cs="Times New Roman" w:eastAsia="Times New Roman" w:hAnsi="Times New Roman"/>
                <w:b w:val="false"/>
                <w:bCs w:val="false"/>
                <w:color w:val="FF0000"/>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S9 Li et al. </w:t>
            </w:r>
            <w:r>
              <w:rPr>
                <w:rFonts w:ascii="Times New Roman" w:cs="Times New Roman" w:eastAsia="Times New Roman" w:hAnsi="Times New Roman"/>
                <w:b w:val="false"/>
                <w:bCs w:val="false"/>
                <w:color w:val="FF0000"/>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00B0F0"/>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S10 Madine et al. </w:t>
            </w:r>
            <w:r>
              <w:rPr>
                <w:rFonts w:ascii="Times New Roman" w:cs="Times New Roman" w:eastAsia="Times New Roman" w:hAnsi="Times New Roman"/>
                <w:b w:val="false"/>
                <w:bCs w:val="false"/>
                <w:color w:val="FF0000"/>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On the normal path a single patient key authorises, so multi-party approval is a contingency</w:t>
            </w:r>
            <w:r>
              <w:rPr>
                <w:rFonts w:ascii="Times New Roman" w:cs="Times New Roman" w:eastAsia="Times New Roman" w:hAnsi="Times New Roman"/>
                <w:b w:val="false"/>
                <w:bCs w:val="false"/>
                <w:color w:val="FF0000"/>
                <w:sz w:val="17"/>
                <w:szCs w:val="17"/>
              </w:rPr>
              <w:t xml:space="preserve">;</w:t>
            </w:r>
            <w:r>
              <w:rPr>
                <w:rFonts w:ascii="Times New Roman" w:cs="Times New Roman" w:eastAsia="Times New Roman" w:hAnsi="Times New Roman"/>
                <w:b w:val="false"/>
                <w:bCs w:val="false"/>
                <w:color w:val="FF0000"/>
                <w:sz w:val="17"/>
                <w:szCs w:val="17"/>
              </w:rPr>
              <w:t xml:space="preserve"> purpose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S11 Maruthi and Singh </w:t>
            </w:r>
            <w:r>
              <w:rPr>
                <w:rFonts w:ascii="Times New Roman" w:cs="Times New Roman" w:eastAsia="Times New Roman" w:hAnsi="Times New Roman"/>
                <w:b w:val="false"/>
                <w:bCs w:val="false"/>
                <w:color w:val="FF0000"/>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S12 Mei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S13 Panagoulias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S14 Phuyal et al. </w:t>
            </w:r>
            <w:r>
              <w:rPr>
                <w:rFonts w:ascii="Times New Roman" w:cs="Times New Roman" w:eastAsia="Times New Roman" w:hAnsi="Times New Roman"/>
                <w:b w:val="false"/>
                <w:bCs w:val="false"/>
                <w:color w:val="FF0000"/>
                <w:sz w:val="17"/>
                <w:szCs w:val="17"/>
              </w:rPr>
              <w:t xml:space="preserve">(2026b)</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S15 Phuyal et al. </w:t>
            </w:r>
            <w:r>
              <w:rPr>
                <w:rFonts w:ascii="Times New Roman" w:cs="Times New Roman" w:eastAsia="Times New Roman" w:hAnsi="Times New Roman"/>
                <w:b w:val="false"/>
                <w:bCs w:val="false"/>
                <w:color w:val="FF0000"/>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S16 Punia et al. </w:t>
            </w:r>
            <w:r>
              <w:rPr>
                <w:rFonts w:ascii="Times New Roman" w:cs="Times New Roman" w:eastAsia="Times New Roman" w:hAnsi="Times New Roman"/>
                <w:b w:val="false"/>
                <w:bCs w:val="false"/>
                <w:color w:val="FF0000"/>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S17 Román-Martínez et al. </w:t>
            </w:r>
            <w:r>
              <w:rPr>
                <w:rFonts w:ascii="Times New Roman" w:cs="Times New Roman" w:eastAsia="Times New Roman" w:hAnsi="Times New Roman"/>
                <w:b w:val="false"/>
                <w:bCs w:val="false"/>
                <w:color w:val="FF0000"/>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S18 Hema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S19 </w:t>
            </w:r>
            <w:r>
              <w:rPr>
                <w:rFonts w:ascii="Times New Roman" w:cs="Times New Roman" w:eastAsia="Times New Roman" w:hAnsi="Times New Roman"/>
                <w:b w:val="false"/>
                <w:bCs w:val="false"/>
                <w:color w:val="00B0F0"/>
                <w:sz w:val="17"/>
                <w:szCs w:val="17"/>
              </w:rPr>
              <w:t xml:space="preserve">SooHoo</w:t>
            </w:r>
            <w:r>
              <w:rPr>
                <w:rFonts w:ascii="Times New Roman" w:cs="Times New Roman" w:eastAsia="Times New Roman" w:hAnsi="Times New Roman"/>
                <w:b w:val="false"/>
                <w:bCs w:val="false"/>
                <w:color w:val="FF0000"/>
                <w:sz w:val="17"/>
                <w:szCs w:val="17"/>
              </w:rPr>
              <w:t xml:space="preserve">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S20 Tan et al. </w:t>
            </w:r>
            <w:r>
              <w:rPr>
                <w:rFonts w:ascii="Times New Roman" w:cs="Times New Roman" w:eastAsia="Times New Roman" w:hAnsi="Times New Roman"/>
                <w:b w:val="false"/>
                <w:bCs w:val="false"/>
                <w:color w:val="FF0000"/>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S21 Tith et al. </w:t>
            </w:r>
            <w:r>
              <w:rPr>
                <w:rFonts w:ascii="Times New Roman" w:cs="Times New Roman" w:eastAsia="Times New Roman" w:hAnsi="Times New Roman"/>
                <w:b w:val="false"/>
                <w:bCs w:val="false"/>
                <w:color w:val="FF0000"/>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S22 Tremper et al. </w:t>
            </w:r>
            <w:r>
              <w:rPr>
                <w:rFonts w:ascii="Times New Roman" w:cs="Times New Roman" w:eastAsia="Times New Roman" w:hAnsi="Times New Roman"/>
                <w:b w:val="false"/>
                <w:bCs w:val="false"/>
                <w:color w:val="FF0000"/>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S23 Tseng et al. </w:t>
            </w:r>
            <w:r>
              <w:rPr>
                <w:rFonts w:ascii="Times New Roman" w:cs="Times New Roman" w:eastAsia="Times New Roman" w:hAnsi="Times New Roman"/>
                <w:b w:val="false"/>
                <w:bCs w:val="false"/>
                <w:color w:val="FF0000"/>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S24 Wu et al. </w:t>
            </w:r>
            <w:r>
              <w:rPr>
                <w:rFonts w:ascii="Times New Roman" w:cs="Times New Roman" w:eastAsia="Times New Roman" w:hAnsi="Times New Roman"/>
                <w:b w:val="false"/>
                <w:bCs w:val="false"/>
                <w:color w:val="FF0000"/>
                <w:sz w:val="17"/>
                <w:szCs w:val="17"/>
              </w:rPr>
              <w:t xml:space="preserve">(2022)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S25 Wu and Zhang </w:t>
            </w:r>
            <w:r>
              <w:rPr>
                <w:rFonts w:ascii="Times New Roman" w:cs="Times New Roman" w:eastAsia="Times New Roman" w:hAnsi="Times New Roman"/>
                <w:b w:val="false"/>
                <w:bCs w:val="false"/>
                <w:color w:val="FF0000"/>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rPr>
        <w:t xml:space="preserve">Existing approaches solve single dimensions of trustworthy data sharing, each at a different layer of the security problem.</w:t>
      </w:r>
      <w:r>
        <w:rPr>
          <w:rFonts w:ascii="Times New Roman" w:cs="Times New Roman" w:eastAsia="Times New Roman" w:hAnsi="Times New Roman"/>
          <w:sz w:val="22"/>
          <w:szCs w:val="22"/>
        </w:rPr>
        <w:t xml:space="preserve">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color w:val="00B0F0"/>
          <w:sz w:val="22"/>
          <w:szCs w:val="22"/>
        </w:rPr>
        <w:t xml:space="preserve">The multi-party systems carry no purpose condition, whereas the proved schemes either omit policy, temporal validity, and lifecycle or, as in </w:t>
      </w:r>
      <w:r>
        <w:rPr>
          <w:rFonts w:ascii="Times New Roman" w:cs="Times New Roman" w:eastAsia="Times New Roman" w:hAnsi="Times New Roman"/>
          <w:color w:val="00B0F0"/>
          <w:sz w:val="22"/>
          <w:szCs w:val="22"/>
        </w:rPr>
        <w:t xml:space="preserve">(Mei et al. 2026)</w:t>
      </w:r>
      <w:r>
        <w:rPr>
          <w:rFonts w:ascii="Times New Roman" w:cs="Times New Roman" w:eastAsia="Times New Roman" w:hAnsi="Times New Roman"/>
          <w:color w:val="00B0F0"/>
          <w:sz w:val="22"/>
          <w:szCs w:val="22"/>
        </w:rPr>
        <w:t xml:space="preserve">, prove only a static encryption predicate.</w:t>
      </w:r>
      <w:r>
        <w:rPr>
          <w:rFonts w:ascii="Times New Roman" w:cs="Times New Roman" w:eastAsia="Times New Roman" w:hAnsi="Times New Roman"/>
          <w:sz w:val="22"/>
          <w:szCs w:val="22"/>
        </w:rPr>
        <w:t xml:space="preserve"> Table 2.4 summarises the 25 studies against the six requirements, </w:t>
      </w:r>
      <w:r>
        <w:rPr>
          <w:rFonts w:ascii="Times New Roman" w:cs="Times New Roman" w:eastAsia="Times New Roman" w:hAnsi="Times New Roman"/>
          <w:color w:val="FF0000"/>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2.4: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(2026</w:t>
            </w:r>
            <w:r>
              <w:rPr>
                <w:rFonts w:ascii="Times New Roman" w:cs="Times New Roman" w:eastAsia="Times New Roman" w:hAnsi="Times New Roman"/>
                <w:b w:val="false"/>
                <w:bCs w:val="false"/>
                <w:sz w:val="17"/>
                <w:szCs w:val="17"/>
              </w:rPr>
              <w:t xml:space="preserve">b</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color w:val="00B0F0"/>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t>
            </w:r>
            <w:r>
              <w:rPr>
                <w:rFonts w:ascii="Times New Roman" w:cs="Times New Roman" w:eastAsia="Times New Roman" w:hAnsi="Times New Roman"/>
                <w:b w:val="false"/>
                <w:bCs w:val="false"/>
                <w:color w:val="00B0F0"/>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w:t>
      </w:r>
      <w:r>
        <w:rPr>
          <w:rFonts w:ascii="Times New Roman" w:cs="Times New Roman" w:eastAsia="Times New Roman" w:hAnsi="Times New Roman"/>
          <w:sz w:val="22"/>
          <w:szCs w:val="22"/>
        </w:rPr>
        <w:t xml:space="preserve">(Madine et al. 2020)</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(Panagoulias et al. 2026)</w:t>
      </w:r>
      <w:r>
        <w:rPr>
          <w:rFonts w:ascii="Times New Roman" w:cs="Times New Roman" w:eastAsia="Times New Roman" w:hAnsi="Times New Roman"/>
          <w:sz w:val="22"/>
          <w:szCs w:val="22"/>
        </w:rPr>
        <w:t xml:space="preserve">, and five studies fully satisfy none. Third, Req 1 with Req 4 is the most frequent pair, in seven studies, whereas Req 2 and Req 4 never co-occur in full. Req 3 co-occurs with Req 4 only in </w:t>
      </w:r>
      <w:r>
        <w:rPr>
          <w:rFonts w:ascii="Times New Roman" w:cs="Times New Roman" w:eastAsia="Times New Roman" w:hAnsi="Times New Roman"/>
          <w:sz w:val="22"/>
          <w:szCs w:val="22"/>
        </w:rPr>
        <w:t xml:space="preserve">(Punia et al. 2025)</w:t>
      </w:r>
      <w:r>
        <w:rPr>
          <w:rFonts w:ascii="Times New Roman" w:cs="Times New Roman" w:eastAsia="Times New Roman" w:hAnsi="Times New Roman"/>
          <w:sz w:val="22"/>
          <w:szCs w:val="22"/>
        </w:rPr>
        <w:t xml:space="preserve">, whose threshold lies outside the policy predicate and whose policy carries no purpose term. Similarly, Req 3 co-occurs with Req 6 only in </w:t>
      </w:r>
      <w:r>
        <w:rPr>
          <w:rFonts w:ascii="Times New Roman" w:cs="Times New Roman" w:eastAsia="Times New Roman" w:hAnsi="Times New Roman"/>
          <w:sz w:val="22"/>
          <w:szCs w:val="22"/>
        </w:rPr>
        <w:t xml:space="preserve">(Maruthi &amp; Singh 2025; Zhao &amp; Su 2024)</w:t>
      </w:r>
      <w:r>
        <w:rPr>
          <w:rFonts w:ascii="Times New Roman" w:cs="Times New Roman" w:eastAsia="Times New Roman" w:hAnsi="Times New Roman"/>
          <w:sz w:val="22"/>
          <w:szCs w:val="22"/>
        </w:rPr>
        <w:t xml:space="preserve">. Fourth, the two quadruples are complementary, since </w:t>
      </w:r>
      <w:r>
        <w:rPr>
          <w:rFonts w:ascii="Times New Roman" w:cs="Times New Roman" w:eastAsia="Times New Roman" w:hAnsi="Times New Roman"/>
          <w:sz w:val="22"/>
          <w:szCs w:val="22"/>
        </w:rPr>
        <w:t xml:space="preserve">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 full</w:t>
      </w:r>
      <w:r>
        <w:rPr>
          <w:rFonts w:ascii="Times New Roman" w:cs="Times New Roman" w:eastAsia="Times New Roman" w:hAnsi="Times New Roman"/>
          <w:sz w:val="22"/>
          <w:szCs w:val="22"/>
        </w:rPr>
        <w:t xml:space="preserve"> policy and assurance, whereas </w:t>
      </w:r>
      <w:r>
        <w:rPr>
          <w:rFonts w:ascii="Times New Roman" w:cs="Times New Roman" w:eastAsia="Times New Roman" w:hAnsi="Times New Roman"/>
          <w:sz w:val="22"/>
          <w:szCs w:val="22"/>
        </w:rPr>
        <w:t xml:space="preserve">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w:t>
      </w:r>
      <w:r>
        <w:rPr>
          <w:rFonts w:ascii="Times New Roman" w:cs="Times New Roman" w:eastAsia="Times New Roman" w:hAnsi="Times New Roman"/>
          <w:sz w:val="22"/>
          <w:szCs w:val="22"/>
        </w:rPr>
        <w:t xml:space="preserve"> multi-party approval and </w:t>
      </w:r>
      <w:r>
        <w:rPr>
          <w:rFonts w:ascii="Times New Roman" w:cs="Times New Roman" w:eastAsia="Times New Roman" w:hAnsi="Times New Roman"/>
          <w:sz w:val="22"/>
          <w:szCs w:val="22"/>
        </w:rPr>
        <w:t xml:space="preserve">full </w:t>
      </w:r>
      <w:r>
        <w:rPr>
          <w:rFonts w:ascii="Times New Roman" w:cs="Times New Roman" w:eastAsia="Times New Roman" w:hAnsi="Times New Roman"/>
          <w:sz w:val="22"/>
          <w:szCs w:val="22"/>
        </w:rPr>
        <w:t xml:space="preserve">identity depth.</w:t>
      </w:r>
    </w:p>
    <w:p>
      <w:pPr>
        <w:spacing w:after="110" w:line="264"/>
        <w:jc w:val="both"/>
      </w:pPr>
      <w:r>
        <w:rPr>
          <w:rFonts w:ascii="Times New Roman" w:cs="Times New Roman" w:eastAsia="Times New Roman" w:hAnsi="Times New Roman"/>
          <w:sz w:val="22"/>
          <w:szCs w:val="22"/>
        </w:rPr>
        <w:t xml:space="preserve">The comparison shows that the contribution of this research is the explicit relationship it establishes among existing technologies, not their replacement.</w:t>
      </w:r>
      <w:r>
        <w:rPr>
          <w:rFonts w:ascii="Times New Roman" w:cs="Times New Roman" w:eastAsia="Times New Roman" w:hAnsi="Times New Roman"/>
          <w:sz w:val="22"/>
          <w:szCs w:val="22"/>
        </w:rPr>
        <w:t xml:space="preserve"> The consent object C carries the identity, authority, threshold, policy, temporal, and lifecycle conditions together, so that their relationship is verifiable. </w:t>
      </w:r>
      <w:r>
        <w:rPr>
          <w:rFonts w:ascii="Times New Roman" w:cs="Times New Roman" w:eastAsia="Times New Roman" w:hAnsi="Times New Roman"/>
          <w:color w:val="FF0000"/>
          <w:sz w:val="22"/>
          <w:szCs w:val="22"/>
        </w:rPr>
        <w:t xml:space="preserve">Table 2.5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color w:val="FF0000"/>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color w:val="00B0F0"/>
          <w:sz w:val="22"/>
          <w:szCs w:val="22"/>
        </w:rPr>
        <w:t xml:space="preserve">while within Req 6, formal assurance alone is provided by 4 studies, argued informally by 9, and absent in 12. The other five Yes grades for Req 6 in Table 2.4 rest on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rarity of multi-party approval and formal verification is also seen in</w:t>
      </w:r>
      <w:r>
        <w:rPr>
          <w:rFonts w:ascii="Times New Roman" w:cs="Times New Roman" w:eastAsia="Times New Roman" w:hAnsi="Times New Roman"/>
          <w:sz w:val="22"/>
          <w:szCs w:val="22"/>
        </w:rPr>
        <w:t xml:space="preserve">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color w:val="00B0F0"/>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w:t>
      </w:r>
      <w:r>
        <w:rPr>
          <w:rFonts w:ascii="Times New Roman" w:cs="Times New Roman" w:eastAsia="Times New Roman" w:hAnsi="Times New Roman"/>
          <w:sz w:val="22"/>
          <w:szCs w:val="22"/>
        </w:rPr>
        <w:t xml:space="preserve">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temporal, jurisdictional, and lifecycle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4572000" cy="2295525"/>
            <wp:effectExtent t="0" r="0" b="0" l="0"/>
            <wp:docPr id="1"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955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color w:val="00B0F0"/>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color w:val="FF0000"/>
          <w:sz w:val="18"/>
          <w:szCs w:val="18"/>
        </w:rPr>
        <w:t xml:space="preserve">graded Yes for each requirement in Table 2.4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color w:val="FF0000"/>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color w:val="FF0000"/>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2.5: </w:t>
      </w:r>
      <w:r>
        <w:rPr>
          <w:rFonts w:ascii="Times New Roman" w:cs="Times New Roman" w:eastAsia="Times New Roman" w:hAnsi="Times New Roman"/>
          <w:color w:val="FF0000"/>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Consent is represented as the evaluable object C = (I, A, P, T, L, E), created through Algorithm 6.1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00B0F0"/>
                <w:sz w:val="17"/>
                <w:szCs w:val="17"/>
              </w:rPr>
              <w:t xml:space="preserve">DID and VC verification separates identity from authority and is evaluated as V</w:t>
            </w:r>
            <w:r>
              <w:rPr>
                <w:rFonts w:ascii="Times New Roman" w:cs="Times New Roman" w:eastAsia="Times New Roman" w:hAnsi="Times New Roman"/>
                <w:b w:val="false"/>
                <w:bCs w:val="false"/>
                <w:color w:val="00B0F0"/>
                <w:sz w:val="17"/>
                <w:szCs w:val="17"/>
                <w:vertAlign w:val="subscript"/>
              </w:rPr>
              <w:t xml:space="preserve">I</w:t>
            </w:r>
            <w:r>
              <w:rPr>
                <w:rFonts w:ascii="Times New Roman" w:cs="Times New Roman" w:eastAsia="Times New Roman" w:hAnsi="Times New Roman"/>
                <w:b w:val="false"/>
                <w:bCs w:val="false"/>
                <w:color w:val="00B0F0"/>
                <w:sz w:val="17"/>
                <w:szCs w:val="17"/>
              </w:rPr>
              <w:t xml:space="preserve"> through Algorithm 7.1.</w:t>
            </w:r>
            <w:r>
              <w:rPr>
                <w:rFonts w:ascii="Times New Roman" w:cs="Times New Roman" w:eastAsia="Times New Roman" w:hAnsi="Times New Roman"/>
                <w:b w:val="false"/>
                <w:bCs w:val="false"/>
                <w:color w:val="FF0000"/>
                <w:sz w:val="17"/>
                <w:szCs w:val="17"/>
              </w:rPr>
              <w:t xml:space="preserve"> The prototype checks the DID format, and full DID resolution and VC validation are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00B0F0"/>
                <w:sz w:val="17"/>
                <w:szCs w:val="17"/>
              </w:rPr>
              <w:t xml:space="preserve">N-of-N approval by the guardian set G with EIP-712 guardian signatures </w:t>
            </w:r>
            <w:r>
              <w:rPr>
                <w:rFonts w:ascii="Times New Roman" w:cs="Times New Roman" w:eastAsia="Times New Roman" w:hAnsi="Times New Roman"/>
                <w:b w:val="false"/>
                <w:bCs w:val="false"/>
                <w:color w:val="00B0F0"/>
                <w:sz w:val="17"/>
                <w:szCs w:val="17"/>
              </w:rPr>
              <w:t xml:space="preserve">(Bloemen, Logvinov &amp; Evans 2017)</w:t>
            </w:r>
            <w:r>
              <w:rPr>
                <w:rFonts w:ascii="Times New Roman" w:cs="Times New Roman" w:eastAsia="Times New Roman" w:hAnsi="Times New Roman"/>
                <w:b w:val="false"/>
                <w:bCs w:val="false"/>
                <w:color w:val="00B0F0"/>
                <w:sz w:val="17"/>
                <w:szCs w:val="17"/>
              </w:rPr>
              <w:t xml:space="preserve">,</w:t>
            </w:r>
            <w:r>
              <w:rPr>
                <w:rFonts w:ascii="Times New Roman" w:cs="Times New Roman" w:eastAsia="Times New Roman" w:hAnsi="Times New Roman"/>
                <w:b w:val="false"/>
                <w:bCs w:val="false"/>
                <w:color w:val="FF0000"/>
                <w:sz w:val="17"/>
                <w:szCs w:val="17"/>
              </w:rPr>
              <w:t xml:space="preserve"> evaluated as V</w:t>
            </w:r>
            <w:r>
              <w:rPr>
                <w:rFonts w:ascii="Times New Roman" w:cs="Times New Roman" w:eastAsia="Times New Roman" w:hAnsi="Times New Roman"/>
                <w:b w:val="false"/>
                <w:bCs w:val="false"/>
                <w:color w:val="FF0000"/>
                <w:sz w:val="17"/>
                <w:szCs w:val="17"/>
                <w:vertAlign w:val="subscript"/>
              </w:rPr>
              <w:t xml:space="preserve">A</w:t>
            </w:r>
            <w:r>
              <w:rPr>
                <w:rFonts w:ascii="Times New Roman" w:cs="Times New Roman" w:eastAsia="Times New Roman" w:hAnsi="Times New Roman"/>
                <w:b w:val="false"/>
                <w:bCs w:val="false"/>
                <w:color w:val="FF0000"/>
                <w:sz w:val="17"/>
                <w:szCs w:val="17"/>
              </w:rPr>
              <w:t xml:space="preserve"> through Algorithm 8.1.</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Purpose and a non-empty data scope within the consent are evaluated as V</w:t>
            </w:r>
            <w:r>
              <w:rPr>
                <w:rFonts w:ascii="Times New Roman" w:cs="Times New Roman" w:eastAsia="Times New Roman" w:hAnsi="Times New Roman"/>
                <w:b w:val="false"/>
                <w:bCs w:val="false"/>
                <w:color w:val="FF0000"/>
                <w:sz w:val="17"/>
                <w:szCs w:val="17"/>
                <w:vertAlign w:val="subscript"/>
              </w:rPr>
              <w:t xml:space="preserve">P</w:t>
            </w:r>
            <w:r>
              <w:rPr>
                <w:rFonts w:ascii="Times New Roman" w:cs="Times New Roman" w:eastAsia="Times New Roman" w:hAnsi="Times New Roman"/>
                <w:b w:val="false"/>
                <w:bCs w:val="false"/>
                <w:color w:val="FF0000"/>
                <w:sz w:val="17"/>
                <w:szCs w:val="17"/>
              </w:rPr>
              <w:t xml:space="preserve"> through Algorithm 9.1, together with the jurisdiction condition V</w:t>
            </w:r>
            <w:r>
              <w:rPr>
                <w:rFonts w:ascii="Times New Roman" w:cs="Times New Roman" w:eastAsia="Times New Roman" w:hAnsi="Times New Roman"/>
                <w:b w:val="false"/>
                <w:bCs w:val="false"/>
                <w:color w:val="FF0000"/>
                <w:sz w:val="17"/>
                <w:szCs w:val="17"/>
                <w:vertAlign w:val="subscript"/>
              </w:rPr>
              <w:t xml:space="preserve">L</w:t>
            </w:r>
            <w:r>
              <w:rPr>
                <w:rFonts w:ascii="Times New Roman" w:cs="Times New Roman" w:eastAsia="Times New Roman" w:hAnsi="Times New Roman"/>
                <w:b w:val="false"/>
                <w:bCs w:val="false"/>
                <w:color w:val="FF0000"/>
                <w:sz w:val="17"/>
                <w:szCs w:val="17"/>
              </w:rPr>
              <w:t xml:space="preserve">(C, R).</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00B0F0"/>
                <w:sz w:val="17"/>
                <w:szCs w:val="17"/>
              </w:rPr>
              <w:t xml:space="preserve">The validity window V</w:t>
            </w:r>
            <w:r>
              <w:rPr>
                <w:rFonts w:ascii="Times New Roman" w:cs="Times New Roman" w:eastAsia="Times New Roman" w:hAnsi="Times New Roman"/>
                <w:b w:val="false"/>
                <w:bCs w:val="false"/>
                <w:color w:val="00B0F0"/>
                <w:sz w:val="17"/>
                <w:szCs w:val="17"/>
                <w:vertAlign w:val="subscript"/>
              </w:rPr>
              <w:t xml:space="preserve">T</w:t>
            </w:r>
            <w:r>
              <w:rPr>
                <w:rFonts w:ascii="Times New Roman" w:cs="Times New Roman" w:eastAsia="Times New Roman" w:hAnsi="Times New Roman"/>
                <w:b w:val="false"/>
                <w:bCs w:val="false"/>
                <w:color w:val="00B0F0"/>
                <w:sz w:val="17"/>
                <w:szCs w:val="17"/>
              </w:rPr>
              <w:t xml:space="preserve">, revocation, the lifecycle states, and the on-chain revocation on Sepolia are implemented. The lifecycle transition check is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In Progress (partially completed)</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Audit ledger evidence, 36 automated tests, and twelve unit-level attack scenarios.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Partially completed (for RQ1 to RQ4)</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rPr>
        <w:t xml:space="preserve">The systematic literature review shows much work on individual mechanisms for securing healthcare data sharing, but also a conceptual and architectural fragmentation</w:t>
      </w:r>
      <w:r>
        <w:rPr>
          <w:rFonts w:ascii="Times New Roman" w:cs="Times New Roman" w:eastAsia="Times New Roman" w:hAnsi="Times New Roman"/>
          <w:sz w:val="22"/>
          <w:szCs w:val="22"/>
        </w:rPr>
        <w:t xml:space="preserve"> among these mechanisms. They are commonly investigated as independent technical solutions rather than as coordinated components of a unified trust-oriented authorisation model. The few studies that coordinate several of them in one decision </w:t>
      </w:r>
      <w:r>
        <w:rPr>
          <w:rFonts w:ascii="Times New Roman" w:cs="Times New Roman" w:eastAsia="Times New Roman" w:hAnsi="Times New Roman"/>
          <w:sz w:val="22"/>
          <w:szCs w:val="22"/>
        </w:rPr>
        <w:t xml:space="preserve">(Ferreira et al. 2025; Panagoulias et al. 2026; Phuyal et al. 2026b; Punia et al. 2025; Shanmugham &amp; Senthilkumar 2026)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do not make multi-party approval a standing condition of that decision. Some of them test their own decisions empirically, but none proves or tests a conjunction that includes multi-party approval.</w:t>
      </w:r>
    </w:p>
    <w:p>
      <w:pPr>
        <w:spacing w:after="110" w:line="264"/>
        <w:jc w:val="both"/>
      </w:pPr>
      <w:r>
        <w:rPr>
          <w:rFonts w:ascii="Times New Roman" w:cs="Times New Roman" w:eastAsia="Times New Roman" w:hAnsi="Times New Roman"/>
          <w:sz w:val="22"/>
          <w:szCs w:val="22"/>
        </w:rPr>
        <w:t xml:space="preserve">The central gap is the absence of an integrated model</w:t>
      </w:r>
      <w:r>
        <w:rPr>
          <w:rFonts w:ascii="Times New Roman" w:cs="Times New Roman" w:eastAsia="Times New Roman" w:hAnsi="Times New Roman"/>
          <w:sz w:val="22"/>
          <w:szCs w:val="22"/>
        </w:rPr>
        <w:t xml:space="preserve"> explaining how these mechanisms collectively establish a trustworthy authorisation decision. Existing consent-oriented approaches tend to </w:t>
      </w:r>
      <w:r>
        <w:rPr>
          <w:rFonts w:ascii="Times New Roman" w:cs="Times New Roman" w:eastAsia="Times New Roman" w:hAnsi="Times New Roman"/>
          <w:color w:val="00B0F0"/>
          <w:sz w:val="22"/>
          <w:szCs w:val="22"/>
        </w:rPr>
        <w:t xml:space="preserve">treat consent primarily as a record of a patient’s permission </w:t>
      </w:r>
      <w:r>
        <w:rPr>
          <w:rFonts w:ascii="Times New Roman" w:cs="Times New Roman" w:eastAsia="Times New Roman" w:hAnsi="Times New Roman"/>
          <w:color w:val="00B0F0"/>
          <w:sz w:val="22"/>
          <w:szCs w:val="22"/>
        </w:rPr>
        <w:t xml:space="preserve">(Akter &amp; Sanam 2025; Prashanth et al. 2024)</w:t>
      </w:r>
      <w:r>
        <w:rPr>
          <w:rFonts w:ascii="Times New Roman" w:cs="Times New Roman" w:eastAsia="Times New Roman" w:hAnsi="Times New Roman"/>
          <w:color w:val="00B0F0"/>
          <w:sz w:val="22"/>
          <w:szCs w:val="22"/>
        </w:rPr>
        <w:t xml:space="preserve">, and some claim consent but leave it out of the access decision </w:t>
      </w:r>
      <w:r>
        <w:rPr>
          <w:rFonts w:ascii="Times New Roman" w:cs="Times New Roman" w:eastAsia="Times New Roman" w:hAnsi="Times New Roman"/>
          <w:color w:val="00B0F0"/>
          <w:sz w:val="22"/>
          <w:szCs w:val="22"/>
        </w:rPr>
        <w:t xml:space="preserve">(Sawant &amp; Gomes 2026)</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w:t>
      </w:r>
      <w:r>
        <w:rPr>
          <w:rFonts w:ascii="Times New Roman" w:cs="Times New Roman" w:eastAsia="Times New Roman" w:hAnsi="Times New Roman"/>
          <w:sz w:val="22"/>
          <w:szCs w:val="22"/>
        </w:rPr>
        <w:t xml:space="preserve">(Albalwy, Brass &amp; Davies 2021; Eneh et al. 2026; Phuyal et al. 2026b; Shanmugham &amp; Senthilkumar 2026; Tith et al. 2020)</w:t>
      </w:r>
      <w:r>
        <w:rPr>
          <w:rFonts w:ascii="Times New Roman" w:cs="Times New Roman" w:eastAsia="Times New Roman" w:hAnsi="Times New Roman"/>
          <w:sz w:val="22"/>
          <w:szCs w:val="22"/>
        </w:rPr>
        <w:t xml:space="preserve">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are two different security problems.</w:t>
      </w:r>
      <w:r>
        <w:rPr>
          <w:rFonts w:ascii="Times New Roman" w:cs="Times New Roman" w:eastAsia="Times New Roman" w:hAnsi="Times New Roman"/>
          <w:sz w:val="22"/>
          <w:szCs w:val="22"/>
        </w:rPr>
        <w:t xml:space="preserve"> A blockchain may provide an immutable representation of a consent event </w:t>
      </w:r>
      <w:r>
        <w:rPr>
          <w:rFonts w:ascii="Times New Roman" w:cs="Times New Roman" w:eastAsia="Times New Roman" w:hAnsi="Times New Roman"/>
          <w:sz w:val="22"/>
          <w:szCs w:val="22"/>
        </w:rPr>
        <w:t xml:space="preserve">(Andrew et al. 2023; Tawfik et al. 2025)</w:t>
      </w:r>
      <w:r>
        <w:rPr>
          <w:rFonts w:ascii="Times New Roman" w:cs="Times New Roman" w:eastAsia="Times New Roman" w:hAnsi="Times New Roman"/>
          <w:sz w:val="22"/>
          <w:szCs w:val="22"/>
        </w:rPr>
        <w:t xml:space="preserve">, but immutability does not establish the legitimacy of the entities involved in that event. Similarly, a valid decentralised identity can establish who a participant is </w:t>
      </w:r>
      <w:r>
        <w:rPr>
          <w:rFonts w:ascii="Times New Roman" w:cs="Times New Roman" w:eastAsia="Times New Roman" w:hAnsi="Times New Roman"/>
          <w:sz w:val="22"/>
          <w:szCs w:val="22"/>
        </w:rPr>
        <w:t xml:space="preserve">(Mazzocca et al. 2025)</w:t>
      </w:r>
      <w:r>
        <w:rPr>
          <w:rFonts w:ascii="Times New Roman" w:cs="Times New Roman" w:eastAsia="Times New Roman" w:hAnsi="Times New Roman"/>
          <w:sz w:val="22"/>
          <w:szCs w:val="22"/>
        </w:rPr>
        <w:t xml:space="preserve">,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color w:val="00B0F0"/>
          <w:sz w:val="22"/>
          <w:szCs w:val="22"/>
        </w:rPr>
        <w:t xml:space="preserve">multi-party approval is never conjoined with a purpose condition </w:t>
      </w:r>
      <w:r>
        <w:rPr>
          <w:rFonts w:ascii="Times New Roman" w:cs="Times New Roman" w:eastAsia="Times New Roman" w:hAnsi="Times New Roman"/>
          <w:color w:val="00B0F0"/>
          <w:sz w:val="22"/>
          <w:szCs w:val="22"/>
        </w:rPr>
        <w:t xml:space="preserve">(Madine et al. 2020; Punia et al. 2025; Tan, Chi &amp; Lam 2024)</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w:t>
      </w:r>
      <w:r>
        <w:rPr>
          <w:rFonts w:ascii="Times New Roman" w:cs="Times New Roman" w:eastAsia="Times New Roman" w:hAnsi="Times New Roman"/>
          <w:sz w:val="22"/>
          <w:szCs w:val="22"/>
        </w:rPr>
        <w:t xml:space="preserve">In this research, trust is a property of a verifiable authorisation process, not an attribute of one entity or technology.</w:t>
      </w:r>
    </w:p>
    <w:p>
      <w:pPr>
        <w:spacing w:after="110" w:line="264"/>
        <w:jc w:val="both"/>
      </w:pPr>
      <w:r>
        <w:rPr>
          <w:rFonts w:ascii="Times New Roman" w:cs="Times New Roman" w:eastAsia="Times New Roman" w:hAnsi="Times New Roman"/>
          <w:sz w:val="22"/>
          <w:szCs w:val="22"/>
        </w:rPr>
        <w:t xml:space="preserve">Existing healthcare consent and access-control research provides most of the needed technology, but not an integrated Trust Computing framework</w:t>
      </w:r>
      <w:r>
        <w:rPr>
          <w:rFonts w:ascii="Times New Roman" w:cs="Times New Roman" w:eastAsia="Times New Roman" w:hAnsi="Times New Roman"/>
          <w:sz w:val="22"/>
          <w:szCs w:val="22"/>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and enforcing the policy and data-scope constraints associated with the consent. In this framework, the consent object carries identity, authority, threshold, policy, temporal, jurisdictional, and lifecycle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w:t>
      </w:r>
      <w:r>
        <w:rPr>
          <w:rFonts w:ascii="Times New Roman" w:cs="Times New Roman" w:eastAsia="Times New Roman" w:hAnsi="Times New Roman"/>
          <w:sz w:val="22"/>
          <w:szCs w:val="22"/>
        </w:rPr>
        <w:t xml:space="preserve">(Punia et al. 2025; Wu et al. 2022; Zhao &amp; Su 2024)</w:t>
      </w:r>
      <w:r>
        <w:rPr>
          <w:rFonts w:ascii="Times New Roman" w:cs="Times New Roman" w:eastAsia="Times New Roman" w:hAnsi="Times New Roman"/>
          <w:sz w:val="22"/>
          <w:szCs w:val="22"/>
        </w:rPr>
        <w:t xml:space="preserve">, or appointed by the patient </w:t>
      </w:r>
      <w:r>
        <w:rPr>
          <w:rFonts w:ascii="Times New Roman" w:cs="Times New Roman" w:eastAsia="Times New Roman" w:hAnsi="Times New Roman"/>
          <w:sz w:val="22"/>
          <w:szCs w:val="22"/>
        </w:rPr>
        <w:t xml:space="preserve">(Maruthi &amp; Singh 2025; Tan, Chi &amp; Lam 2024)</w:t>
      </w:r>
      <w:r>
        <w:rPr>
          <w:rFonts w:ascii="Times New Roman" w:cs="Times New Roman" w:eastAsia="Times New Roman" w:hAnsi="Times New Roman"/>
          <w:sz w:val="22"/>
          <w:szCs w:val="22"/>
        </w:rPr>
        <w:t xml:space="preserve">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color w:val="00B0F0"/>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Purpose, data-scope, and jurisdictional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Each guardian is checked to determine whether the individual or entity possesses the required authority to participate in consent-related decisions. The threshold N is the number of valid guardian approvals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w:t>
      </w:r>
      <w:r>
        <w:rPr>
          <w:rFonts w:ascii="Times New Roman" w:cs="Times New Roman" w:eastAsia="Times New Roman" w:hAnsi="Times New Roman"/>
          <w:sz w:val="22"/>
          <w:szCs w:val="22"/>
        </w:rPr>
        <w:t xml:space="preserve"> For brevity, SRQ1 to SRQ6 are referred to as RQ1 to RQ6 </w:t>
      </w:r>
      <w:r>
        <w:rPr>
          <w:rFonts w:ascii="Times New Roman" w:cs="Times New Roman" w:eastAsia="Times New Roman" w:hAnsi="Times New Roman"/>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L is the jurisdictional constraint, and E also records whether the consent remains active or has been revoked.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(3.1)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jurisdictional compliance, while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(3.2)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color w:val="00B0F0"/>
          <w:sz w:val="22"/>
          <w:szCs w:val="22"/>
        </w:rPr>
        <w:t xml:space="preserve">requires the Groth16 ZK proof </w:t>
      </w:r>
      <w:r>
        <w:rPr>
          <w:rFonts w:ascii="Times New Roman" w:cs="Times New Roman" w:eastAsia="Times New Roman" w:hAnsi="Times New Roman"/>
          <w:color w:val="00B0F0"/>
          <w:sz w:val="22"/>
          <w:szCs w:val="22"/>
        </w:rPr>
        <w:t xml:space="preserve">(Groth 2016)</w:t>
      </w:r>
      <w:r>
        <w:rPr>
          <w:rFonts w:ascii="Times New Roman" w:cs="Times New Roman" w:eastAsia="Times New Roman" w:hAnsi="Times New Roman"/>
          <w:color w:val="00B0F0"/>
          <w:sz w:val="22"/>
          <w:szCs w:val="22"/>
        </w:rPr>
        <w:t xml:space="preserve"> to verify</w:t>
      </w:r>
      <w:r>
        <w:rPr>
          <w:rFonts w:ascii="Times New Roman" w:cs="Times New Roman" w:eastAsia="Times New Roman" w:hAnsi="Times New Roman"/>
          <w:sz w:val="22"/>
          <w:szCs w:val="22"/>
        </w:rPr>
        <w:t xml:space="preserve">, so a request that satisfies the five predicates is still denied when the proof fails, as in attack A9 (Section 11.5).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turn the research gap into concrete research and development activities.</w:t>
      </w:r>
      <w:r>
        <w:rPr>
          <w:rFonts w:ascii="Times New Roman" w:cs="Times New Roman" w:eastAsia="Times New Roman" w:hAnsi="Times New Roman"/>
          <w:sz w:val="22"/>
          <w:szCs w:val="22"/>
        </w:rPr>
        <w:t xml:space="preserve">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A consent that has expired or been revoked must not remain usable merely because its original approval threshold was satisfied. The remaining work concerns </w:t>
      </w:r>
      <w:r>
        <w:rPr>
          <w:rFonts w:ascii="Times New Roman" w:cs="Times New Roman" w:eastAsia="Times New Roman" w:hAnsi="Times New Roman"/>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w:t>
      </w:r>
      <w:r>
        <w:rPr>
          <w:rFonts w:ascii="Times New Roman" w:cs="Times New Roman" w:eastAsia="Times New Roman" w:hAnsi="Times New Roman"/>
          <w:sz w:val="22"/>
          <w:szCs w:val="22"/>
        </w:rPr>
        <w:t xml:space="preserve">The prototype must execute valid consent workflows, and it must also behave correctly when one or more trust conditions are violated.</w:t>
      </w:r>
      <w:r>
        <w:rPr>
          <w:rFonts w:ascii="Times New Roman" w:cs="Times New Roman" w:eastAsia="Times New Roman" w:hAnsi="Times New Roman"/>
          <w:sz w:val="22"/>
          <w:szCs w:val="22"/>
        </w:rPr>
        <w:t xml:space="preserve"> RO6 is partially completed through the implementation and initial scenario-based validation of the HALAH prototype. In particular, 36 automated tests cover signature rejection, proof tampering, and twelve attack scenarios against the components of C and the contract. Preliminary measurements of on-chain cost, confirmation latency, and processing time have been obtained, and a live out-of-jurisdiction request against a consent anchored on the deployed Sepolia contract was refused by the application.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rPr>
        <w:t xml:space="preserve">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w:t>
      </w:r>
      <w:r>
        <w:rPr>
          <w:rFonts w:ascii="Times New Roman" w:cs="Times New Roman" w:eastAsia="Times New Roman" w:hAnsi="Times New Roman"/>
          <w:sz w:val="22"/>
          <w:szCs w:val="22"/>
        </w:rPr>
        <w:t xml:space="preserve">Each research question therefore has one research activity, and each objective contributes to the framework.</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FF0000"/>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RO5 and RO6 are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w:t>
      </w:r>
      <w:r>
        <w:rPr>
          <w:rFonts w:ascii="Times New Roman" w:cs="Times New Roman" w:eastAsia="Times New Roman" w:hAnsi="Times New Roman"/>
          <w:sz w:val="22"/>
          <w:szCs w:val="22"/>
        </w:rPr>
        <w:t xml:space="preserve">In the proposed framework, MVC does more than separate data, interfaces, and application logic. It is extended to support a separation</w:t>
      </w:r>
      <w:r>
        <w:rPr>
          <w:rFonts w:ascii="Times New Roman" w:cs="Times New Roman" w:eastAsia="Times New Roman" w:hAnsi="Times New Roman"/>
          <w:sz w:val="22"/>
          <w:szCs w:val="22"/>
        </w:rPr>
        <w:t xml:space="preserve"> between the representation of consent, the interaction of independent stakeholders, and the enforcement of security-critical authorisation decisions. </w:t>
      </w:r>
      <w:r>
        <w:rPr>
          <w:rFonts w:ascii="Times New Roman" w:cs="Times New Roman" w:eastAsia="Times New Roman" w:hAnsi="Times New Roman"/>
          <w:sz w:val="22"/>
          <w:szCs w:val="22"/>
        </w:rPr>
        <w:t xml:space="preserve">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w:t>
      </w:r>
      <w:r>
        <w:rPr>
          <w:rFonts w:ascii="Times New Roman" w:cs="Times New Roman" w:eastAsia="Times New Roman" w:hAnsi="Times New Roman"/>
          <w:sz w:val="22"/>
          <w:szCs w:val="22"/>
        </w:rPr>
        <w:t xml:space="preserve">Instead, the authorisation decision is the result of evaluating independently verifiable security conditions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5.1 describes the layers and their components, Section 5.2 explains where trust is evaluated and where the architectural boundaries lie, Section 5.3 walks through the authorisation workflow, and Section 5.4 maps the architecture to the research objectives.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5.1: </w:t>
      </w:r>
      <w:r>
        <w:rPr>
          <w:rFonts w:ascii="Times New Roman" w:cs="Times New Roman" w:eastAsia="Times New Roman" w:hAnsi="Times New Roman"/>
          <w:color w:val="00B0F0"/>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jurisdictional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5.2: </w:t>
      </w:r>
      <w:r>
        <w:rPr>
          <w:rFonts w:ascii="Times New Roman" w:cs="Times New Roman" w:eastAsia="Times New Roman" w:hAnsi="Times New Roman"/>
          <w:color w:val="00B0F0"/>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w:t>
      </w:r>
      <w:r>
        <w:rPr>
          <w:rFonts w:ascii="Times New Roman" w:cs="Times New Roman" w:eastAsia="Times New Roman" w:hAnsi="Times New Roman"/>
          <w:sz w:val="22"/>
          <w:szCs w:val="22"/>
        </w:rPr>
        <w:t xml:space="preserve">anchors the Sepolia mint as a background process. A revoke transaction is sent when the patient revokes a consent, and the patient view waits for its confirmation</w:t>
      </w:r>
      <w:r>
        <w:rPr>
          <w:rFonts w:ascii="Times New Roman" w:cs="Times New Roman" w:eastAsia="Times New Roman" w:hAnsi="Times New Roman"/>
          <w:sz w:val="22"/>
          <w:szCs w:val="22"/>
        </w:rPr>
        <w:t xml:space="preserve">. The Model correspondingly contains the ConsentSBTv3 soulbound contract deployed on Sepolia together with the application audit ledger, both of which an independent verification tool reads, as described in Section 11. It should be acknowledged that, in the present prototype, credential verification consists of a structural check that each DID is well formed,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combines this check with the EIP-712 verification of each listed guardian's signature. The requester's role and jurisdiction are declared in the interface rather than authenticated, and wallet-held signing keys and authenticated verifiable credentials are deferred to the production design.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(C, R), determines whether the jurisdiction of the request satisfies the recorded jurisdictional constraint of the consent.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rather than within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The integrated decision can therefore be expressed as Equation (3.2).</w:t>
      </w:r>
    </w:p>
    <w:p>
      <w:pPr>
        <w:keepNext/>
        <w:spacing w:after="60" w:before="160"/>
        <w:jc w:val="center"/>
      </w:pPr>
      <w:r>
        <w:drawing>
          <wp:inline distT="0" distB="0" distL="0" distR="0">
            <wp:extent cx="3676650" cy="5334000"/>
            <wp:effectExtent t="0" r="0" b="0" l="0"/>
            <wp:docPr id="1" name="F8.png" descr="Trust predicate evaluation and authorisation decision flow (in the current prototype, VI also checks the EIP-712 signature of each listed guardian, and a refusal for a consent that is not ACTIVE is not recorded)" title="Trust predicate evaluation and authorisation decision flow (in the current prototype, VI also checks the EIP-712 signature of each listed guardian, and a refusal for a consent that is not ACTIVE is not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5.3: </w:t>
      </w:r>
      <w:r>
        <w:rPr>
          <w:rFonts w:ascii="Times New Roman" w:cs="Times New Roman" w:eastAsia="Times New Roman" w:hAnsi="Times New Roman"/>
          <w:color w:val="00B0F0"/>
          <w:sz w:val="18"/>
          <w:szCs w:val="18"/>
        </w:rPr>
        <w:t xml:space="preserve">Trust predicate evaluation and authorisation decision flow (in the current prototype, V</w:t>
      </w:r>
      <w:r>
        <w:rPr>
          <w:rFonts w:ascii="Times New Roman" w:cs="Times New Roman" w:eastAsia="Times New Roman" w:hAnsi="Times New Roman"/>
          <w:color w:val="00B0F0"/>
          <w:sz w:val="18"/>
          <w:szCs w:val="18"/>
          <w:vertAlign w:val="subscript"/>
        </w:rPr>
        <w:t xml:space="preserve">I</w:t>
      </w:r>
      <w:r>
        <w:rPr>
          <w:rFonts w:ascii="Times New Roman" w:cs="Times New Roman" w:eastAsia="Times New Roman" w:hAnsi="Times New Roman"/>
          <w:color w:val="00B0F0"/>
          <w:sz w:val="18"/>
          <w:szCs w:val="18"/>
        </w:rPr>
        <w:t xml:space="preserve"> also checks the EIP-712 signature of each listed guardian, and a refusal for a consent that is not ACTIVE is not recorded)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w:t>
      </w:r>
      <w:r>
        <w:rPr>
          <w:rFonts w:ascii="Times New Roman" w:cs="Times New Roman" w:eastAsia="Times New Roman" w:hAnsi="Times New Roman"/>
          <w:sz w:val="22"/>
          <w:szCs w:val="22"/>
        </w:rPr>
        <w:t xml:space="preserve">For the interpretation of the architecture</w:t>
      </w:r>
      <w:r>
        <w:rPr>
          <w:rFonts w:ascii="Times New Roman" w:cs="Times New Roman" w:eastAsia="Times New Roman" w:hAnsi="Times New Roman"/>
          <w:sz w:val="22"/>
          <w:szCs w:val="22"/>
        </w:rPr>
        <w:t xml:space="preserv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w:t>
      </w:r>
      <w:r>
        <w:rPr>
          <w:rFonts w:ascii="Times New Roman" w:cs="Times New Roman" w:eastAsia="Times New Roman" w:hAnsi="Times New Roman"/>
          <w:sz w:val="22"/>
          <w:szCs w:val="22"/>
        </w:rPr>
        <w:t xml:space="preserve">Figure 5.4 puts the same conditions in the order a request meets them. A DID answers who is asking, a verifiable credential and a signed approval answer what that participant may do, the threshold answers whether the guardians agreed, and the policy, temporal and jurisdictional checks with the zero-knowledge proof answer whether the consent is still valid for this request. The figure also states, gate by gate, what the current prototype checks, so the reader can see where the design and the prototype differ before the detailed sections.</w:t>
      </w:r>
    </w:p>
    <w:p>
      <w:pPr>
        <w:keepNext/>
        <w:spacing w:after="60" w:before="160"/>
        <w:jc w:val="center"/>
      </w:pPr>
      <w:r>
        <w:drawing>
          <wp:inline distT="0" distB="0" distL="0" distR="0">
            <wp:extent cx="5715000" cy="4752975"/>
            <wp:effectExtent t="0" r="0" b="0" l="0"/>
            <wp:docPr id="1" name="F44.png" descr="The four gates that an access request passes before data are released: identity (DID), authority (VC and signed approval), collective approval (threshold), and validity of the consent for the request (policy, time, jurisdiction and the zero-knowledge proof). Each gate names what the current prototype checks, and a failure at any gate produces DENY; the prototype records the decision matrix in the audit ledger only for a request evaluated against an ACTIVE consent" title="The four gates that an access request passes before data are released: identity (DID), authority (VC and signed approval), collective approval (threshold), and validity of the consent for the request (policy, time, jurisdiction and the zero-knowledge proof). Each gate names what the current prototype checks, and a failure at any gate produces DENY; the prototype records the decision matrix in the audit ledger only for a request evaluated against an ACTIVE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7529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5.4: </w:t>
      </w:r>
      <w:r>
        <w:rPr>
          <w:rFonts w:ascii="Times New Roman" w:cs="Times New Roman" w:eastAsia="Times New Roman" w:hAnsi="Times New Roman"/>
          <w:sz w:val="18"/>
          <w:szCs w:val="18"/>
        </w:rPr>
        <w:t xml:space="preserve">The four gates that an access request passes before data are released: identity (DID), authority (VC and signed approval), collective approval (threshold), and validity of the consent for the request (policy, time, jurisdiction and the zero-knowledge proof). Each gate names what the current prototype checks, and a failure at any gate produces DENY</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prototype records the decision matrix in the audit ledger only for a request evaluated against an ACTIVE consent</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w:t>
      </w:r>
      <w:r>
        <w:rPr>
          <w:rFonts w:ascii="Times New Roman" w:cs="Times New Roman" w:eastAsia="Times New Roman" w:hAnsi="Times New Roman"/>
          <w:sz w:val="22"/>
          <w:szCs w:val="22"/>
        </w:rPr>
        <w:t xml:space="preserve">The framework separates identity authentication from authorisation.</w:t>
      </w:r>
      <w:r>
        <w:rPr>
          <w:rFonts w:ascii="Times New Roman" w:cs="Times New Roman" w:eastAsia="Times New Roman" w:hAnsi="Times New Roman"/>
          <w:sz w:val="22"/>
          <w:szCs w:val="22"/>
        </w:rPr>
        <w:t xml:space="preserve"> A successfully verified DID or VC does not, by itself, grant permission to access patient data. The framework then collects </w:t>
      </w:r>
      <w:r>
        <w:rPr>
          <w:rFonts w:ascii="Times New Roman" w:cs="Times New Roman" w:eastAsia="Times New Roman" w:hAnsi="Times New Roman"/>
          <w:sz w:val="22"/>
          <w:szCs w:val="22"/>
        </w:rPr>
        <w:t xml:space="preserve">the guardians'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z w:val="22"/>
          <w:szCs w:val="22"/>
        </w:rPr>
        <w:t xml:space="preserve">guardians whose approvals have been verified</w:t>
      </w:r>
      <w:r>
        <w:rPr>
          <w:rFonts w:ascii="Times New Roman" w:cs="Times New Roman" w:eastAsia="Times New Roman" w:hAnsi="Times New Roman"/>
          <w:sz w:val="22"/>
          <w:szCs w:val="22"/>
        </w:rPr>
        <w:t xml:space="preserve"> and let N denote the required authorisation threshold, as in Equation (5.1). Here, Token(C) ≠ ∅ means that C has been assigned a token identifier, and Revoked(C) = 0 means that the consent has not been revoked.</w:t>
      </w:r>
    </w:p>
    <w:p>
      <w:pPr>
        <w:keepNext/>
        <w:spacing w:after="60" w:before="160"/>
        <w:jc w:val="center"/>
      </w:pPr>
      <w:r>
        <w:drawing>
          <wp:inline distT="0" distB="0" distL="0" distR="0">
            <wp:extent cx="3305175" cy="533400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51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5.5: </w:t>
      </w:r>
      <w:r>
        <w:rPr>
          <w:rFonts w:ascii="Times New Roman" w:cs="Times New Roman" w:eastAsia="Times New Roman" w:hAnsi="Times New Roman"/>
          <w:color w:val="00B0F0"/>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(5.1)</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z w:val="22"/>
          <w:szCs w:val="22"/>
        </w:rPr>
        <w:t xml:space="preserve">set of verified approving guardians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(5.2),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color w:val="00B0F0"/>
          <w:sz w:val="22"/>
          <w:szCs w:val="22"/>
        </w:rPr>
        <w:t xml:space="preserve">A</w:t>
      </w:r>
      <w:r>
        <w:rPr>
          <w:rFonts w:ascii="Times New Roman" w:cs="Times New Roman" w:eastAsia="Times New Roman" w:hAnsi="Times New Roman"/>
          <w:color w:val="00B0F0"/>
          <w:sz w:val="22"/>
          <w:szCs w:val="22"/>
          <w:vertAlign w:val="subscript"/>
        </w:rPr>
        <w:t xml:space="preserve">v</w:t>
      </w:r>
      <w:r>
        <w:rPr>
          <w:rFonts w:ascii="Times New Roman" w:cs="Times New Roman" w:eastAsia="Times New Roman" w:hAnsi="Times New Roman"/>
          <w:color w:val="00B0F0"/>
          <w:sz w:val="22"/>
          <w:szCs w:val="22"/>
        </w:rPr>
        <w:t xml:space="preserve"> therefore contains each member of G at most once, and an approval from a signer outside G does not enter A</w:t>
      </w:r>
      <w:r>
        <w:rPr>
          <w:rFonts w:ascii="Times New Roman" w:cs="Times New Roman" w:eastAsia="Times New Roman" w:hAnsi="Times New Roman"/>
          <w:color w:val="00B0F0"/>
          <w:sz w:val="22"/>
          <w:szCs w:val="22"/>
          <w:vertAlign w:val="subscript"/>
        </w:rPr>
        <w:t xml:space="preserve">v</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w:t>
      </w:r>
      <w:r>
        <w:rPr>
          <w:rFonts w:ascii="Times New Roman" w:cs="Times New Roman" w:eastAsia="Times New Roman" w:hAnsi="Times New Roman"/>
          <w:color w:val="00B0F0"/>
          <w:sz w:val="22"/>
          <w:szCs w:val="22"/>
        </w:rPr>
        <w:t xml:space="preserve">a registration-time co-consent, a documentation-time gate on guardian access, an institution-side admission gate, a custodial M-of-N signature, a key-share reconstruction, or a threshold proxy re-encryption.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18"/>
          <w:szCs w:val="18"/>
        </w:rPr>
        <w:t xml:space="preserve">A</w:t>
      </w:r>
      <w:r>
        <w:rPr>
          <w:rFonts w:ascii="Cambria Math" w:cs="Cambria Math" w:eastAsia="Cambria Math" w:hAnsi="Cambria Math"/>
          <w:i w:val="false"/>
          <w:iCs w:val="false"/>
          <w:color w:val="00B0F0"/>
          <w:sz w:val="18"/>
          <w:szCs w:val="18"/>
          <w:vertAlign w:val="subscript"/>
        </w:rPr>
        <w:t xml:space="preserve">v</w:t>
      </w:r>
      <w:r>
        <w:rPr>
          <w:rFonts w:ascii="Cambria Math" w:cs="Cambria Math" w:eastAsia="Cambria Math" w:hAnsi="Cambria Math"/>
          <w:i w:val="false"/>
          <w:iCs w:val="false"/>
          <w:color w:val="00B0F0"/>
          <w:sz w:val="18"/>
          <w:szCs w:val="18"/>
        </w:rPr>
        <w:t xml:space="preserve"> = {g ∈ G | ∃ a</w:t>
      </w:r>
      <w:r>
        <w:rPr>
          <w:rFonts w:ascii="Cambria Math" w:cs="Cambria Math" w:eastAsia="Cambria Math" w:hAnsi="Cambria Math"/>
          <w:i w:val="false"/>
          <w:iCs w:val="false"/>
          <w:color w:val="00B0F0"/>
          <w:sz w:val="18"/>
          <w:szCs w:val="18"/>
          <w:vertAlign w:val="subscript"/>
        </w:rPr>
        <w:t xml:space="preserve">i</w:t>
      </w:r>
      <w:r>
        <w:rPr>
          <w:rFonts w:ascii="Cambria Math" w:cs="Cambria Math" w:eastAsia="Cambria Math" w:hAnsi="Cambria Math"/>
          <w:i w:val="false"/>
          <w:iCs w:val="false"/>
          <w:color w:val="00B0F0"/>
          <w:sz w:val="18"/>
          <w:szCs w:val="18"/>
        </w:rPr>
        <w:t xml:space="preserve"> ∈ A</w:t>
      </w:r>
      <w:r>
        <w:rPr>
          <w:rFonts w:ascii="Cambria Math" w:cs="Cambria Math" w:eastAsia="Cambria Math" w:hAnsi="Cambria Math"/>
          <w:i w:val="false"/>
          <w:iCs w:val="false"/>
          <w:color w:val="00B0F0"/>
          <w:sz w:val="18"/>
          <w:szCs w:val="18"/>
          <w:vertAlign w:val="subscript"/>
        </w:rPr>
        <w:t xml:space="preserve">s</w:t>
      </w:r>
      <w:r>
        <w:rPr>
          <w:rFonts w:ascii="Cambria Math" w:cs="Cambria Math" w:eastAsia="Cambria Math" w:hAnsi="Cambria Math"/>
          <w:i w:val="false"/>
          <w:iCs w:val="false"/>
          <w:color w:val="00B0F0"/>
          <w:sz w:val="18"/>
          <w:szCs w:val="18"/>
        </w:rPr>
        <w:t xml:space="preserve"> submitted by g with V</w:t>
      </w:r>
      <w:r>
        <w:rPr>
          <w:rFonts w:ascii="Cambria Math" w:cs="Cambria Math" w:eastAsia="Cambria Math" w:hAnsi="Cambria Math"/>
          <w:i w:val="false"/>
          <w:iCs w:val="false"/>
          <w:color w:val="00B0F0"/>
          <w:sz w:val="18"/>
          <w:szCs w:val="18"/>
          <w:vertAlign w:val="subscript"/>
        </w:rPr>
        <w:t xml:space="preserve">I</w:t>
      </w:r>
      <w:r>
        <w:rPr>
          <w:rFonts w:ascii="Cambria Math" w:cs="Cambria Math" w:eastAsia="Cambria Math" w:hAnsi="Cambria Math"/>
          <w:i w:val="false"/>
          <w:iCs w:val="false"/>
          <w:color w:val="00B0F0"/>
          <w:sz w:val="18"/>
          <w:szCs w:val="18"/>
        </w:rPr>
        <w:t xml:space="preserve">(</w:t>
      </w:r>
      <w:r>
        <w:rPr>
          <w:rFonts w:ascii="Cambria Math" w:cs="Cambria Math" w:eastAsia="Cambria Math" w:hAnsi="Cambria Math"/>
          <w:i w:val="false"/>
          <w:iCs w:val="false"/>
          <w:color w:val="00B0F0"/>
          <w:sz w:val="18"/>
          <w:szCs w:val="18"/>
        </w:rPr>
        <w:t xml:space="preserve">g</w:t>
      </w:r>
      <w:r>
        <w:rPr>
          <w:rFonts w:ascii="Cambria Math" w:cs="Cambria Math" w:eastAsia="Cambria Math" w:hAnsi="Cambria Math"/>
          <w:i w:val="false"/>
          <w:iCs w:val="false"/>
          <w:color w:val="00B0F0"/>
          <w:sz w:val="18"/>
          <w:szCs w:val="18"/>
        </w:rPr>
        <w:t xml:space="preserve">) = 1}.</w:t>
      </w:r>
      <w:r>
        <w:rPr>
          <w:rFonts w:ascii="Times New Roman" w:cs="Times New Roman" w:eastAsia="Times New Roman" w:hAnsi="Times New Roman"/>
          <w:sz w:val="22"/>
          <w:szCs w:val="22"/>
        </w:rPr>
        <w:t xml:space="preserve">	(5.2)</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The temporal check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the jurisdictional check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z w:val="22"/>
          <w:szCs w:val="22"/>
        </w:rPr>
        <w:t xml:space="preserve">Beyond the access decision shown in Figure 5.5,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color w:val="00B0F0"/>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w:t>
      </w:r>
      <w:r>
        <w:rPr>
          <w:rFonts w:ascii="Times New Roman" w:cs="Times New Roman" w:eastAsia="Times New Roman" w:hAnsi="Times New Roman"/>
          <w:sz w:val="22"/>
          <w:szCs w:val="22"/>
        </w:rPr>
        <w:t xml:space="preserve">This step addresses a limitation of identity-based and approval-based access control:</w:t>
      </w:r>
      <w:r>
        <w:rPr>
          <w:rFonts w:ascii="Times New Roman" w:cs="Times New Roman" w:eastAsia="Times New Roman" w:hAnsi="Times New Roman"/>
          <w:sz w:val="22"/>
          <w:szCs w:val="22"/>
        </w:rPr>
        <w:t xml:space="preserve">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w:t>
      </w:r>
      <w:r>
        <w:rPr>
          <w:rFonts w:ascii="Times New Roman" w:cs="Times New Roman" w:eastAsia="Times New Roman" w:hAnsi="Times New Roman"/>
          <w:sz w:val="22"/>
          <w:szCs w:val="22"/>
        </w:rPr>
        <w:t xml:space="preserve">Similarly, the purpose must be a supported healthcare use. The full design also requires the requested purpose to match the purpose recorded in the consent, which the prototype does not yet compare, as Section 9.4 explains.</w:t>
      </w:r>
      <w:r>
        <w:rPr>
          <w:rFonts w:ascii="Times New Roman" w:cs="Times New Roman" w:eastAsia="Times New Roman" w:hAnsi="Times New Roman"/>
          <w:sz w:val="22"/>
          <w:szCs w:val="22"/>
        </w:rPr>
        <w:t xml:space="preserve">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and, in the prototype, a denial against an ACTIVE consent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is</w:t>
      </w:r>
      <w:r>
        <w:rPr>
          <w:rFonts w:ascii="Times New Roman" w:cs="Times New Roman" w:eastAsia="Times New Roman" w:hAnsi="Times New Roman"/>
          <w:sz w:val="22"/>
          <w:szCs w:val="22"/>
        </w:rPr>
        <w:t xml:space="preserve"> evaluated by the Controller before an access decision is produced</w:t>
      </w:r>
      <w:r>
        <w:rPr>
          <w:rFonts w:ascii="Times New Roman" w:cs="Times New Roman" w:eastAsia="Times New Roman" w:hAnsi="Times New Roman"/>
          <w:sz w:val="22"/>
          <w:szCs w:val="22"/>
        </w:rPr>
        <w:t xml:space="preserve">, and the jurisdiction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of RO4 is evaluated in the same step</w:t>
      </w:r>
      <w:r>
        <w:rPr>
          <w:rFonts w:ascii="Times New Roman" w:cs="Times New Roman" w:eastAsia="Times New Roman" w:hAnsi="Times New Roman"/>
          <w:sz w:val="22"/>
          <w:szCs w:val="22"/>
        </w:rPr>
        <w:t xml:space="preserve">.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5.1: </w:t>
      </w:r>
      <w:r>
        <w:rPr>
          <w:rFonts w:ascii="Times New Roman" w:cs="Times New Roman" w:eastAsia="Times New Roman" w:hAnsi="Times New Roman"/>
          <w:color w:val="00B0F0"/>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w:t>
            </w:r>
            <w:r>
              <w:rPr>
                <w:rFonts w:ascii="Times New Roman" w:cs="Times New Roman" w:eastAsia="Times New Roman" w:hAnsi="Times New Roman"/>
                <w:b w:val="false"/>
                <w:bCs w:val="false"/>
                <w:sz w:val="17"/>
                <w:szCs w:val="17"/>
              </w:rPr>
              <w:t xml:space="preserve">evaluate</w:t>
            </w:r>
            <w:r>
              <w:rPr>
                <w:rFonts w:ascii="Times New Roman" w:cs="Times New Roman" w:eastAsia="Times New Roman" w:hAnsi="Times New Roman"/>
                <w:b w:val="false"/>
                <w:bCs w:val="false"/>
                <w:sz w:val="17"/>
                <w:szCs w:val="17"/>
              </w:rPr>
              <w:t xml:space="preserve">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contribution of the proposed architecture is the way MVC is used to carry a trust-oriented authorisation model, not the use of MVC itself.</w:t>
      </w:r>
      <w:r>
        <w:rPr>
          <w:rFonts w:ascii="Times New Roman" w:cs="Times New Roman" w:eastAsia="Times New Roman" w:hAnsi="Times New Roman"/>
          <w:sz w:val="22"/>
          <w:szCs w:val="22"/>
        </w:rPr>
        <w:t xml:space="preserve">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jurisdictional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rPr>
          <w:rFonts w:ascii="Times New Roman" w:cs="Times New Roman" w:eastAsia="Times New Roman" w:hAnsi="Times New Roman"/>
          <w:color w:val="FF0000"/>
          <w:sz w:val="22"/>
          <w:szCs w:val="22"/>
        </w:rPr>
        <w:t xml:space="preserve">remains for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section presents the solution for RO1, the consent object on which the other objectives build.</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(6.1)</w:t>
      </w:r>
    </w:p>
    <w:p>
      <w:pPr>
        <w:spacing w:after="110" w:line="264"/>
        <w:jc w:val="both"/>
      </w:pPr>
      <w:r>
        <w:rPr>
          <w:rFonts w:ascii="Times New Roman" w:cs="Times New Roman" w:eastAsia="Times New Roman" w:hAnsi="Times New Roman"/>
          <w:sz w:val="22"/>
          <w:szCs w:val="22"/>
        </w:rPr>
        <w:t xml:space="preserve">In Equation (6.1), I represents patient and participant identity information, A represents authorisation requirements, P represents policy constraints, and E represents authorisation evidence. T represents the temporal validity window, and L represents the jurisdiction in which the consent may be exercised.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762250" cy="5334000"/>
            <wp:effectExtent t="0" r="0" b="0" l="0"/>
            <wp:docPr id="1" name="F10.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6.1: </w:t>
      </w:r>
      <w:r>
        <w:rPr>
          <w:rFonts w:ascii="Times New Roman" w:cs="Times New Roman" w:eastAsia="Times New Roman" w:hAnsi="Times New Roman"/>
          <w:color w:val="00B0F0"/>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The declared jurisdiction L is validated as a well-formed ISO alpha-2 territory code, AU in the demonstrated transactions, and is bound to the consent object at creation because the subsequent access decision is evaluated against it.</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6.2 shows how the validated information is combined to construct the consent object. </w:t>
      </w:r>
      <w:r>
        <w:rPr>
          <w:rFonts w:ascii="Times New Roman" w:cs="Times New Roman" w:eastAsia="Times New Roman" w:hAnsi="Times New Roman"/>
          <w:sz w:val="22"/>
          <w:szCs w:val="22"/>
        </w:rPr>
        <w:t xml:space="preserve">The resulting object therefore captures the patient's preference and the evidence needed for later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title="Six-component consent model C = (I, A, P, T, L, E) with the content and supplier of each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6.2: </w:t>
      </w:r>
      <w:r>
        <w:rPr>
          <w:rFonts w:ascii="Times New Roman" w:cs="Times New Roman" w:eastAsia="Times New Roman" w:hAnsi="Times New Roman"/>
          <w:color w:val="00B0F0"/>
          <w:sz w:val="18"/>
          <w:szCs w:val="18"/>
        </w:rPr>
        <w:t xml:space="preserve">Six-component consent model C = (I, A, P, T, L, E) with the content and supplier of each component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Unlike the consent objects reported in the literature, this object carries the guardian set and threshold together with the purpose, data scope, validity interval, jurisdiction,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 </w:t>
      </w:r>
      <w:r>
        <w:rPr>
          <w:rFonts w:ascii="Times New Roman" w:cs="Times New Roman" w:eastAsia="Times New Roman" w:hAnsi="Times New Roman"/>
          <w:color w:val="00B0F0"/>
          <w:sz w:val="22"/>
          <w:szCs w:val="22"/>
        </w:rPr>
        <w:t xml:space="preserve">The system then validates the guardian set G, which must </w:t>
      </w:r>
      <w:r>
        <w:rPr>
          <w:rFonts w:ascii="Times New Roman" w:cs="Times New Roman" w:eastAsia="Times New Roman" w:hAnsi="Times New Roman"/>
          <w:color w:val="00B0F0"/>
          <w:sz w:val="22"/>
          <w:szCs w:val="22"/>
        </w:rPr>
        <w:t xml:space="preserve">be non-empty, and every guardian in it must have a well-formed DID</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color w:val="00B0F0"/>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T → L → A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w:t>
      </w:r>
      <w:r>
        <w:rPr>
          <w:rFonts w:ascii="Times New Roman" w:cs="Times New Roman" w:eastAsia="Times New Roman" w:hAnsi="Times New Roman"/>
          <w:sz w:val="22"/>
          <w:szCs w:val="22"/>
        </w:rPr>
        <w:t xml:space="preserve">Consent is therefore created only after the identity, authority, purpose, scope, and temporal fields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6.1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validity interval T, jurisdiction L</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color w:val="00B0F0"/>
          <w:sz w:val="19"/>
          <w:szCs w:val="19"/>
        </w:rPr>
        <w:t xml:space="preserve">Validate authorised doctor D, guardian set G, purpose P</w:t>
      </w:r>
      <w:r>
        <w:rPr>
          <w:rFonts w:ascii="Times New Roman" w:cs="Times New Roman" w:eastAsia="Times New Roman" w:hAnsi="Times New Roman"/>
          <w:color w:val="00B0F0"/>
          <w:sz w:val="19"/>
          <w:szCs w:val="19"/>
          <w:vertAlign w:val="subscript"/>
        </w:rPr>
        <w:t xml:space="preserve">u</w:t>
      </w:r>
      <w:r>
        <w:rPr>
          <w:rFonts w:ascii="Times New Roman" w:cs="Times New Roman" w:eastAsia="Times New Roman" w:hAnsi="Times New Roman"/>
          <w:color w:val="00B0F0"/>
          <w:sz w:val="19"/>
          <w:szCs w:val="19"/>
        </w:rPr>
        <w:t xml:space="preserve"> and data scope S</w:t>
      </w:r>
      <w:r>
        <w:rPr>
          <w:rFonts w:ascii="Times New Roman" w:cs="Times New Roman" w:eastAsia="Times New Roman" w:hAnsi="Times New Roman"/>
          <w:color w:val="00B0F0"/>
          <w:sz w:val="19"/>
          <w:szCs w:val="19"/>
          <w:vertAlign w:val="subscript"/>
        </w:rPr>
        <w:t xml:space="preserve">C</w:t>
      </w:r>
      <w:r>
        <w:rPr>
          <w:rFonts w:ascii="Times New Roman" w:cs="Times New Roman" w:eastAsia="Times New Roman" w:hAnsi="Times New Roman"/>
          <w:color w:val="00B0F0"/>
          <w:sz w:val="19"/>
          <w:szCs w:val="19"/>
        </w:rPr>
        <w:t xml:space="preserve">   ▷ in the prototype, D is checked for DID format only at the access decision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color w:val="00B0F0"/>
          <w:sz w:val="19"/>
          <w:szCs w:val="19"/>
        </w:rPr>
        <w:t xml:space="preserve">if</w:t>
      </w:r>
      <w:r>
        <w:rPr>
          <w:rFonts w:ascii="Times New Roman" w:cs="Times New Roman" w:eastAsia="Times New Roman" w:hAnsi="Times New Roman"/>
          <w:color w:val="00B0F0"/>
          <w:sz w:val="19"/>
          <w:szCs w:val="19"/>
        </w:rPr>
        <w:t xml:space="preserve"> G = ∅, any member of G is invalid, P</w:t>
      </w:r>
      <w:r>
        <w:rPr>
          <w:rFonts w:ascii="Times New Roman" w:cs="Times New Roman" w:eastAsia="Times New Roman" w:hAnsi="Times New Roman"/>
          <w:color w:val="00B0F0"/>
          <w:sz w:val="19"/>
          <w:szCs w:val="19"/>
          <w:vertAlign w:val="subscript"/>
        </w:rPr>
        <w:t xml:space="preserve">u</w:t>
      </w:r>
      <w:r>
        <w:rPr>
          <w:rFonts w:ascii="Times New Roman" w:cs="Times New Roman" w:eastAsia="Times New Roman" w:hAnsi="Times New Roman"/>
          <w:color w:val="00B0F0"/>
          <w:sz w:val="19"/>
          <w:szCs w:val="19"/>
        </w:rPr>
        <w:t xml:space="preserve"> is invalid, or S</w:t>
      </w:r>
      <w:r>
        <w:rPr>
          <w:rFonts w:ascii="Times New Roman" w:cs="Times New Roman" w:eastAsia="Times New Roman" w:hAnsi="Times New Roman"/>
          <w:color w:val="00B0F0"/>
          <w:sz w:val="19"/>
          <w:szCs w:val="19"/>
          <w:vertAlign w:val="subscript"/>
        </w:rPr>
        <w:t xml:space="preserve">C</w:t>
      </w:r>
      <w:r>
        <w:rPr>
          <w:rFonts w:ascii="Times New Roman" w:cs="Times New Roman" w:eastAsia="Times New Roman" w:hAnsi="Times New Roman"/>
          <w:color w:val="00B0F0"/>
          <w:sz w:val="19"/>
          <w:szCs w:val="19"/>
        </w:rPr>
        <w:t xml:space="preserve"> = ∅ </w:t>
      </w:r>
      <w:r>
        <w:rPr>
          <w:rFonts w:ascii="Times New Roman" w:cs="Times New Roman" w:eastAsia="Times New Roman" w:hAnsi="Times New Roman"/>
          <w:b/>
          <w:bCs/>
          <w:color w:val="00B0F0"/>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color w:val="00B0F0"/>
          <w:sz w:val="19"/>
          <w:szCs w:val="19"/>
        </w:rPr>
        <w:t xml:space="preserve">return</w:t>
      </w:r>
      <w:r>
        <w:rPr>
          <w:rFonts w:ascii="Times New Roman" w:cs="Times New Roman" w:eastAsia="Times New Roman" w:hAnsi="Times New Roman"/>
          <w:color w:val="00B0F0"/>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color w:val="00B0F0"/>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Validate jurisdiction L and define authorisation requirement A</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color w:val="00B0F0"/>
          <w:sz w:val="19"/>
          <w:szCs w:val="19"/>
        </w:rPr>
        <w:t xml:space="preserve">Construct C = (I, A, P, T, L, E) with identifier id</w:t>
      </w:r>
      <w:r>
        <w:rPr>
          <w:rFonts w:ascii="Times New Roman" w:cs="Times New Roman" w:eastAsia="Times New Roman" w:hAnsi="Times New Roman"/>
          <w:color w:val="00B0F0"/>
          <w:sz w:val="19"/>
          <w:szCs w:val="19"/>
          <w:vertAlign w:val="subscript"/>
        </w:rPr>
        <w:t xml:space="preserve">C</w:t>
      </w:r>
      <w:r>
        <w:rPr>
          <w:rFonts w:ascii="Times New Roman" w:cs="Times New Roman" w:eastAsia="Times New Roman" w:hAnsi="Times New Roman"/>
          <w:color w:val="00B0F0"/>
          <w:sz w:val="19"/>
          <w:szCs w:val="19"/>
        </w:rPr>
        <w:t xml:space="preserve">, where I holds I</w:t>
      </w:r>
      <w:r>
        <w:rPr>
          <w:rFonts w:ascii="Times New Roman" w:cs="Times New Roman" w:eastAsia="Times New Roman" w:hAnsi="Times New Roman"/>
          <w:color w:val="00B0F0"/>
          <w:sz w:val="19"/>
          <w:szCs w:val="19"/>
          <w:vertAlign w:val="subscript"/>
        </w:rPr>
        <w:t xml:space="preserve">p</w:t>
      </w:r>
      <w:r>
        <w:rPr>
          <w:rFonts w:ascii="Times New Roman" w:cs="Times New Roman" w:eastAsia="Times New Roman" w:hAnsi="Times New Roman"/>
          <w:color w:val="00B0F0"/>
          <w:sz w:val="19"/>
          <w:szCs w:val="19"/>
        </w:rPr>
        <w:t xml:space="preserve"> and D, A holds G and the threshold N = |G|, and P holds P</w:t>
      </w:r>
      <w:r>
        <w:rPr>
          <w:rFonts w:ascii="Times New Roman" w:cs="Times New Roman" w:eastAsia="Times New Roman" w:hAnsi="Times New Roman"/>
          <w:color w:val="00B0F0"/>
          <w:sz w:val="19"/>
          <w:szCs w:val="19"/>
          <w:vertAlign w:val="subscript"/>
        </w:rPr>
        <w:t xml:space="preserve">u</w:t>
      </w:r>
      <w:r>
        <w:rPr>
          <w:rFonts w:ascii="Times New Roman" w:cs="Times New Roman" w:eastAsia="Times New Roman" w:hAnsi="Times New Roman"/>
          <w:color w:val="00B0F0"/>
          <w:sz w:val="19"/>
          <w:szCs w:val="19"/>
        </w:rPr>
        <w:t xml:space="preserve"> and S</w:t>
      </w:r>
      <w:r>
        <w:rPr>
          <w:rFonts w:ascii="Times New Roman" w:cs="Times New Roman" w:eastAsia="Times New Roman" w:hAnsi="Times New Roman"/>
          <w:color w:val="00B0F0"/>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color w:val="00B0F0"/>
          <w:sz w:val="19"/>
          <w:szCs w:val="19"/>
        </w:rPr>
        <w:t xml:space="preserve">state ← PENDING_SIGNATURE   ▷ nothing is anchored on-chain until all guardians approve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color w:val="00B0F0"/>
          <w:sz w:val="19"/>
          <w:szCs w:val="19"/>
        </w:rPr>
        <w:t xml:space="preserve">Persist 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consent creation evidence</w:t>
      </w:r>
    </w:p>
    <w:p>
      <w:pPr>
        <w:keepNext w:val="false"/>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6.1 formalises the creation process. The algorithm does not grant data access directly. Instead, it creates a consent object that can later be evaluated by the authorisation mechanism. </w:t>
      </w:r>
      <w:r>
        <w:rPr>
          <w:rFonts w:ascii="Times New Roman" w:cs="Times New Roman" w:eastAsia="Times New Roman" w:hAnsi="Times New Roman"/>
          <w:sz w:val="22"/>
          <w:szCs w:val="22"/>
        </w:rPr>
        <w:t xml:space="preserve"> The consent is placed in the PENDING_SIGNATURE state,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w:t>
      </w:r>
      <w:r>
        <w:rPr>
          <w:rFonts w:ascii="Times New Roman" w:cs="Times New Roman" w:eastAsia="Times New Roman" w:hAnsi="Times New Roman"/>
          <w:sz w:val="22"/>
          <w:szCs w:val="22"/>
        </w:rPr>
        <w:t xml:space="preserve">The main contribution of RO1 is that consent is represented as an evaluable authorisation object rather than as a binary permission.</w:t>
      </w:r>
      <w:r>
        <w:rPr>
          <w:rFonts w:ascii="Times New Roman" w:cs="Times New Roman" w:eastAsia="Times New Roman" w:hAnsi="Times New Roman"/>
          <w:sz w:val="22"/>
          <w:szCs w:val="22"/>
        </w:rPr>
        <w:t xml:space="preserve"> In the current prototype, the identity validation of the first three steps is structural. In particular, the patient DID is selected from the loaded record set, and each guardian DID must be a well-formed DID before the consent is stored, whereas the doctor DID is checked for DID format only when the access decision is evaluated, as qualified in Section 7. The validation evidence for consent creation, including the demonstration scenarios and the unit-level tests, is presented in Section 11. </w:t>
      </w:r>
      <w:r>
        <w:rPr>
          <w:rFonts w:ascii="Times New Roman" w:cs="Times New Roman" w:eastAsia="Times New Roman" w:hAnsi="Times New Roman"/>
          <w:sz w:val="22"/>
          <w:szCs w:val="22"/>
        </w:rPr>
        <w:t xml:space="preserve">The next section presents the solution for RO2, which verifies who the participants are and what authority they hold.</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(7.1)</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w:t>
      </w:r>
      <w:r>
        <w:rPr>
          <w:rFonts w:ascii="Times New Roman" w:cs="Times New Roman" w:eastAsia="Times New Roman" w:hAnsi="Times New Roman"/>
          <w:sz w:val="22"/>
          <w:szCs w:val="22"/>
        </w:rPr>
        <w:t xml:space="preserve"> In the current prototype this check is structural, as Section 7.4 explains.</w:t>
      </w:r>
      <w:r>
        <w:rPr>
          <w:rFonts w:ascii="Times New Roman" w:cs="Times New Roman" w:eastAsia="Times New Roman" w:hAnsi="Times New Roman"/>
          <w:sz w:val="22"/>
          <w:szCs w:val="22"/>
        </w:rPr>
        <w:t xml:space="preserve">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V</w:t>
      </w:r>
      <w:r>
        <w:rPr>
          <w:rFonts w:ascii="Cambria Math" w:cs="Cambria Math" w:eastAsia="Cambria Math" w:hAnsi="Cambria Math"/>
          <w:i w:val="false"/>
          <w:iCs w:val="false"/>
          <w:color w:val="00B0F0"/>
          <w:sz w:val="21"/>
          <w:szCs w:val="21"/>
          <w:vertAlign w:val="subscript"/>
        </w:rPr>
        <w:t xml:space="preserve">I</w:t>
      </w:r>
      <w:r>
        <w:rPr>
          <w:rFonts w:ascii="Cambria Math" w:cs="Cambria Math" w:eastAsia="Cambria Math" w:hAnsi="Cambria Math"/>
          <w:i w:val="false"/>
          <w:iCs w:val="false"/>
          <w:color w:val="00B0F0"/>
          <w:sz w:val="21"/>
          <w:szCs w:val="21"/>
        </w:rPr>
        <w:t xml:space="preserve">(u) = VerifyDID(u) ∧ VerifyVC(u) ∧ Authority(u, C).</w:t>
      </w:r>
      <w:r>
        <w:rPr>
          <w:rFonts w:ascii="Times New Roman" w:cs="Times New Roman" w:eastAsia="Times New Roman" w:hAnsi="Times New Roman"/>
          <w:sz w:val="22"/>
          <w:szCs w:val="22"/>
        </w:rPr>
        <w:t xml:space="preserve">	(7.2)</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3581400" cy="5334000"/>
            <wp:effectExtent t="0" r="0" b="0" l="0"/>
            <wp:docPr id="1" name="F12.png" descr="RO2 workflow for decentralised identity and authority verification (target design; the current prototype performs a DID-format check and EIP-712 signature recovery)" title="RO2 workflow for decentralised identity and authority verification (target design; the current prototype performs a DID-format check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8140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7.1: </w:t>
      </w:r>
      <w:r>
        <w:rPr>
          <w:rFonts w:ascii="Times New Roman" w:cs="Times New Roman" w:eastAsia="Times New Roman" w:hAnsi="Times New Roman"/>
          <w:color w:val="00B0F0"/>
          <w:sz w:val="18"/>
          <w:szCs w:val="18"/>
        </w:rPr>
        <w:t xml:space="preserve">RO2 workflow for decentralised identity and authority verification (target design</w:t>
      </w:r>
      <w:r>
        <w:rPr>
          <w:rFonts w:ascii="Times New Roman" w:cs="Times New Roman" w:eastAsia="Times New Roman" w:hAnsi="Times New Roman"/>
          <w:color w:val="00B0F0"/>
          <w:sz w:val="18"/>
          <w:szCs w:val="18"/>
        </w:rPr>
        <w:t xml:space="preserve">;</w:t>
      </w:r>
      <w:r>
        <w:rPr>
          <w:rFonts w:ascii="Times New Roman" w:cs="Times New Roman" w:eastAsia="Times New Roman" w:hAnsi="Times New Roman"/>
          <w:color w:val="00B0F0"/>
          <w:sz w:val="18"/>
          <w:szCs w:val="18"/>
        </w:rPr>
        <w:t xml:space="preserve"> the current prototype performs a DID-format check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In the target design,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w:t>
      </w:r>
      <w:r>
        <w:rPr>
          <w:rFonts w:ascii="Times New Roman" w:cs="Times New Roman" w:eastAsia="Times New Roman" w:hAnsi="Times New Roman"/>
          <w:sz w:val="22"/>
          <w:szCs w:val="22"/>
        </w:rPr>
        <w:t xml:space="preserve"> 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color w:val="00B0F0"/>
          <w:sz w:val="22"/>
          <w:szCs w:val="22"/>
        </w:rPr>
        <w:t xml:space="preserve">two-layer verification mechanism, VerifyDID(u) ∧ VerifyVC(u) ∧ Authority(u, C) ⇒ V</w:t>
      </w:r>
      <w:r>
        <w:rPr>
          <w:rFonts w:ascii="Times New Roman" w:cs="Times New Roman" w:eastAsia="Times New Roman" w:hAnsi="Times New Roman"/>
          <w:color w:val="00B0F0"/>
          <w:sz w:val="22"/>
          <w:szCs w:val="22"/>
          <w:vertAlign w:val="subscript"/>
        </w:rPr>
        <w:t xml:space="preserve">I</w:t>
      </w:r>
      <w:r>
        <w:rPr>
          <w:rFonts w:ascii="Times New Roman" w:cs="Times New Roman" w:eastAsia="Times New Roman" w:hAnsi="Times New Roman"/>
          <w:color w:val="00B0F0"/>
          <w:sz w:val="22"/>
          <w:szCs w:val="22"/>
        </w:rPr>
        <w:t xml:space="preserve">(u) = 1, where VALID corresponds to V</w:t>
      </w:r>
      <w:r>
        <w:rPr>
          <w:rFonts w:ascii="Times New Roman" w:cs="Times New Roman" w:eastAsia="Times New Roman" w:hAnsi="Times New Roman"/>
          <w:color w:val="00B0F0"/>
          <w:sz w:val="22"/>
          <w:szCs w:val="22"/>
          <w:vertAlign w:val="subscript"/>
        </w:rPr>
        <w:t xml:space="preserve">I</w:t>
      </w:r>
      <w:r>
        <w:rPr>
          <w:rFonts w:ascii="Times New Roman" w:cs="Times New Roman" w:eastAsia="Times New Roman" w:hAnsi="Times New Roman"/>
          <w:color w:val="00B0F0"/>
          <w:sz w:val="22"/>
          <w:szCs w:val="22"/>
        </w:rPr>
        <w:t xml:space="preserve">(u) = 1 and INVALID to V</w:t>
      </w:r>
      <w:r>
        <w:rPr>
          <w:rFonts w:ascii="Times New Roman" w:cs="Times New Roman" w:eastAsia="Times New Roman" w:hAnsi="Times New Roman"/>
          <w:color w:val="00B0F0"/>
          <w:sz w:val="22"/>
          <w:szCs w:val="22"/>
          <w:vertAlign w:val="subscript"/>
        </w:rPr>
        <w:t xml:space="preserve">I</w:t>
      </w:r>
      <w:r>
        <w:rPr>
          <w:rFonts w:ascii="Times New Roman" w:cs="Times New Roman" w:eastAsia="Times New Roman" w:hAnsi="Times New Roman"/>
          <w:color w:val="00B0F0"/>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7.1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7.1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color w:val="00B0F0"/>
          <w:sz w:val="19"/>
          <w:szCs w:val="19"/>
        </w:rPr>
        <w:t xml:space="preserve">Verification result V</w:t>
      </w:r>
      <w:r>
        <w:rPr>
          <w:rFonts w:ascii="Times New Roman" w:cs="Times New Roman" w:eastAsia="Times New Roman" w:hAnsi="Times New Roman"/>
          <w:color w:val="00B0F0"/>
          <w:sz w:val="19"/>
          <w:szCs w:val="19"/>
          <w:vertAlign w:val="subscript"/>
        </w:rPr>
        <w:t xml:space="preserve">I</w:t>
      </w:r>
      <w:r>
        <w:rPr>
          <w:rFonts w:ascii="Times New Roman" w:cs="Times New Roman" w:eastAsia="Times New Roman" w:hAnsi="Times New Roman"/>
          <w:color w:val="00B0F0"/>
          <w:sz w:val="19"/>
          <w:szCs w:val="19"/>
        </w:rPr>
        <w:t xml:space="preserve">(u) ∈ {VALID, INVALID}, where VALID corresponds to V</w:t>
      </w:r>
      <w:r>
        <w:rPr>
          <w:rFonts w:ascii="Times New Roman" w:cs="Times New Roman" w:eastAsia="Times New Roman" w:hAnsi="Times New Roman"/>
          <w:color w:val="00B0F0"/>
          <w:sz w:val="19"/>
          <w:szCs w:val="19"/>
          <w:vertAlign w:val="subscript"/>
        </w:rPr>
        <w:t xml:space="preserve">I</w:t>
      </w:r>
      <w:r>
        <w:rPr>
          <w:rFonts w:ascii="Times New Roman" w:cs="Times New Roman" w:eastAsia="Times New Roman" w:hAnsi="Times New Roman"/>
          <w:color w:val="00B0F0"/>
          <w:sz w:val="19"/>
          <w:szCs w:val="19"/>
        </w:rPr>
        <w:t xml:space="preserve">(u) = 1</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Resolve DID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Verify DID document and associated identity information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Retrieve VC associated with u</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Verify VC signature, issuer, subject, and validity</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Extract role and authority claims from VC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identity and authority verification evidence</w:t>
      </w:r>
    </w:p>
    <w:p>
      <w:pPr>
        <w:keepNext w:val="false"/>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7.1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w:t>
      </w:r>
      <w:r>
        <w:rPr>
          <w:rFonts w:ascii="Times New Roman" w:cs="Times New Roman" w:eastAsia="Times New Roman" w:hAnsi="Times New Roman"/>
          <w:sz w:val="22"/>
          <w:szCs w:val="22"/>
        </w:rPr>
        <w:t xml:space="preserve">This mechanism turns identity and authority claims into verifiable evidence.</w:t>
      </w:r>
      <w:r>
        <w:rPr>
          <w:rFonts w:ascii="Times New Roman" w:cs="Times New Roman" w:eastAsia="Times New Roman" w:hAnsi="Times New Roman"/>
          <w:sz w:val="22"/>
          <w:szCs w:val="22"/>
        </w:rPr>
        <w:t xml:space="preserv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a structural DID and credential-format check with EIP-712 verification of the signature of each listed guardian, and its outcome is recorded in the audit ledger. The condition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therefore defines the target verification model rather than the behaviour presently exercised by the demonstration. The doctor is not independently authenticated at consent creation, because the doctor DID is checked for DID format only when the access decision is evaluated. Cryptographic DID resolution against a registry, cryptographic validation of verifiable credentials, and authentication of the requester are acknowledged limitations reserved for the next stage. The validation evidence for RO2, including the scenarios and the unit-level adversarial tests, is presented in Section 11. </w:t>
      </w:r>
      <w:r>
        <w:rPr>
          <w:rFonts w:ascii="Times New Roman" w:cs="Times New Roman" w:eastAsia="Times New Roman" w:hAnsi="Times New Roman"/>
          <w:sz w:val="22"/>
          <w:szCs w:val="22"/>
        </w:rPr>
        <w:t xml:space="preserve">The next section presents the solution for RO3, the multi-party approval of the consent.</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w:t>
      </w:r>
      <w:r>
        <w:rPr>
          <w:rFonts w:ascii="Times New Roman" w:cs="Times New Roman" w:eastAsia="Times New Roman" w:hAnsi="Times New Roman"/>
          <w:sz w:val="22"/>
          <w:szCs w:val="22"/>
        </w:rPr>
        <w:t xml:space="preserve">Section 8.1 defines the threshold condition, Section 8.2 shows the multi-party authorisation workflow, Section 8.3 gives the procedure and the algorithm, and Section 8.4 states the outcome of RO3.</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z w:val="22"/>
          <w:szCs w:val="22"/>
        </w:rPr>
        <w:t xml:space="preserve">approving guardians</w:t>
      </w:r>
      <w:r>
        <w:rPr>
          <w:rFonts w:ascii="Times New Roman" w:cs="Times New Roman" w:eastAsia="Times New Roman" w:hAnsi="Times New Roman"/>
          <w:sz w:val="22"/>
          <w:szCs w:val="22"/>
        </w:rPr>
        <w:t xml:space="preserve"> and N represent the required approval threshold. The authorisation condition can then be represented as Equation (8.1),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(8.1)</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w:t>
      </w:r>
      <w:r>
        <w:rPr>
          <w:rFonts w:ascii="Times New Roman" w:cs="Times New Roman" w:eastAsia="Times New Roman" w:hAnsi="Times New Roman"/>
          <w:sz w:val="22"/>
          <w:szCs w:val="22"/>
        </w:rPr>
        <w:t xml:space="preserve">Decentralised identity systems with multi-party verification strengthen the way identity claims are established and validated</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w:t>
      </w:r>
      <w:r>
        <w:rPr>
          <w:rFonts w:ascii="Times New Roman" w:cs="Times New Roman" w:eastAsia="Times New Roman" w:hAnsi="Times New Roman"/>
          <w:sz w:val="22"/>
          <w:szCs w:val="22"/>
        </w:rPr>
        <w:t xml:space="preserve">guardian workflow checks the EIP-712 signature and the DID format, which stands in for VC verification in the prototype. It then appends the guardian DID to the consent signatures and displays the current approval count relative to the threshold.</w:t>
      </w:r>
      <w:r>
        <w:rPr>
          <w:rFonts w:ascii="Times New Roman" w:cs="Times New Roman" w:eastAsia="Times New Roman" w:hAnsi="Times New Roman"/>
          <w:sz w:val="22"/>
          <w:szCs w:val="22"/>
        </w:rPr>
        <w:t xml:space="preserve"> The code therefore demonstrates the separation between participant identity verification and the subsequent authorisation operation. When the threshold is reached, the implementation assigns an SBT identifier and records the corresponding minting event.</w:t>
      </w:r>
    </w:p>
    <w:p>
      <w:pPr>
        <w:keepNext/>
        <w:spacing w:after="60" w:before="160"/>
        <w:jc w:val="center"/>
      </w:pPr>
      <w:r>
        <w:drawing>
          <wp:inline distT="0" distB="0" distL="0" distR="0">
            <wp:extent cx="3476625" cy="5334000"/>
            <wp:effectExtent t="0" r="0" b="0" l="0"/>
            <wp:docPr id="1" name="F13.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766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8.1: </w:t>
      </w:r>
      <w:r>
        <w:rPr>
          <w:rFonts w:ascii="Times New Roman" w:cs="Times New Roman" w:eastAsia="Times New Roman" w:hAnsi="Times New Roman"/>
          <w:color w:val="00B0F0"/>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is presently a DID-format check, and the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7.1.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color w:val="00B0F0"/>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z w:val="22"/>
          <w:szCs w:val="22"/>
        </w:rPr>
        <w:t xml:space="preserve">counted, and their guardian g is added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(8.2).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ACTIVATED, PENDING }</w:t>
      </w:r>
      <w:r>
        <w:rPr>
          <w:rFonts w:ascii="Times New Roman" w:cs="Times New Roman" w:eastAsia="Times New Roman" w:hAnsi="Times New Roman"/>
          <w:sz w:val="22"/>
          <w:szCs w:val="22"/>
        </w:rPr>
        <w:t xml:space="preserve">	(8.2)</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(8.3)</w:t>
      </w:r>
    </w:p>
    <w:p>
      <w:pPr>
        <w:spacing w:after="110" w:line="264"/>
        <w:jc w:val="both"/>
      </w:pPr>
      <w:r>
        <w:rPr>
          <w:rFonts w:ascii="Times New Roman" w:cs="Times New Roman" w:eastAsia="Times New Roman" w:hAnsi="Times New Roman"/>
          <w:sz w:val="22"/>
          <w:szCs w:val="22"/>
        </w:rPr>
        <w:t xml:space="preserve">Algorithm 8.1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8.1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interval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and jurisdiction L, patient and requester addresses 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EIP-712 domain</w:t>
      </w:r>
      <w:r>
        <w:rPr>
          <w:rFonts w:ascii="Times New Roman" w:cs="Times New Roman" w:eastAsia="Times New Roman" w:hAnsi="Times New Roman"/>
          <w:color w:val="00B0F0"/>
          <w:sz w:val="19"/>
          <w:szCs w:val="19"/>
        </w:rPr>
        <w:t xml:space="preserve">, signing address Addr(g) of each guardian, burn authorisation burnAuth = 2 (the issuer and the owner may both burn the token)</w:t>
      </w:r>
      <w:r>
        <w:rPr>
          <w:rFonts w:ascii="Times New Roman" w:cs="Times New Roman" w:eastAsia="Times New Roman" w:hAnsi="Times New Roman"/>
          <w:sz w:val="19"/>
          <w:szCs w:val="19"/>
        </w:rPr>
        <w:t xml:space="preserve">, approval a = (g,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submitted by guardian g</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Retrieve required participant set G</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9"/>
          <w:szCs w:val="19"/>
        </w:rPr>
        <w:t xml:space="preserve">N ← |G|</w:t>
      </w:r>
    </w:p>
    <w:p>
      <w:pPr>
        <w:keepNext/>
        <w:spacing w:after="10"/>
        <w:ind w:left="24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Verify identity and authority of g (Algorithm 7.1, a structural DID check in the prototype), and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verification fails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report the invalid approval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9"/>
          <w:szCs w:val="19"/>
        </w:rPr>
        <w:t xml:space="preserve">signer ← RecoverEIP712(domain,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g, APPROVE},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 off-chain recovery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signer ≠ Addr(g), or the signature binds a different consent, guardian, or chain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Record invalid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color w:val="00B0F0"/>
          <w:sz w:val="19"/>
          <w:szCs w:val="19"/>
        </w:rPr>
        <w:t xml:space="preserve">if</w:t>
      </w:r>
      <w:r>
        <w:rPr>
          <w:rFonts w:ascii="Times New Roman" w:cs="Times New Roman" w:eastAsia="Times New Roman" w:hAnsi="Times New Roman"/>
          <w:color w:val="00B0F0"/>
          <w:sz w:val="19"/>
          <w:szCs w:val="19"/>
        </w:rPr>
        <w:t xml:space="preserve"> g ∉ G </w:t>
      </w:r>
      <w:r>
        <w:rPr>
          <w:rFonts w:ascii="Times New Roman" w:cs="Times New Roman" w:eastAsia="Times New Roman" w:hAnsi="Times New Roman"/>
          <w:b/>
          <w:bCs/>
          <w:color w:val="00B0F0"/>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sz w:val="19"/>
          <w:szCs w:val="19"/>
        </w:rPr>
        <w:t xml:space="preserve">Record unauthorised approval attempt   </w:t>
      </w:r>
      <w:r>
        <w:rPr>
          <w:rFonts w:ascii="Times New Roman" w:cs="Times New Roman" w:eastAsia="Times New Roman" w:hAnsi="Times New Roman"/>
          <w:color w:val="00B0F0"/>
          <w:sz w:val="19"/>
          <w:szCs w:val="19"/>
        </w:rPr>
        <w:t xml:space="preserve">▷ in the prototype, only members of G can be selected in the guardian view, and a signature from any other signer is not counted towards 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b/>
          <w:bCs/>
          <w:color w:val="00B0F0"/>
          <w:sz w:val="19"/>
          <w:szCs w:val="19"/>
        </w:rPr>
        <w:t xml:space="preserve">if</w:t>
      </w:r>
      <w:r>
        <w:rPr>
          <w:rFonts w:ascii="Times New Roman" w:cs="Times New Roman" w:eastAsia="Times New Roman" w:hAnsi="Times New Roman"/>
          <w:color w:val="00B0F0"/>
          <w:sz w:val="19"/>
          <w:szCs w:val="19"/>
        </w:rPr>
        <w:t xml:space="preserve"> g has already approved C </w:t>
      </w:r>
      <w:r>
        <w:rPr>
          <w:rFonts w:ascii="Times New Roman" w:cs="Times New Roman" w:eastAsia="Times New Roman" w:hAnsi="Times New Roman"/>
          <w:b/>
          <w:bCs/>
          <w:color w:val="00B0F0"/>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Record duplicate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Record signature_data[g] ← (signer,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z w:val="19"/>
          <w:szCs w:val="19"/>
        </w:rPr>
        <w:t xml:space="preserve">approver</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sz w:val="19"/>
          <w:szCs w:val="19"/>
        </w:rPr>
        <w:t xml:space="preserve">Activate authorisation</w:t>
      </w:r>
    </w:p>
    <w:p>
      <w:pPr>
        <w:keepNext/>
        <w:spacing w:after="10"/>
        <w:ind w:left="60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color w:val="00B0F0"/>
          <w:sz w:val="19"/>
          <w:szCs w:val="19"/>
        </w:rPr>
        <w:t xml:space="preserve">R</w:t>
      </w:r>
      <w:r>
        <w:rPr>
          <w:rFonts w:ascii="Times New Roman" w:cs="Times New Roman" w:eastAsia="Times New Roman" w:hAnsi="Times New Roman"/>
          <w:sz w:val="19"/>
          <w:szCs w:val="19"/>
        </w:rPr>
        <w:t xml:space="preserve">ecord a local token identifier and set state ← ACTIVE once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has been reached</w:t>
      </w:r>
    </w:p>
    <w:p>
      <w:pPr>
        <w:keepNext/>
        <w:spacing w:after="10"/>
        <w:ind w:left="60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sz w:val="19"/>
          <w:szCs w:val="19"/>
        </w:rPr>
        <w:t xml:space="preserve">submit mintConsentV3(addr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L, burnAuth) via the owner account   ▷ the contract stores keccak256(P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runs as a background job and is reconciled on request from the guardian view</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color w:val="00B0F0"/>
          <w:sz w:val="19"/>
          <w:szCs w:val="19"/>
        </w:rPr>
        <w:t xml:space="preserve">On confirmation,</w:t>
      </w:r>
      <w:r>
        <w:rPr>
          <w:rFonts w:ascii="Times New Roman" w:cs="Times New Roman" w:eastAsia="Times New Roman" w:hAnsi="Times New Roman"/>
          <w:sz w:val="19"/>
          <w:szCs w:val="19"/>
        </w:rPr>
        <w:t xml:space="preserve"> replace the local token identifier with the on-chain token identifier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sz w:val="19"/>
          <w:szCs w:val="19"/>
        </w:rPr>
        <w:t xml:space="preserve">Record threshold-satisfied event</w:t>
      </w:r>
    </w:p>
    <w:p>
      <w:pPr>
        <w:keepNext/>
        <w:spacing w:after="10"/>
        <w:ind w:left="60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ACTIVATED   ▷ activation is distinct from the access decision</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else</w:t>
      </w:r>
    </w:p>
    <w:p>
      <w:pPr>
        <w:keepNext/>
        <w:spacing w:after="10"/>
        <w:ind w:left="60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sz w:val="19"/>
          <w:szCs w:val="19"/>
        </w:rPr>
        <w:t xml:space="preserve">Keep consent in pending state</w:t>
      </w:r>
    </w:p>
    <w:p>
      <w:pPr>
        <w:keepNext/>
        <w:spacing w:after="10"/>
        <w:ind w:left="60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Record threshold-pending event   ▷ shown in the interface in the prototype</w:t>
      </w:r>
    </w:p>
    <w:p>
      <w:pPr>
        <w:keepNext/>
        <w:spacing w:after="10"/>
        <w:ind w:left="60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shows that multi-party authorisation is a trust mechanism, not a user-interface feature.</w:t>
      </w:r>
      <w:r>
        <w:rPr>
          <w:rFonts w:ascii="Times New Roman" w:cs="Times New Roman" w:eastAsia="Times New Roman" w:hAnsi="Times New Roman"/>
          <w:sz w:val="22"/>
          <w:szCs w:val="22"/>
        </w:rPr>
        <w:t xml:space="preserv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7.1. Algorithm 7.1 establishes whether an individual participant possesses a valid identity and sufficient authority, whereas Algorithm 8.1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(8.4).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|A</w:t>
      </w:r>
      <w:r>
        <w:rPr>
          <w:rFonts w:ascii="Cambria Math" w:cs="Cambria Math" w:eastAsia="Cambria Math" w:hAnsi="Cambria Math"/>
          <w:i w:val="false"/>
          <w:iCs w:val="false"/>
          <w:color w:val="00B0F0"/>
          <w:sz w:val="21"/>
          <w:szCs w:val="21"/>
          <w:vertAlign w:val="subscript"/>
        </w:rPr>
        <w:t xml:space="preserve">v</w:t>
      </w:r>
      <w:r>
        <w:rPr>
          <w:rFonts w:ascii="Cambria Math" w:cs="Cambria Math" w:eastAsia="Cambria Math" w:hAnsi="Cambria Math"/>
          <w:i w:val="false"/>
          <w:iCs w:val="false"/>
          <w:color w:val="00B0F0"/>
          <w:sz w:val="21"/>
          <w:szCs w:val="21"/>
        </w:rPr>
        <w:t xml:space="preserve">| &lt; N ⟹ Decision(C, R, t) = DENY.</w:t>
      </w:r>
      <w:r>
        <w:rPr>
          <w:rFonts w:ascii="Times New Roman" w:cs="Times New Roman" w:eastAsia="Times New Roman" w:hAnsi="Times New Roman"/>
          <w:sz w:val="22"/>
          <w:szCs w:val="22"/>
        </w:rPr>
        <w:t xml:space="preserve">	(8.4)</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color w:val="00B0F0"/>
          <w:sz w:val="22"/>
          <w:szCs w:val="22"/>
        </w:rPr>
        <w:t xml:space="preserve">For example, where N = 2, Equation (8.5) holds for a consent that has a token identifier and has not been revoked, whereas Equation (8.6)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|A</w:t>
      </w:r>
      <w:r>
        <w:rPr>
          <w:rFonts w:ascii="Cambria Math" w:cs="Cambria Math" w:eastAsia="Cambria Math" w:hAnsi="Cambria Math"/>
          <w:i w:val="false"/>
          <w:iCs w:val="false"/>
          <w:color w:val="00B0F0"/>
          <w:sz w:val="21"/>
          <w:szCs w:val="21"/>
          <w:vertAlign w:val="subscript"/>
        </w:rPr>
        <w:t xml:space="preserve">v</w:t>
      </w:r>
      <w:r>
        <w:rPr>
          <w:rFonts w:ascii="Cambria Math" w:cs="Cambria Math" w:eastAsia="Cambria Math" w:hAnsi="Cambria Math"/>
          <w:i w:val="false"/>
          <w:iCs w:val="false"/>
          <w:color w:val="00B0F0"/>
          <w:sz w:val="21"/>
          <w:szCs w:val="21"/>
        </w:rPr>
        <w:t xml:space="preserve">| = 2 ∧ Token(C) ≠ ∅ ∧ Revoked(C) = 0 ⟹ V</w:t>
      </w:r>
      <w:r>
        <w:rPr>
          <w:rFonts w:ascii="Cambria Math" w:cs="Cambria Math" w:eastAsia="Cambria Math" w:hAnsi="Cambria Math"/>
          <w:i w:val="false"/>
          <w:iCs w:val="false"/>
          <w:color w:val="00B0F0"/>
          <w:sz w:val="21"/>
          <w:szCs w:val="21"/>
          <w:vertAlign w:val="subscript"/>
        </w:rPr>
        <w:t xml:space="preserve">A</w:t>
      </w:r>
      <w:r>
        <w:rPr>
          <w:rFonts w:ascii="Cambria Math" w:cs="Cambria Math" w:eastAsia="Cambria Math" w:hAnsi="Cambria Math"/>
          <w:i w:val="false"/>
          <w:iCs w:val="false"/>
          <w:color w:val="00B0F0"/>
          <w:sz w:val="21"/>
          <w:szCs w:val="21"/>
        </w:rPr>
        <w:t xml:space="preserve">(C) = 1,</w:t>
      </w:r>
      <w:r>
        <w:rPr>
          <w:rFonts w:ascii="Times New Roman" w:cs="Times New Roman" w:eastAsia="Times New Roman" w:hAnsi="Times New Roman"/>
          <w:sz w:val="22"/>
          <w:szCs w:val="22"/>
        </w:rPr>
        <w:t xml:space="preserve">	(8.5)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(8.6)</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w:t>
      </w:r>
      <w:r>
        <w:rPr>
          <w:rFonts w:ascii="Times New Roman" w:cs="Times New Roman" w:eastAsia="Times New Roman" w:hAnsi="Times New Roman"/>
          <w:sz w:val="22"/>
          <w:szCs w:val="22"/>
        </w:rPr>
        <w:t xml:space="preserve">The next section presents the solution for RO4, which checks the purpose and the data scope of each request.</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w:t>
      </w:r>
      <w:r>
        <w:rPr>
          <w:rFonts w:ascii="Times New Roman" w:cs="Times New Roman" w:eastAsia="Times New Roman" w:hAnsi="Times New Roman"/>
          <w:sz w:val="22"/>
          <w:szCs w:val="22"/>
        </w:rPr>
        <w:t xml:space="preserve">Section 9.1 defines the scope and policy conditions, Section 9.2 shows the policy-aware access workflow, Section 9.3 gives the decision algorithm, Section 9.4 qualifies what the prototype checks, and Section 9.5 states the outcome of RO4.</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(9.1)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(9.1)</w:t>
      </w:r>
    </w:p>
    <w:p>
      <w:pPr>
        <w:spacing w:after="110" w:line="264"/>
        <w:jc w:val="both"/>
      </w:pPr>
      <w:r>
        <w:rPr>
          <w:rFonts w:ascii="Times New Roman" w:cs="Times New Roman" w:eastAsia="Times New Roman" w:hAnsi="Times New Roman"/>
          <w:sz w:val="22"/>
          <w:szCs w:val="22"/>
        </w:rPr>
        <w:t xml:space="preserve">The policy condition can therefore be expressed as Equation (9.2)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V</w:t>
      </w:r>
      <w:r>
        <w:rPr>
          <w:rFonts w:ascii="Cambria Math" w:cs="Cambria Math" w:eastAsia="Cambria Math" w:hAnsi="Cambria Math"/>
          <w:i w:val="false"/>
          <w:iCs w:val="false"/>
          <w:color w:val="00B0F0"/>
          <w:sz w:val="21"/>
          <w:szCs w:val="21"/>
          <w:vertAlign w:val="subscript"/>
        </w:rPr>
        <w:t xml:space="preserve">P</w:t>
      </w:r>
      <w:r>
        <w:rPr>
          <w:rFonts w:ascii="Cambria Math" w:cs="Cambria Math" w:eastAsia="Cambria Math" w:hAnsi="Cambria Math"/>
          <w:i w:val="false"/>
          <w:iCs w:val="false"/>
          <w:color w:val="00B0F0"/>
          <w:sz w:val="21"/>
          <w:szCs w:val="21"/>
        </w:rPr>
        <w:t xml:space="preserve">(C, R) = V</w:t>
      </w:r>
      <w:r>
        <w:rPr>
          <w:rFonts w:ascii="Cambria Math" w:cs="Cambria Math" w:eastAsia="Cambria Math" w:hAnsi="Cambria Math"/>
          <w:i w:val="false"/>
          <w:iCs w:val="false"/>
          <w:color w:val="00B0F0"/>
          <w:sz w:val="21"/>
          <w:szCs w:val="21"/>
          <w:vertAlign w:val="subscript"/>
        </w:rPr>
        <w:t xml:space="preserve">U</w:t>
      </w:r>
      <w:r>
        <w:rPr>
          <w:rFonts w:ascii="Cambria Math" w:cs="Cambria Math" w:eastAsia="Cambria Math" w:hAnsi="Cambria Math"/>
          <w:i w:val="false"/>
          <w:iCs w:val="false"/>
          <w:color w:val="00B0F0"/>
          <w:sz w:val="21"/>
          <w:szCs w:val="21"/>
        </w:rPr>
        <w:t xml:space="preserve">(C, R) ∧ V</w:t>
      </w:r>
      <w:r>
        <w:rPr>
          <w:rFonts w:ascii="Cambria Math" w:cs="Cambria Math" w:eastAsia="Cambria Math" w:hAnsi="Cambria Math"/>
          <w:i w:val="false"/>
          <w:iCs w:val="false"/>
          <w:color w:val="00B0F0"/>
          <w:sz w:val="21"/>
          <w:szCs w:val="21"/>
          <w:vertAlign w:val="subscript"/>
        </w:rPr>
        <w:t xml:space="preserve">S</w:t>
      </w:r>
      <w:r>
        <w:rPr>
          <w:rFonts w:ascii="Cambria Math" w:cs="Cambria Math" w:eastAsia="Cambria Math" w:hAnsi="Cambria Math"/>
          <w:i w:val="false"/>
          <w:iCs w:val="false"/>
          <w:color w:val="00B0F0"/>
          <w:sz w:val="21"/>
          <w:szCs w:val="21"/>
        </w:rPr>
        <w:t xml:space="preserve">(C, R).</w:t>
      </w:r>
      <w:r>
        <w:rPr>
          <w:rFonts w:ascii="Times New Roman" w:cs="Times New Roman" w:eastAsia="Times New Roman" w:hAnsi="Times New Roman"/>
          <w:sz w:val="22"/>
          <w:szCs w:val="22"/>
        </w:rPr>
        <w:t xml:space="preserve">	(9.2)</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the five verification predicates in Equation (9.3)</w:t>
      </w:r>
      <w:r>
        <w:rPr>
          <w:rFonts w:ascii="Times New Roman" w:cs="Times New Roman" w:eastAsia="Times New Roman" w:hAnsi="Times New Roman"/>
          <w:sz w:val="22"/>
          <w:szCs w:val="22"/>
        </w:rPr>
        <w:t xml:space="preserve">, where the jurisdiction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belongs to this objective and is written out in Equation (10.2)</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 against an ACTIVE consent has its decision matrix recorded in the audit ledger with the GRANTED or DENIED outcome, although the three earliest grants of 22 September 2026 predate this logging. </w:t>
      </w:r>
      <w:r>
        <w:rPr>
          <w:rFonts w:ascii="Times New Roman" w:cs="Times New Roman" w:eastAsia="Times New Roman" w:hAnsi="Times New Roman"/>
          <w:sz w:val="22"/>
          <w:szCs w:val="22"/>
        </w:rPr>
        <w:t xml:space="preserve">Both successful and denied decisions should be recorded, because accountability covers the data that were released and the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(9.3)</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The final decision therefore combines the decision matrix with that scope check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w:t>
      </w:r>
      <w:r>
        <w:rPr>
          <w:rFonts w:ascii="Times New Roman" w:cs="Times New Roman" w:eastAsia="Times New Roman" w:hAnsi="Times New Roman"/>
          <w:sz w:val="22"/>
          <w:szCs w:val="22"/>
        </w:rPr>
        <w:t xml:space="preserve">consent purpose</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the requested </w:t>
      </w:r>
      <w:r>
        <w:rPr>
          <w:rFonts w:ascii="Times New Roman" w:cs="Times New Roman" w:eastAsia="Times New Roman" w:hAnsi="Times New Roman"/>
          <w:sz w:val="22"/>
          <w:szCs w:val="22"/>
        </w:rPr>
        <w:t xml:space="preserve">data scope. The HALAH implementation provides a concrete basis for this objective. As shown in Figure 9.1, the Doctor interface retrieves a consent, evaluates its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color w:val="00B0F0"/>
          <w:sz w:val="22"/>
          <w:szCs w:val="22"/>
        </w:rPr>
        <w:t xml:space="preserve">Suppose that a consent permits access to the data categories given in Equation (9.4), and a healthcare professional then requests the categories given in Equation (9.5).</w:t>
      </w:r>
    </w:p>
    <w:p>
      <w:pPr>
        <w:keepNext/>
        <w:spacing w:after="60" w:before="160"/>
        <w:jc w:val="center"/>
      </w:pPr>
      <w:r>
        <w:drawing>
          <wp:inline distT="0" distB="0" distL="0" distR="0">
            <wp:extent cx="3324225" cy="5905500"/>
            <wp:effectExtent t="0" r="0" b="0" l="0"/>
            <wp:docPr id="1" name="F14.png" descr="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titl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24225" cy="5905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9.1: </w:t>
      </w:r>
      <w:r>
        <w:rPr>
          <w:rFonts w:ascii="Times New Roman" w:cs="Times New Roman" w:eastAsia="Times New Roman" w:hAnsi="Times New Roman"/>
          <w:color w:val="00B0F0"/>
          <w:sz w:val="18"/>
          <w:szCs w:val="18"/>
        </w:rPr>
        <w:t xml:space="preserv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(9.4)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(9.5)</w:t>
      </w:r>
    </w:p>
    <w:p>
      <w:pPr>
        <w:spacing w:after="110" w:line="264"/>
        <w:jc w:val="both"/>
      </w:pPr>
      <w:r>
        <w:rPr>
          <w:rFonts w:ascii="Times New Roman" w:cs="Times New Roman" w:eastAsia="Times New Roman" w:hAnsi="Times New Roman"/>
          <w:sz w:val="22"/>
          <w:szCs w:val="22"/>
        </w:rPr>
        <w:t xml:space="preserve">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w:t>
      </w:r>
      <w:r>
        <w:rPr>
          <w:rFonts w:ascii="Times New Roman" w:cs="Times New Roman" w:eastAsia="Times New Roman" w:hAnsi="Times New Roman"/>
          <w:sz w:val="22"/>
          <w:szCs w:val="22"/>
        </w:rPr>
        <w:t xml:space="preserve">Authorisation to access one category of healthcare information does not imply authorisation to access all categories</w:t>
      </w:r>
      <w:r>
        <w:rPr>
          <w:rFonts w:ascii="Times New Roman" w:cs="Times New Roman" w:eastAsia="Times New Roman" w:hAnsi="Times New Roman"/>
          <w:sz w:val="22"/>
          <w:szCs w:val="22"/>
        </w:rPr>
        <w:t xml:space="preserve">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S</w:t>
      </w:r>
      <w:r>
        <w:rPr>
          <w:rFonts w:ascii="Cambria Math" w:cs="Cambria Math" w:eastAsia="Cambria Math" w:hAnsi="Cambria Math"/>
          <w:i w:val="false"/>
          <w:iCs w:val="false"/>
          <w:color w:val="00B0F0"/>
          <w:sz w:val="21"/>
          <w:szCs w:val="21"/>
          <w:vertAlign w:val="subscript"/>
        </w:rPr>
        <w:t xml:space="preserve">R</w:t>
      </w:r>
      <w:r>
        <w:rPr>
          <w:rFonts w:ascii="Cambria Math" w:cs="Cambria Math" w:eastAsia="Cambria Math" w:hAnsi="Cambria Math"/>
          <w:i w:val="false"/>
          <w:iCs w:val="false"/>
          <w:color w:val="00B0F0"/>
          <w:sz w:val="21"/>
          <w:szCs w:val="21"/>
        </w:rPr>
        <w:t xml:space="preserve"> ⊈ S</w:t>
      </w:r>
      <w:r>
        <w:rPr>
          <w:rFonts w:ascii="Cambria Math" w:cs="Cambria Math" w:eastAsia="Cambria Math" w:hAnsi="Cambria Math"/>
          <w:i w:val="false"/>
          <w:iCs w:val="false"/>
          <w:color w:val="00B0F0"/>
          <w:sz w:val="21"/>
          <w:szCs w:val="21"/>
          <w:vertAlign w:val="subscript"/>
        </w:rPr>
        <w:t xml:space="preserve">C</w:t>
      </w:r>
      <w:r>
        <w:rPr>
          <w:rFonts w:ascii="Cambria Math" w:cs="Cambria Math" w:eastAsia="Cambria Math" w:hAnsi="Cambria Math"/>
          <w:i w:val="false"/>
          <w:iCs w:val="false"/>
          <w:color w:val="00B0F0"/>
          <w:sz w:val="21"/>
          <w:szCs w:val="21"/>
        </w:rPr>
        <w:t xml:space="preserve">.</w:t>
      </w:r>
      <w:r>
        <w:rPr>
          <w:rFonts w:ascii="Times New Roman" w:cs="Times New Roman" w:eastAsia="Times New Roman" w:hAnsi="Times New Roman"/>
          <w:sz w:val="22"/>
          <w:szCs w:val="22"/>
        </w:rPr>
        <w:t xml:space="preserve">	(9.6)</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9.1 evaluates the complete set of conditions defined by the consent and applicable access-control policies. </w:t>
      </w:r>
      <w:r>
        <w:rPr>
          <w:rFonts w:ascii="Times New Roman" w:cs="Times New Roman" w:eastAsia="Times New Roman" w:hAnsi="Times New Roman"/>
          <w:color w:val="00B0F0"/>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color w:val="00B0F0"/>
          <w:sz w:val="22"/>
          <w:szCs w:val="22"/>
        </w:rPr>
        <w:t xml:space="preserve">There are two exceptions in the prototype: a consent that is not ACTIVE, whose refusal is reported only in the doctor interface, and an empty request, which the interface stops before it reaches the ledger.</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9.1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 (u, P</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Jur(R)), requesting participant u, current time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Verify DID and VC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Evaluate consent state</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Report the refusal in the doctor interface   ▷ not written to the audit ledger in the prototype</w:t>
      </w:r>
    </w:p>
    <w:p>
      <w:pPr>
        <w:keepNext/>
        <w:spacing w:after="10"/>
        <w:ind w:left="60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sz w:val="19"/>
          <w:szCs w:val="19"/>
        </w:rPr>
        <w:t xml:space="preserve">Verify multi-party authorisation</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Evaluate requested purpose   ▷ in the prototype, the request purpose is the consent purpose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Evaluate requested data scope</w:t>
      </w:r>
    </w:p>
    <w:p>
      <w:pPr>
        <w:keepNext/>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 or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Record denied decision</w:t>
      </w:r>
      <w:r>
        <w:rPr>
          <w:rFonts w:ascii="Times New Roman" w:cs="Times New Roman" w:eastAsia="Times New Roman" w:hAnsi="Times New Roman"/>
          <w:sz w:val="19"/>
          <w:szCs w:val="19"/>
        </w:rPr>
        <w:t xml:space="preserve">   ▷ in the prototype, an empty request is stopped by the interface and is not written to the audit ledger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r>
        <w:rPr>
          <w:rFonts w:ascii="Times New Roman" w:cs="Times New Roman" w:eastAsia="Times New Roman" w:hAnsi="Times New Roman"/>
          <w:sz w:val="19"/>
          <w:szCs w:val="19"/>
        </w:rPr>
        <w:t xml:space="preserve">   ▷ in the prototype, a consent outside its window is NOT_STARTED or EXPIRED, so this refusal is reported in the doctor interface and is not written to the audit ledger</w:t>
      </w:r>
    </w:p>
    <w:p>
      <w:pPr>
        <w:keepNext/>
        <w:spacing w:after="10"/>
        <w:ind w:left="24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color w:val="00B0F0"/>
          <w:sz w:val="19"/>
          <w:szCs w:val="19"/>
        </w:rPr>
        <w:t xml:space="preserve">Jur(C) ≠ ∅ and </w:t>
      </w:r>
      <w:r>
        <w:rPr>
          <w:rFonts w:ascii="Times New Roman" w:cs="Times New Roman" w:eastAsia="Times New Roman" w:hAnsi="Times New Roman"/>
          <w:sz w:val="19"/>
          <w:szCs w:val="19"/>
        </w:rPr>
        <w:t xml:space="preserve">Jur(R) ≠ Jur(C)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Generate and verify a Groth16 proof that Poseidon(secret, expiry) equals the public commitment and that t ≤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in the prototype, the proof is generated and verified before the decision matrix is evaluated</w:t>
      </w:r>
    </w:p>
    <w:p>
      <w:pPr>
        <w:keepNext/>
        <w:spacing w:after="10"/>
        <w:ind w:left="24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color w:val="00B0F0"/>
          <w:sz w:val="19"/>
          <w:szCs w:val="19"/>
        </w:rPr>
        <w:t xml:space="preserve">if</w:t>
      </w:r>
      <w:r>
        <w:rPr>
          <w:rFonts w:ascii="Times New Roman" w:cs="Times New Roman" w:eastAsia="Times New Roman" w:hAnsi="Times New Roman"/>
          <w:color w:val="00B0F0"/>
          <w:sz w:val="19"/>
          <w:szCs w:val="19"/>
        </w:rPr>
        <w:t xml:space="preserve"> the proof does not verify </w:t>
      </w:r>
      <w:r>
        <w:rPr>
          <w:rFonts w:ascii="Times New Roman" w:cs="Times New Roman" w:eastAsia="Times New Roman" w:hAnsi="Times New Roman"/>
          <w:b/>
          <w:bCs/>
          <w:color w:val="00B0F0"/>
          <w:sz w:val="19"/>
          <w:szCs w:val="19"/>
        </w:rPr>
        <w:t xml:space="preserve">then</w:t>
      </w:r>
      <w:r>
        <w:rPr>
          <w:rFonts w:ascii="Times New Roman" w:cs="Times New Roman" w:eastAsia="Times New Roman" w:hAnsi="Times New Roman"/>
          <w:color w:val="00B0F0"/>
          <w:sz w:val="19"/>
          <w:szCs w:val="19"/>
        </w:rPr>
        <w:t xml:space="preserve"> Record denied decision and </w:t>
      </w:r>
      <w:r>
        <w:rPr>
          <w:rFonts w:ascii="Times New Roman" w:cs="Times New Roman" w:eastAsia="Times New Roman" w:hAnsi="Times New Roman"/>
          <w:b/>
          <w:bCs/>
          <w:color w:val="00B0F0"/>
          <w:sz w:val="19"/>
          <w:szCs w:val="19"/>
        </w:rPr>
        <w:t xml:space="preserve">return</w:t>
      </w:r>
      <w:r>
        <w:rPr>
          <w:rFonts w:ascii="Times New Roman" w:cs="Times New Roman" w:eastAsia="Times New Roman" w:hAnsi="Times New Roman"/>
          <w:color w:val="00B0F0"/>
          <w:sz w:val="19"/>
          <w:szCs w:val="19"/>
        </w:rPr>
        <w:t xml:space="preserve"> DENY </w:t>
      </w:r>
      <w:r>
        <w:rPr>
          <w:rFonts w:ascii="Times New Roman" w:cs="Times New Roman" w:eastAsia="Times New Roman" w:hAnsi="Times New Roman"/>
          <w:b/>
          <w:bCs/>
          <w:color w:val="00B0F0"/>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sz w:val="19"/>
          <w:szCs w:val="19"/>
        </w:rPr>
        <w:t xml:space="preserve">Retrieve authorised healthcare data</w:t>
      </w:r>
    </w:p>
    <w:p>
      <w:pPr>
        <w:keepNext/>
        <w:spacing w:after="10"/>
        <w:ind w:left="240"/>
      </w:pPr>
      <w:r>
        <w:rPr>
          <w:rFonts w:ascii="Times New Roman" w:cs="Times New Roman" w:eastAsia="Times New Roman" w:hAnsi="Times New Roman"/>
          <w:color w:val="555555"/>
          <w:sz w:val="16"/>
          <w:szCs w:val="16"/>
        </w:rPr>
        <w:t xml:space="preserve">31:  </w:t>
      </w:r>
      <w:r>
        <w:rPr>
          <w:rFonts w:ascii="Times New Roman" w:cs="Times New Roman" w:eastAsia="Times New Roman" w:hAnsi="Times New Roman"/>
          <w:sz w:val="19"/>
          <w:szCs w:val="19"/>
        </w:rPr>
        <w:t xml:space="preserve">Record granted decision</w:t>
      </w:r>
      <w:r>
        <w:rPr>
          <w:rFonts w:ascii="Times New Roman" w:cs="Times New Roman" w:eastAsia="Times New Roman" w:hAnsi="Times New Roman"/>
          <w:sz w:val="19"/>
          <w:szCs w:val="19"/>
        </w:rPr>
        <w:t xml:space="preserve"> with proof_mode = groth16</w:t>
      </w:r>
    </w:p>
    <w:p>
      <w:pPr>
        <w:keepNext w:val="false"/>
        <w:spacing w:after="10"/>
        <w:ind w:left="240"/>
      </w:pPr>
      <w:r>
        <w:rPr>
          <w:rFonts w:ascii="Times New Roman" w:cs="Times New Roman" w:eastAsia="Times New Roman" w:hAnsi="Times New Roman"/>
          <w:color w:val="555555"/>
          <w:sz w:val="16"/>
          <w:szCs w:val="16"/>
        </w:rPr>
        <w:t xml:space="preserve">32: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w:t>
      </w:r>
      <w:r>
        <w:rPr>
          <w:rFonts w:ascii="Times New Roman" w:cs="Times New Roman" w:eastAsia="Times New Roman" w:hAnsi="Times New Roman"/>
          <w:sz w:val="22"/>
          <w:szCs w:val="22"/>
        </w:rPr>
        <w:t xml:space="preserve">This ordering prevents the system from treating identity validity or collective approval as unrestricted permission.</w:t>
      </w:r>
      <w:r>
        <w:rPr>
          <w:rFonts w:ascii="Times New Roman" w:cs="Times New Roman" w:eastAsia="Times New Roman" w:hAnsi="Times New Roman"/>
          <w:sz w:val="22"/>
          <w:szCs w:val="22"/>
        </w:rPr>
        <w:t xml:space="preserve">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temporal validity, and jurisdictional match.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sz w:val="22"/>
          <w:szCs w:val="22"/>
        </w:rPr>
        <w:t xml:space="preserve"> that has verified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in the prototype, the doctor subsystem generates and verifies this proof before the decision matrix is evaluated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circuit is written in circom </w:t>
      </w:r>
      <w:r>
        <w:rPr>
          <w:rFonts w:ascii="Times New Roman" w:cs="Times New Roman" w:eastAsia="Times New Roman" w:hAnsi="Times New Roman"/>
          <w:sz w:val="22"/>
          <w:szCs w:val="22"/>
        </w:rPr>
        <w:t xml:space="preserve">(iden3 2026b)</w:t>
      </w:r>
      <w:r>
        <w:rPr>
          <w:rFonts w:ascii="Times New Roman" w:cs="Times New Roman" w:eastAsia="Times New Roman" w:hAnsi="Times New Roman"/>
          <w:sz w:val="22"/>
          <w:szCs w:val="22"/>
        </w:rPr>
        <w:t xml:space="preserve">, and the proof is generated and verified with snarkjs </w:t>
      </w:r>
      <w:r>
        <w:rPr>
          <w:rFonts w:ascii="Times New Roman" w:cs="Times New Roman" w:eastAsia="Times New Roman" w:hAnsi="Times New Roman"/>
          <w:sz w:val="22"/>
          <w:szCs w:val="22"/>
        </w:rPr>
        <w:t xml:space="preserve">(iden3 2026a)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color w:val="00B0F0"/>
          <w:sz w:val="22"/>
          <w:szCs w:val="22"/>
        </w:rPr>
        <w:t xml:space="preserve">behind a Poseidon commitment </w:t>
      </w:r>
      <w:r>
        <w:rPr>
          <w:rFonts w:ascii="Times New Roman" w:cs="Times New Roman" w:eastAsia="Times New Roman" w:hAnsi="Times New Roman"/>
          <w:color w:val="00B0F0"/>
          <w:sz w:val="22"/>
          <w:szCs w:val="22"/>
        </w:rPr>
        <w:t xml:space="preserve">(Grassi et al. 2021)</w:t>
      </w:r>
      <w:r>
        <w:rPr>
          <w:rFonts w:ascii="Times New Roman" w:cs="Times New Roman" w:eastAsia="Times New Roman" w:hAnsi="Times New Roman"/>
          <w:color w:val="00B0F0"/>
          <w:sz w:val="22"/>
          <w:szCs w:val="22"/>
        </w:rPr>
        <w:t xml:space="preserve">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9.1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but is not written to the audit ledger in the current prototype. Only requests evaluated against an ACTIVE consent produce the STATE_CHECK and DATA_ACCESS records, whether the decision is GRANTED or DENIED, and the refusal that follows revocation is therefore evidenced by the interface and the automated tests rather than by a ledger row.</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w:t>
      </w: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rPr>
        <w:t xml:space="preserve">Every denial names the failed checks in the interface. Each consent specification and access request is accepted only when the required fields are valid. Malformed identifiers, scopes, and jurisdictions therefore do not reach the decision logic.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9.1 therefore acts as the final policy-enforcement layer of the proposed authorisation lifecycle. Algorithm 6.1 establishes the consent constraints, Algorithm 7.1 establishes trustworthy identity and authority evidence, and Algorithm 8.1 establishes collective authorisation evidence. Algorithm 9.1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Section 11 demonstrates on the live system that a request is permitted only when the requested data scope is contained within the authorised scope. </w:t>
      </w:r>
      <w:r>
        <w:rPr>
          <w:rFonts w:ascii="Times New Roman" w:cs="Times New Roman" w:eastAsia="Times New Roman" w:hAnsi="Times New Roman"/>
          <w:sz w:val="22"/>
          <w:szCs w:val="22"/>
        </w:rPr>
        <w:t xml:space="preserve">The next section presents the solution for RO5, which keeps a consent valid only within its time interval and lifecycle state.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 (partially completed)</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color w:val="FF0000"/>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w:t>
      </w:r>
      <w:r>
        <w:rPr>
          <w:rFonts w:ascii="Times New Roman" w:cs="Times New Roman" w:eastAsia="Times New Roman" w:hAnsi="Times New Roman"/>
          <w:sz w:val="22"/>
          <w:szCs w:val="22"/>
        </w:rPr>
        <w:t xml:space="preserve">Section 10.1 defines the temporal and jurisdictional conditions, Section 10.2 describes the controls that are already implemented, and Section 10.3 sets out the remaining work and the expected outcome.</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z w:val="26"/>
          <w:szCs w:val="26"/>
        </w:rPr>
        <w:t xml:space="preserve">Trust Conditions</w:t>
      </w:r>
    </w:p>
    <w:p>
      <w:pPr>
        <w:spacing w:after="110" w:line="264"/>
        <w:jc w:val="both"/>
      </w:pPr>
      <w:r>
        <w:rPr>
          <w:rFonts w:ascii="Times New Roman" w:cs="Times New Roman" w:eastAsia="Times New Roman" w:hAnsi="Times New Roman"/>
          <w:sz w:val="22"/>
          <w:szCs w:val="22"/>
        </w:rPr>
        <w:t xml:space="preserve"> A consent that is valid at one point in time cannot necessarily be assumed to remain valid indefinitely. The system compares the current time t with the consent validity interval, and Equation (10.1)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(10.1)</w:t>
      </w:r>
    </w:p>
    <w:p>
      <w:pPr>
        <w:spacing w:after="110" w:line="264"/>
        <w:jc w:val="both"/>
      </w:pPr>
      <w:r>
        <w:rPr>
          <w:rFonts w:ascii="Times New Roman" w:cs="Times New Roman" w:eastAsia="Times New Roman" w:hAnsi="Times New Roman"/>
          <w:sz w:val="22"/>
          <w:szCs w:val="22"/>
        </w:rPr>
        <w:t xml:space="preserve">Equation (10.2) defines the jurisdictional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which compares the jurisdiction of request R with the consent jurisdiction L, </w:t>
      </w:r>
      <w:r>
        <w:rPr>
          <w:rFonts w:ascii="Times New Roman" w:cs="Times New Roman" w:eastAsia="Times New Roman" w:hAnsi="Times New Roman"/>
          <w:color w:val="00B0F0"/>
          <w:sz w:val="22"/>
          <w:szCs w:val="22"/>
        </w:rPr>
        <w:t xml:space="preserve">where Jur(C) = L is the two-letter ISO code recorded with the consent and stored on-chain, and Jur(R) is the two-letter code declared with the request.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R) = 1 ⟺ Jur(R) = Jur(C) ∨ Jur(C) = ∅.</w:t>
      </w:r>
      <w:r>
        <w:rPr>
          <w:rFonts w:ascii="Times New Roman" w:cs="Times New Roman" w:eastAsia="Times New Roman" w:hAnsi="Times New Roman"/>
          <w:sz w:val="22"/>
          <w:szCs w:val="22"/>
        </w:rPr>
        <w:t xml:space="preserve">	(10.2)</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and L is one of these fields. The disjunct Jur(C) = ∅ is therefore not reached for any consent created through the current interface, and the predicate reduces to strict equality. </w:t>
      </w:r>
      <w:r>
        <w:rPr>
          <w:rFonts w:ascii="Times New Roman" w:cs="Times New Roman" w:eastAsia="Times New Roman" w:hAnsi="Times New Roman"/>
          <w:color w:val="00B0F0"/>
          <w:sz w:val="22"/>
          <w:szCs w:val="22"/>
        </w:rPr>
        <w:t xml:space="preserve">As in Section 5.2, revocation and the token state remain part of V</w:t>
      </w:r>
      <w:r>
        <w:rPr>
          <w:rFonts w:ascii="Times New Roman" w:cs="Times New Roman" w:eastAsia="Times New Roman" w:hAnsi="Times New Roman"/>
          <w:color w:val="00B0F0"/>
          <w:sz w:val="22"/>
          <w:szCs w:val="22"/>
          <w:vertAlign w:val="subscript"/>
        </w:rPr>
        <w:t xml:space="preserve">A</w:t>
      </w:r>
      <w:r>
        <w:rPr>
          <w:rFonts w:ascii="Times New Roman" w:cs="Times New Roman" w:eastAsia="Times New Roman" w:hAnsi="Times New Roman"/>
          <w:color w:val="00B0F0"/>
          <w:sz w:val="22"/>
          <w:szCs w:val="22"/>
        </w:rPr>
        <w:t xml:space="preserve">, while the time-based states are evaluated within V</w:t>
      </w:r>
      <w:r>
        <w:rPr>
          <w:rFonts w:ascii="Times New Roman" w:cs="Times New Roman" w:eastAsia="Times New Roman" w:hAnsi="Times New Roman"/>
          <w:color w:val="00B0F0"/>
          <w:sz w:val="22"/>
          <w:szCs w:val="22"/>
          <w:vertAlign w:val="subscript"/>
        </w:rPr>
        <w:t xml:space="preserve">T</w:t>
      </w:r>
      <w:r>
        <w:rPr>
          <w:rFonts w:ascii="Times New Roman" w:cs="Times New Roman" w:eastAsia="Times New Roman" w:hAnsi="Times New Roman"/>
          <w:color w:val="00B0F0"/>
          <w:sz w:val="22"/>
          <w:szCs w:val="22"/>
        </w:rPr>
        <w:t xml:space="preserve">.</w:t>
      </w:r>
      <w:r>
        <w:rPr>
          <w:rFonts w:ascii="Times New Roman" w:cs="Times New Roman" w:eastAsia="Times New Roman" w:hAnsi="Times New Roman"/>
          <w:sz w:val="22"/>
          <w:szCs w:val="22"/>
        </w:rPr>
        <w:t xml:space="preserve"> An authorisation decision consequently requires both temporal and lifecycle validity. The extended authorisation decision is therefore given by Equation (10.3). A valid authorisation decision requires the simultaneous satisfaction of all relevant trust conditions. Consequently, failure of any individual condition results in denial. </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(10.3)</w:t>
      </w:r>
    </w:p>
    <w:p>
      <w:pPr>
        <w:spacing w:after="110" w:line="264"/>
        <w:jc w:val="both"/>
      </w:pPr>
      <w:r>
        <w:rPr>
          <w:rFonts w:ascii="Times New Roman" w:cs="Times New Roman" w:eastAsia="Times New Roman" w:hAnsi="Times New Roman"/>
          <w:sz w:val="22"/>
          <w:szCs w:val="22"/>
        </w:rPr>
        <w:t xml:space="preserve">Authorisation is not permanent. A consent that was valid when approved can later become invalid through expiration or revocation. RO5 is therefore more than an expiry field.</w:t>
      </w:r>
      <w:r>
        <w:rPr>
          <w:rFonts w:ascii="Times New Roman" w:cs="Times New Roman" w:eastAsia="Times New Roman" w:hAnsi="Times New Roman"/>
          <w:sz w:val="22"/>
          <w:szCs w:val="22"/>
        </w:rPr>
        <w:t xml:space="preserve">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10.1 presents the RO5 workflow, which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from the application record,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3714750" cy="5334000"/>
            <wp:effectExtent t="0" r="0" b="0" l="0"/>
            <wp:docPr id="1" name="F15.png" descr="RO5 workflow for temporal and consent lifecycle trust" title="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147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10.1: </w:t>
      </w:r>
      <w:r>
        <w:rPr>
          <w:rFonts w:ascii="Times New Roman" w:cs="Times New Roman" w:eastAsia="Times New Roman" w:hAnsi="Times New Roman"/>
          <w:color w:val="00B0F0"/>
          <w:sz w:val="18"/>
          <w:szCs w:val="18"/>
        </w:rPr>
        <w:t xml:space="preserve">RO5 workflow for temporal and consent lifecycle trust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rather than written to the audit ledger in the current prototype.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PENDING_TOKEN is the brief state between the last verified approval and the recording of the local token identifier</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implementation performs the two in one step, which is why Algorithm 8.1 and Figure 8.1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 The current state is used to determine whether the requested operation can legally and logically be performed.</w:t>
      </w:r>
    </w:p>
    <w:p>
      <w:pPr>
        <w:spacing w:after="110" w:line="264"/>
        <w:jc w:val="both"/>
      </w:pPr>
      <w:r>
        <w:rPr>
          <w:rFonts w:ascii="Times New Roman" w:cs="Times New Roman" w:eastAsia="Times New Roman" w:hAnsi="Times New Roman"/>
          <w:sz w:val="22"/>
          <w:szCs w:val="22"/>
        </w:rPr>
        <w:t xml:space="preserve">Figure 10.2 summarises the implemented lifecycle. Each STATE_CHECK event in the audit ledger, recorded at every access request evaluated against an ACTIVE consent, establishes an auditable relationship between the consent’s lifecycle state and the operation performed at a particular point in time. </w:t>
      </w:r>
      <w:r>
        <w:rPr>
          <w:rFonts w:ascii="Times New Roman" w:cs="Times New Roman" w:eastAsia="Times New Roman" w:hAnsi="Times New Roman"/>
          <w:sz w:val="22"/>
          <w:szCs w:val="22"/>
        </w:rPr>
        <w:t xml:space="preserve">The system therefore checks whether authorisation is still valid at the time an operation is requested, instead of treating authorisation as a one-time event.</w:t>
      </w:r>
      <w:r>
        <w:rPr>
          <w:rFonts w:ascii="Times New Roman" w:cs="Times New Roman" w:eastAsia="Times New Roman" w:hAnsi="Times New Roman"/>
          <w:sz w:val="22"/>
          <w:szCs w:val="22"/>
        </w:rPr>
        <w:t xml:space="preserve"> The expiry path is not shown in the demonstration, because a window long enough for screenshots cannot expire during it, but the automated tests in Section 11 exercise it.</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10.2: </w:t>
      </w:r>
      <w:r>
        <w:rPr>
          <w:rFonts w:ascii="Times New Roman" w:cs="Times New Roman" w:eastAsia="Times New Roman" w:hAnsi="Times New Roman"/>
          <w:color w:val="00B0F0"/>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color w:val="FF0000"/>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color w:val="FF0000"/>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 If the transition is not permitted, the system </w:t>
      </w:r>
      <w:r>
        <w:rPr>
          <w:rFonts w:ascii="Times New Roman" w:cs="Times New Roman" w:eastAsia="Times New Roman" w:hAnsi="Times New Roman"/>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color w:val="FF0000"/>
          <w:sz w:val="22"/>
          <w:szCs w:val="22"/>
        </w:rPr>
        <w:t xml:space="preserve"> The main activities of the next stage</w:t>
      </w:r>
      <w:r>
        <w:rPr>
          <w:rFonts w:ascii="Times New Roman" w:cs="Times New Roman" w:eastAsia="Times New Roman" w:hAnsi="Times New Roman"/>
          <w:sz w:val="22"/>
          <w:szCs w:val="22"/>
        </w:rPr>
        <w:t xml:space="preserve"> and their expected outcomes are summarised in Section 13. </w:t>
      </w:r>
      <w:r>
        <w:rPr>
          <w:rFonts w:ascii="Times New Roman" w:cs="Times New Roman" w:eastAsia="Times New Roman" w:hAnsi="Times New Roman"/>
          <w:sz w:val="22"/>
          <w:szCs w:val="22"/>
        </w:rPr>
        <w:t xml:space="preserve">The next section presents RO6, the validation of the framework on the HALAH prototype.</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 (for RQ1 to RQ4)</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The complete formal analysis and comprehensive empirical validation </w:t>
      </w:r>
      <w:r>
        <w:rPr>
          <w:rFonts w:ascii="Times New Roman" w:cs="Times New Roman" w:eastAsia="Times New Roman" w:hAnsi="Times New Roman"/>
          <w:color w:val="FF0000"/>
          <w:sz w:val="22"/>
          <w:szCs w:val="22"/>
        </w:rPr>
        <w:t xml:space="preserve">will be conducted in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11.1 sets out the validation approach, Section 11.2 describes the dataset, Section 11.3 presents the HALAH prototype and the live scenarios, Section 11.4 reports the measured results, Section 11.5 reports the unit-level adversarial tests, and Section 11.6 lists the remaining work.</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11.1 presents the RO6 workflow for formal security assurance and empirical validation. </w:t>
      </w:r>
      <w:r>
        <w:rPr>
          <w:rFonts w:ascii="Times New Roman" w:cs="Times New Roman" w:eastAsia="Times New Roman" w:hAnsi="Times New Roman"/>
          <w:sz w:val="22"/>
          <w:szCs w:val="22"/>
        </w:rPr>
        <w:t xml:space="preserve"> 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4752975" cy="5334000"/>
            <wp:effectExtent t="0" r="0" b="0" l="0"/>
            <wp:docPr id="1" name="F16.png" descr="RO6 workflow for formal security assurance and empirical validation" title="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 </w:t>
      </w:r>
      <w:r>
        <w:rPr>
          <w:rFonts w:ascii="Times New Roman" w:cs="Times New Roman" w:eastAsia="Times New Roman" w:hAnsi="Times New Roman"/>
          <w:color w:val="00B0F0"/>
          <w:sz w:val="18"/>
          <w:szCs w:val="18"/>
        </w:rPr>
        <w:t xml:space="preserve">RO6 workflow for formal security assurance and empirical validation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w:t>
      </w:r>
      <w:r>
        <w:rPr>
          <w:rFonts w:ascii="Times New Roman" w:cs="Times New Roman" w:eastAsia="Times New Roman" w:hAnsi="Times New Roman"/>
          <w:sz w:val="22"/>
          <w:szCs w:val="22"/>
        </w:rPr>
        <w:t xml:space="preserve">Functional correctness and security correctness are therefore tested separately.</w:t>
      </w:r>
      <w:r>
        <w:rPr>
          <w:rFonts w:ascii="Times New Roman" w:cs="Times New Roman" w:eastAsia="Times New Roman" w:hAnsi="Times New Roman"/>
          <w:sz w:val="22"/>
          <w:szCs w:val="22"/>
        </w:rPr>
        <w:t xml:space="preserve">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Decision(C, R, t) = ALLOW ⇒ V</w:t>
      </w:r>
      <w:r>
        <w:rPr>
          <w:rFonts w:ascii="Cambria Math" w:cs="Cambria Math" w:eastAsia="Cambria Math" w:hAnsi="Cambria Math"/>
          <w:i w:val="false"/>
          <w:iCs w:val="false"/>
          <w:color w:val="00B0F0"/>
          <w:sz w:val="21"/>
          <w:szCs w:val="21"/>
          <w:vertAlign w:val="subscript"/>
        </w:rPr>
        <w:t xml:space="preserve">I</w:t>
      </w:r>
      <w:r>
        <w:rPr>
          <w:rFonts w:ascii="Cambria Math" w:cs="Cambria Math" w:eastAsia="Cambria Math" w:hAnsi="Cambria Math"/>
          <w:i w:val="false"/>
          <w:iCs w:val="false"/>
          <w:color w:val="00B0F0"/>
          <w:sz w:val="21"/>
          <w:szCs w:val="21"/>
        </w:rPr>
        <w:t xml:space="preserve">(u) ∧ V</w:t>
      </w:r>
      <w:r>
        <w:rPr>
          <w:rFonts w:ascii="Cambria Math" w:cs="Cambria Math" w:eastAsia="Cambria Math" w:hAnsi="Cambria Math"/>
          <w:i w:val="false"/>
          <w:iCs w:val="false"/>
          <w:color w:val="00B0F0"/>
          <w:sz w:val="21"/>
          <w:szCs w:val="21"/>
          <w:vertAlign w:val="subscript"/>
        </w:rPr>
        <w:t xml:space="preserve">A</w:t>
      </w:r>
      <w:r>
        <w:rPr>
          <w:rFonts w:ascii="Cambria Math" w:cs="Cambria Math" w:eastAsia="Cambria Math" w:hAnsi="Cambria Math"/>
          <w:i w:val="false"/>
          <w:iCs w:val="false"/>
          <w:color w:val="00B0F0"/>
          <w:sz w:val="21"/>
          <w:szCs w:val="21"/>
        </w:rPr>
        <w:t xml:space="preserve">(C) ∧ V</w:t>
      </w:r>
      <w:r>
        <w:rPr>
          <w:rFonts w:ascii="Cambria Math" w:cs="Cambria Math" w:eastAsia="Cambria Math" w:hAnsi="Cambria Math"/>
          <w:i w:val="false"/>
          <w:iCs w:val="false"/>
          <w:color w:val="00B0F0"/>
          <w:sz w:val="21"/>
          <w:szCs w:val="21"/>
          <w:vertAlign w:val="subscript"/>
        </w:rPr>
        <w:t xml:space="preserve">P</w:t>
      </w:r>
      <w:r>
        <w:rPr>
          <w:rFonts w:ascii="Cambria Math" w:cs="Cambria Math" w:eastAsia="Cambria Math" w:hAnsi="Cambria Math"/>
          <w:i w:val="false"/>
          <w:iCs w:val="false"/>
          <w:color w:val="00B0F0"/>
          <w:sz w:val="21"/>
          <w:szCs w:val="21"/>
        </w:rPr>
        <w:t xml:space="preserve">(C, R).</w:t>
      </w:r>
      <w:r>
        <w:rPr>
          <w:rFonts w:ascii="Times New Roman" w:cs="Times New Roman" w:eastAsia="Times New Roman" w:hAnsi="Times New Roman"/>
          <w:sz w:val="22"/>
          <w:szCs w:val="22"/>
        </w:rPr>
        <w:t xml:space="preserve">	(11.1)</w:t>
      </w:r>
    </w:p>
    <w:p>
      <w:pPr>
        <w:spacing w:after="110" w:line="264"/>
        <w:jc w:val="both"/>
      </w:pPr>
      <w:r>
        <w:rPr>
          <w:rFonts w:ascii="Times New Roman" w:cs="Times New Roman" w:eastAsia="Times New Roman" w:hAnsi="Times New Roman"/>
          <w:sz w:val="22"/>
          <w:szCs w:val="22"/>
        </w:rPr>
        <w:t xml:space="preserve">Equivalently, Equation (11.2), the contrapositive of Equation (11.1), states that if any mandatory condition is violated, the request must be denied. Equation (11.1) is therefore examined through the 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w:t>
      </w:r>
      <w:r>
        <w:rPr>
          <w:rFonts w:ascii="Times New Roman" w:cs="Times New Roman" w:eastAsia="Times New Roman" w:hAnsi="Times New Roman"/>
          <w:sz w:val="22"/>
          <w:szCs w:val="22"/>
        </w:rPr>
        <w:t xml:space="preserve">of the five predicates of Equation (10.3)</w:t>
      </w:r>
      <w:r>
        <w:rPr>
          <w:rFonts w:ascii="Times New Roman" w:cs="Times New Roman" w:eastAsia="Times New Roman" w:hAnsi="Times New Roman"/>
          <w:sz w:val="22"/>
          <w:szCs w:val="22"/>
        </w:rPr>
        <w:t xml:space="preserve">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color w:val="00B0F0"/>
          <w:sz w:val="21"/>
          <w:szCs w:val="21"/>
        </w:rPr>
        <w:t xml:space="preserve">¬V</w:t>
      </w:r>
      <w:r>
        <w:rPr>
          <w:rFonts w:ascii="Cambria Math" w:cs="Cambria Math" w:eastAsia="Cambria Math" w:hAnsi="Cambria Math"/>
          <w:i w:val="false"/>
          <w:iCs w:val="false"/>
          <w:color w:val="00B0F0"/>
          <w:sz w:val="21"/>
          <w:szCs w:val="21"/>
          <w:vertAlign w:val="subscript"/>
        </w:rPr>
        <w:t xml:space="preserve">I</w:t>
      </w:r>
      <w:r>
        <w:rPr>
          <w:rFonts w:ascii="Cambria Math" w:cs="Cambria Math" w:eastAsia="Cambria Math" w:hAnsi="Cambria Math"/>
          <w:i w:val="false"/>
          <w:iCs w:val="false"/>
          <w:color w:val="00B0F0"/>
          <w:sz w:val="21"/>
          <w:szCs w:val="21"/>
        </w:rPr>
        <w:t xml:space="preserve">(u) ∨ ¬V</w:t>
      </w:r>
      <w:r>
        <w:rPr>
          <w:rFonts w:ascii="Cambria Math" w:cs="Cambria Math" w:eastAsia="Cambria Math" w:hAnsi="Cambria Math"/>
          <w:i w:val="false"/>
          <w:iCs w:val="false"/>
          <w:color w:val="00B0F0"/>
          <w:sz w:val="21"/>
          <w:szCs w:val="21"/>
          <w:vertAlign w:val="subscript"/>
        </w:rPr>
        <w:t xml:space="preserve">A</w:t>
      </w:r>
      <w:r>
        <w:rPr>
          <w:rFonts w:ascii="Cambria Math" w:cs="Cambria Math" w:eastAsia="Cambria Math" w:hAnsi="Cambria Math"/>
          <w:i w:val="false"/>
          <w:iCs w:val="false"/>
          <w:color w:val="00B0F0"/>
          <w:sz w:val="21"/>
          <w:szCs w:val="21"/>
        </w:rPr>
        <w:t xml:space="preserve">(C) ∨ ¬V</w:t>
      </w:r>
      <w:r>
        <w:rPr>
          <w:rFonts w:ascii="Cambria Math" w:cs="Cambria Math" w:eastAsia="Cambria Math" w:hAnsi="Cambria Math"/>
          <w:i w:val="false"/>
          <w:iCs w:val="false"/>
          <w:color w:val="00B0F0"/>
          <w:sz w:val="21"/>
          <w:szCs w:val="21"/>
          <w:vertAlign w:val="subscript"/>
        </w:rPr>
        <w:t xml:space="preserve">P</w:t>
      </w:r>
      <w:r>
        <w:rPr>
          <w:rFonts w:ascii="Cambria Math" w:cs="Cambria Math" w:eastAsia="Cambria Math" w:hAnsi="Cambria Math"/>
          <w:i w:val="false"/>
          <w:iCs w:val="false"/>
          <w:color w:val="00B0F0"/>
          <w:sz w:val="21"/>
          <w:szCs w:val="21"/>
        </w:rPr>
        <w:t xml:space="preserve">(C, R) ⇒ Decision(C, R, t) = DENY.</w:t>
      </w:r>
      <w:r>
        <w:rPr>
          <w:rFonts w:ascii="Times New Roman" w:cs="Times New Roman" w:eastAsia="Times New Roman" w:hAnsi="Times New Roman"/>
          <w:sz w:val="22"/>
          <w:szCs w:val="22"/>
        </w:rPr>
        <w:t xml:space="preserve">	(11.2)</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w:t>
      </w:r>
      <w:r>
        <w:rPr>
          <w:rFonts w:ascii="Times New Roman" w:cs="Times New Roman" w:eastAsia="Times New Roman" w:hAnsi="Times New Roman"/>
          <w:sz w:val="22"/>
          <w:szCs w:val="22"/>
        </w:rPr>
        <w:t xml:space="preserve">Its 23 functional and regression tests check that each of the five conditions can refuse a request on its own: an invalid guardian signature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a revoked consent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 purpose that is not a supported healthcare use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an expired consent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a jurisdiction mismatch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The 13 adversarial tests cover a baseline and twelve attack scenarios. Among them, an approval from outside G and a repeated approval leave the consent short of the threshold, and an over-scope or empty request is refused.</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rPr>
        <w:t xml:space="preserve">Dataset Used for Validation</w:t>
      </w:r>
    </w:p>
    <w:p>
      <w:pPr>
        <w:spacing w:after="110" w:line="264"/>
        <w:jc w:val="both"/>
      </w:pPr>
      <w:r>
        <w:rPr>
          <w:rFonts w:ascii="Times New Roman" w:cs="Times New Roman" w:eastAsia="Times New Roman" w:hAnsi="Times New Roman"/>
          <w:sz w:val="22"/>
          <w:szCs w:val="22"/>
        </w:rPr>
        <w:t xml:space="preserve">The prototype uses synthetic patient records from the Synthea 1K sample </w:t>
      </w:r>
      <w:r>
        <w:rPr>
          <w:rFonts w:ascii="Times New Roman" w:cs="Times New Roman" w:eastAsia="Times New Roman" w:hAnsi="Times New Roman"/>
          <w:sz w:val="22"/>
          <w:szCs w:val="22"/>
        </w:rPr>
        <w:t xml:space="preserve">(Walonoski et al. 2018)</w:t>
      </w:r>
      <w:r>
        <w:rPr>
          <w:rFonts w:ascii="Times New Roman" w:cs="Times New Roman" w:eastAsia="Times New Roman" w:hAnsi="Times New Roman"/>
          <w:sz w:val="22"/>
          <w:szCs w:val="22"/>
        </w:rPr>
        <w:t xml:space="preserve">, taken from synthea.mitre.org in its CSV export rather than its FHIR R4 export </w:t>
      </w:r>
      <w:r>
        <w:rPr>
          <w:rFonts w:ascii="Times New Roman" w:cs="Times New Roman" w:eastAsia="Times New Roman" w:hAnsi="Times New Roman"/>
          <w:sz w:val="22"/>
          <w:szCs w:val="22"/>
        </w:rPr>
        <w:t xml:space="preserve">(HL7 International 2019)</w:t>
      </w:r>
      <w:r>
        <w:rPr>
          <w:rFonts w:ascii="Times New Roman" w:cs="Times New Roman" w:eastAsia="Times New Roman" w:hAnsi="Times New Roman"/>
          <w:sz w:val="22"/>
          <w:szCs w:val="22"/>
        </w:rPr>
        <w:t xml:space="preserve">.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only step is the selection of the subset loaded into the local database of the prototype.</w:t>
      </w: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w:t>
      </w:r>
      <w:r>
        <w:rPr>
          <w:rFonts w:ascii="Times New Roman" w:cs="Times New Roman" w:eastAsia="Times New Roman" w:hAnsi="Times New Roman"/>
          <w:sz w:val="22"/>
          <w:szCs w:val="22"/>
        </w:rPr>
        <w:t xml:space="preserve">consent management platform. The current system includes separate patient, guardian, doctor, and auditor interfaces</w:t>
      </w:r>
      <w:r>
        <w:rPr>
          <w:rFonts w:ascii="Times New Roman" w:cs="Times New Roman" w:eastAsia="Times New Roman" w:hAnsi="Times New Roman"/>
          <w:sz w:val="22"/>
          <w:szCs w:val="22"/>
        </w:rPr>
        <w:t xml:space="preserve">, and the role shown in an interface is declared rather than authenticated, as noted in Section 5</w:t>
      </w:r>
      <w:r>
        <w:rPr>
          <w:rFonts w:ascii="Times New Roman" w:cs="Times New Roman" w:eastAsia="Times New Roman" w:hAnsi="Times New Roman"/>
          <w:sz w:val="22"/>
          <w:szCs w:val="22"/>
        </w:rPr>
        <w:t xml:space="preserve">. It also records consent creation, guardian approval, token minting, state checks, and data-access events. Following successful threshold satisfaction, the system generates activation or token evidence associated with the authorisation decision through ConsentSBTv3</w:t>
      </w:r>
      <w:r>
        <w:rPr>
          <w:rFonts w:ascii="Times New Roman" w:cs="Times New Roman" w:eastAsia="Times New Roman" w:hAnsi="Times New Roman"/>
          <w:sz w:val="22"/>
          <w:szCs w:val="22"/>
        </w:rPr>
        <w:t xml:space="preserve">, a contract written in Solidity </w:t>
      </w:r>
      <w:r>
        <w:rPr>
          <w:rFonts w:ascii="Times New Roman" w:cs="Times New Roman" w:eastAsia="Times New Roman" w:hAnsi="Times New Roman"/>
          <w:sz w:val="22"/>
          <w:szCs w:val="22"/>
        </w:rPr>
        <w:t xml:space="preserve">(Ethereum Foundation 2026a)</w:t>
      </w:r>
      <w:r>
        <w:rPr>
          <w:rFonts w:ascii="Times New Roman" w:cs="Times New Roman" w:eastAsia="Times New Roman" w:hAnsi="Times New Roman"/>
          <w:sz w:val="22"/>
          <w:szCs w:val="22"/>
        </w:rPr>
        <w:t xml:space="preserve"> for the Ethereum virtual machine </w:t>
      </w:r>
      <w:r>
        <w:rPr>
          <w:rFonts w:ascii="Times New Roman" w:cs="Times New Roman" w:eastAsia="Times New Roman" w:hAnsi="Times New Roman"/>
          <w:sz w:val="22"/>
          <w:szCs w:val="22"/>
        </w:rPr>
        <w:t xml:space="preserve">(Wood 2014)</w:t>
      </w:r>
      <w:r>
        <w:rPr>
          <w:rFonts w:ascii="Times New Roman" w:cs="Times New Roman" w:eastAsia="Times New Roman" w:hAnsi="Times New Roman"/>
          <w:sz w:val="22"/>
          <w:szCs w:val="22"/>
        </w:rPr>
        <w:t xml:space="preserve">, compiled in Remix</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(Ethereum Foundation 2026c)</w:t>
      </w:r>
      <w:r>
        <w:rPr>
          <w:rFonts w:ascii="Times New Roman" w:cs="Times New Roman" w:eastAsia="Times New Roman" w:hAnsi="Times New Roman"/>
          <w:sz w:val="22"/>
          <w:szCs w:val="22"/>
        </w:rPr>
        <w:t xml:space="preserve"> and deployed </w:t>
      </w:r>
      <w:r>
        <w:rPr>
          <w:rFonts w:ascii="Times New Roman" w:cs="Times New Roman" w:eastAsia="Times New Roman" w:hAnsi="Times New Roman"/>
          <w:sz w:val="22"/>
          <w:szCs w:val="22"/>
        </w:rPr>
        <w:t xml:space="preserve">on the Sepolia testnet </w:t>
      </w:r>
      <w:r>
        <w:rPr>
          <w:rFonts w:ascii="Times New Roman" w:cs="Times New Roman" w:eastAsia="Times New Roman" w:hAnsi="Times New Roman"/>
          <w:sz w:val="22"/>
          <w:szCs w:val="22"/>
        </w:rPr>
        <w:t xml:space="preserve">(Ethereum Foundation 2026b)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via MetaMask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(Consensys 2026)</w:t>
      </w:r>
      <w:r>
        <w:rPr>
          <w:rFonts w:ascii="Times New Roman" w:cs="Times New Roman" w:eastAsia="Times New Roman" w:hAnsi="Times New Roman"/>
          <w:sz w:val="22"/>
          <w:szCs w:val="22"/>
        </w:rPr>
        <w:t xml:space="preserve">. Each token stores the pseudonymous patient and requester addresses, a hash of the purpose, the validity window, a two-letter jurisdiction code, and a revocation flag. </w:t>
      </w:r>
      <w:r>
        <w:rPr>
          <w:rFonts w:ascii="Times New Roman" w:cs="Times New Roman" w:eastAsia="Times New Roman" w:hAnsi="Times New Roman"/>
          <w:color w:val="00B0F0"/>
          <w:sz w:val="22"/>
          <w:szCs w:val="22"/>
        </w:rPr>
        <w:t xml:space="preserve">The SBT, a soulbound ERC-721 token </w:t>
      </w:r>
      <w:r>
        <w:rPr>
          <w:rFonts w:ascii="Times New Roman" w:cs="Times New Roman" w:eastAsia="Times New Roman" w:hAnsi="Times New Roman"/>
          <w:color w:val="00B0F0"/>
          <w:sz w:val="22"/>
          <w:szCs w:val="22"/>
        </w:rPr>
        <w:t xml:space="preserve">(Entriken et al. 2018)</w:t>
      </w:r>
      <w:r>
        <w:rPr>
          <w:rFonts w:ascii="Times New Roman" w:cs="Times New Roman" w:eastAsia="Times New Roman" w:hAnsi="Times New Roman"/>
          <w:color w:val="00B0F0"/>
          <w:sz w:val="22"/>
          <w:szCs w:val="22"/>
        </w:rPr>
        <w:t xml:space="preserve"> that follows ERC-5484 </w:t>
      </w:r>
      <w:r>
        <w:rPr>
          <w:rFonts w:ascii="Times New Roman" w:cs="Times New Roman" w:eastAsia="Times New Roman" w:hAnsi="Times New Roman"/>
          <w:color w:val="00B0F0"/>
          <w:sz w:val="22"/>
          <w:szCs w:val="22"/>
        </w:rPr>
        <w:t xml:space="preserve">(Cai 2022)</w:t>
      </w:r>
      <w:r>
        <w:rPr>
          <w:rFonts w:ascii="Times New Roman" w:cs="Times New Roman" w:eastAsia="Times New Roman" w:hAnsi="Times New Roman"/>
          <w:color w:val="00B0F0"/>
          <w:sz w:val="22"/>
          <w:szCs w:val="22"/>
        </w:rPr>
        <w:t xml:space="preserve">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w:t>
      </w:r>
      <w:r>
        <w:rPr>
          <w:rFonts w:ascii="Times New Roman" w:cs="Times New Roman" w:eastAsia="Times New Roman" w:hAnsi="Times New Roman"/>
          <w:sz w:val="22"/>
          <w:szCs w:val="22"/>
        </w:rPr>
        <w:t xml:space="preserve"> The system represents patients and healthcare participants using decentralised identities and provides mechanisms for consent creation, participant verification, multi-party approval, and access-control evaluation.</w:t>
      </w:r>
      <w:r>
        <w:rPr>
          <w:rFonts w:ascii="Times New Roman" w:cs="Times New Roman" w:eastAsia="Times New Roman" w:hAnsi="Times New Roman"/>
          <w:sz w:val="22"/>
          <w:szCs w:val="22"/>
        </w:rPr>
        <w:t xml:space="preserve"> The synthetic records that the prototype loads are described in Section 11.2.</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Figure 11.4 shows the evaluated consent f050c29a.</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B0F0"/>
          <w:sz w:val="22"/>
          <w:szCs w:val="22"/>
        </w:rPr>
        <w:t xml:space="preserve">The creation, approval, and record-display screens (Figure 11.2, Figure 11.3 and Figure 11.5) were captured from a second lifecycle, 04da25f5, which used the same code, contract, and configuration and was anchored as token #2.</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w:t>
      </w:r>
      <w:r>
        <w:rPr>
          <w:rFonts w:ascii="Times New Roman" w:cs="Times New Roman" w:eastAsia="Times New Roman" w:hAnsi="Times New Roman"/>
          <w:sz w:val="22"/>
          <w:szCs w:val="22"/>
        </w:rPr>
        <w:t xml:space="preserve">The consent object therefore holds the information needed for identity verification, multi-party authorisation, policy evaluation, and auditability. It is a structured authorisation artefact, not only a record of patient preference</w:t>
      </w:r>
      <w:r>
        <w:rPr>
          <w:rFonts w:ascii="Times New Roman" w:cs="Times New Roman" w:eastAsia="Times New Roman" w:hAnsi="Times New Roman"/>
          <w:sz w:val="22"/>
          <w:szCs w:val="22"/>
        </w:rPr>
        <w:t xml:space="preserve">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11.2: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w:t>
      </w:r>
      <w:r>
        <w:rPr>
          <w:rFonts w:ascii="Times New Roman" w:cs="Times New Roman" w:eastAsia="Times New Roman" w:hAnsi="Times New Roman"/>
          <w:color w:val="00B0F0"/>
          <w:sz w:val="22"/>
          <w:szCs w:val="22"/>
        </w:rPr>
        <w:t xml:space="preserve">The public anchoring of the evaluated consent f050c29a in block 11,771,243 (block 11,771,581 for consent 04da25f5 in Figure 11.3)</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11.3: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w:t>
      </w:r>
    </w:p>
    <w:p>
      <w:pPr>
        <w:keepNext/>
        <w:spacing w:after="60" w:before="160"/>
        <w:jc w:val="center"/>
      </w:pPr>
      <w:r>
        <w:drawing>
          <wp:inline distT="0" distB="0" distL="0" distR="0">
            <wp:extent cx="4476750" cy="3524250"/>
            <wp:effectExtent t="0" r="0" b="0" l="0"/>
            <wp:docPr id="1" name="F27.png" descr="Doctor subsystem for the evaluated consent f050c29a with requester jurisdiction AU: all five checks pass" title="Doctor subsystem for the evaluated consent f050c29a with requester jurisdiction AU: all fiv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11.4: </w:t>
      </w:r>
      <w:r>
        <w:rPr>
          <w:rFonts w:ascii="Times New Roman" w:cs="Times New Roman" w:eastAsia="Times New Roman" w:hAnsi="Times New Roman"/>
          <w:color w:val="00B0F0"/>
          <w:sz w:val="18"/>
          <w:szCs w:val="18"/>
        </w:rPr>
        <w:t xml:space="preserve">Doctor subsystem for the evaluated consent f050c29a with requester jurisdiction AU: all five checks pass</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4695825" cy="5334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958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11.5: </w:t>
      </w:r>
      <w:r>
        <w:rPr>
          <w:rFonts w:ascii="Times New Roman" w:cs="Times New Roman" w:eastAsia="Times New Roman" w:hAnsi="Times New Roman"/>
          <w:color w:val="00B0F0"/>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(validates RQ4).</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passed. Here,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FAIL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VL as the failed check" title="Refused request naming VL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11.6: </w:t>
      </w:r>
      <w:r>
        <w:rPr>
          <w:rFonts w:ascii="Times New Roman" w:cs="Times New Roman" w:eastAsia="Times New Roman" w:hAnsi="Times New Roman"/>
          <w:sz w:val="18"/>
          <w:szCs w:val="18"/>
        </w:rPr>
        <w:t xml:space="preserve">Refused request naming V</w:t>
      </w:r>
      <w:r>
        <w:rPr>
          <w:rFonts w:ascii="Times New Roman" w:cs="Times New Roman" w:eastAsia="Times New Roman" w:hAnsi="Times New Roman"/>
          <w:sz w:val="18"/>
          <w:szCs w:val="18"/>
          <w:vertAlign w:val="subscript"/>
        </w:rPr>
        <w:t xml:space="preserve">L</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z w:val="22"/>
          <w:szCs w:val="22"/>
        </w:rPr>
        <w:t xml:space="preserve">is refused by the doctor subsystem at the consent-state check, because the consent is no longer ACTIVE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predicate itself rejects a revoked consent, which test A8 exercises.</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n Sepolia Etherscan, block 11,771,307" title="Revocation transaction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11.7: </w:t>
      </w:r>
      <w:r>
        <w:rPr>
          <w:rFonts w:ascii="Times New Roman" w:cs="Times New Roman" w:eastAsia="Times New Roman" w:hAnsi="Times New Roman"/>
          <w:color w:val="00B0F0"/>
          <w:sz w:val="18"/>
          <w:szCs w:val="18"/>
        </w:rPr>
        <w:t xml:space="preserve">Revocation transaction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auditor can examine whether access occurred, whether the requester possessed a valid identity</w:t>
      </w:r>
      <w:r>
        <w:rPr>
          <w:rFonts w:ascii="Times New Roman" w:cs="Times New Roman" w:eastAsia="Times New Roman" w:hAnsi="Times New Roman"/>
          <w:sz w:val="22"/>
          <w:szCs w:val="22"/>
        </w:rPr>
        <w:t xml:space="preserve">,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color w:val="00B0F0"/>
          <w:sz w:val="22"/>
          <w:szCs w:val="22"/>
        </w:rPr>
        <w:t xml:space="preserve">compares the on-chain record and revocation state of tokens #1 and #2 on the current contract with the local state, with the result shown in Figure 11.9.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11.8: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color w:val="00B0F0"/>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11.9: </w:t>
      </w:r>
      <w:r>
        <w:rPr>
          <w:rFonts w:ascii="Times New Roman" w:cs="Times New Roman" w:eastAsia="Times New Roman" w:hAnsi="Times New Roman"/>
          <w:color w:val="00B0F0"/>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w:t>
      </w:r>
      <w:r>
        <w:rPr>
          <w:rFonts w:ascii="Times New Roman" w:cs="Times New Roman" w:eastAsia="Times New Roman" w:hAnsi="Times New Roman"/>
          <w:sz w:val="22"/>
          <w:szCs w:val="22"/>
        </w:rPr>
        <w:t xml:space="preserve">The subsystems have different responsibilities, and none of them decides on its own whether access should be granted.</w:t>
      </w:r>
    </w:p>
    <w:p>
      <w:pPr>
        <w:keepNext/>
        <w:spacing w:after="80" w:before="200"/>
        <w:jc w:val="center"/>
      </w:pPr>
      <w:r>
        <w:rPr>
          <w:rFonts w:ascii="Times New Roman" w:cs="Times New Roman" w:eastAsia="Times New Roman" w:hAnsi="Times New Roman"/>
          <w:b/>
          <w:bCs/>
          <w:sz w:val="18"/>
          <w:szCs w:val="18"/>
        </w:rPr>
        <w:t xml:space="preserve">Table 11.1: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color w:val="00B0F0"/>
                <w:sz w:val="17"/>
                <w:szCs w:val="17"/>
              </w:rPr>
              <w:t xml:space="preserve">Checks the guardian DID format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2-of-2 approval condition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Jurisdictional Constraint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Authorisation Evidence / Revocation (E)</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11.2: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11.10: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 Table 11.3 shows the proof mode of this row as not logged, because the prototype began to log it on denied requests later the same day</w:t>
      </w:r>
      <w:r>
        <w:rPr>
          <w:rFonts w:ascii="Times New Roman" w:cs="Times New Roman" w:eastAsia="Times New Roman" w:hAnsi="Times New Roman"/>
          <w:sz w:val="22"/>
          <w:szCs w:val="22"/>
        </w:rPr>
        <w:t xml:space="preserve">. In each of the six logged evaluations, the recorded audit evidence is consistent with the actual authorisation decision. </w:t>
      </w:r>
      <w:r>
        <w:rPr>
          <w:rFonts w:ascii="Times New Roman" w:cs="Times New Roman" w:eastAsia="Times New Roman" w:hAnsi="Times New Roman"/>
          <w:sz w:val="22"/>
          <w:szCs w:val="22"/>
        </w:rPr>
        <w:t xml:space="preserve">Validation therefore checks the evidence behind each decision as well as the final ALLOW or DENY.</w:t>
      </w:r>
      <w:r>
        <w:rPr>
          <w:rFonts w:ascii="Times New Roman" w:cs="Times New Roman" w:eastAsia="Times New Roman" w:hAnsi="Times New Roman"/>
          <w:sz w:val="22"/>
          <w:szCs w:val="22"/>
        </w:rPr>
        <w:t xml:space="preserve">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has no ledger row, because the doctor subsystem stops the request before it can be submitted.</w:t>
      </w:r>
    </w:p>
    <w:p>
      <w:pPr>
        <w:keepNext/>
        <w:spacing w:after="80" w:before="200"/>
        <w:jc w:val="center"/>
      </w:pPr>
      <w:r>
        <w:rPr>
          <w:rFonts w:ascii="Times New Roman" w:cs="Times New Roman" w:eastAsia="Times New Roman" w:hAnsi="Times New Roman"/>
          <w:b/>
          <w:bCs/>
          <w:sz w:val="18"/>
          <w:szCs w:val="18"/>
        </w:rPr>
        <w:t xml:space="preserve">Table 11.3: </w:t>
      </w:r>
      <w:r>
        <w:rPr>
          <w:rFonts w:ascii="Times New Roman" w:cs="Times New Roman" w:eastAsia="Times New Roman" w:hAnsi="Times New Roman"/>
          <w:color w:val="00B0F0"/>
          <w:sz w:val="18"/>
          <w:szCs w:val="18"/>
        </w:rPr>
        <w:t xml:space="preserve">Access decisions recorded in the audit ledger, with the decision matrix of each logged evaluation and the access result that followed. Rows are the index numbers of the exported ledger, counted from 0, and n/l means not logged</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L</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11.4 summarises the processing time of the decision components, with the decision rule timed over 1,000 evaluations of the five predicates on a loaded consent object without signature recovery.</w:t>
      </w:r>
    </w:p>
    <w:p>
      <w:pPr>
        <w:keepNext/>
        <w:spacing w:after="80" w:before="200"/>
        <w:jc w:val="center"/>
      </w:pPr>
      <w:r>
        <w:rPr>
          <w:rFonts w:ascii="Times New Roman" w:cs="Times New Roman" w:eastAsia="Times New Roman" w:hAnsi="Times New Roman"/>
          <w:b/>
          <w:bCs/>
          <w:sz w:val="18"/>
          <w:szCs w:val="18"/>
        </w:rPr>
        <w:t xml:space="preserve">Table 11.4: </w:t>
      </w:r>
      <w:r>
        <w:rPr>
          <w:rFonts w:ascii="Times New Roman" w:cs="Times New Roman" w:eastAsia="Times New Roman" w:hAnsi="Times New Roman"/>
          <w:color w:val="00B0F0"/>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 with the anchoring confirmation taken from Table 11.2</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Decision rule, five predicates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2.37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2.60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2.32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31.59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11.11, the time taken to evaluate the decision rule is negligible,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w:t>
      </w:r>
      <w:r>
        <w:rPr>
          <w:rFonts w:ascii="Times New Roman" w:cs="Times New Roman" w:eastAsia="Times New Roman" w:hAnsi="Times New Roman"/>
          <w:sz w:val="22"/>
          <w:szCs w:val="22"/>
        </w:rPr>
        <w:t xml:space="preserve">Anchoring confirmation, measured over three mints and two revokes, is the slowest step. The mint is anchored in the background, so it delays neither the guardians nor the doctor, whereas the patient waits for the confirmation of a revoke.</w:t>
      </w:r>
    </w:p>
    <w:p>
      <w:pPr>
        <w:keepNext/>
        <w:spacing w:after="60" w:before="160"/>
        <w:jc w:val="center"/>
      </w:pPr>
      <w:r>
        <w:drawing>
          <wp:inline distT="0" distB="0" distL="0" distR="0">
            <wp:extent cx="5715000" cy="2876550"/>
            <wp:effectExtent t="0" r="0" b="0" l="0"/>
            <wp:docPr id="1" name="F42.png" descr="Processing time of the decision components on a logarithmic axis (median and minimum to maximum). The checkValid read of Table 11.4 is not plotted, as its values are close to those of the checkValidAt read" title="Processing time of the decision components on a logarithmic axis (median and minimum to maximum). The checkValid read of Table 11.4 is not plotted, as its values are close to those of the checkValidA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765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11.11: </w:t>
      </w:r>
      <w:r>
        <w:rPr>
          <w:rFonts w:ascii="Times New Roman" w:cs="Times New Roman" w:eastAsia="Times New Roman" w:hAnsi="Times New Roman"/>
          <w:color w:val="00B0F0"/>
          <w:sz w:val="18"/>
          <w:szCs w:val="18"/>
        </w:rPr>
        <w:t xml:space="preserve">Processing time of the decision components on a logarithmic axis (median and minimum to maximum). The checkValid read of Table 11.4 is not plotted, as its values are close to those of the checkValidAt read</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The adversarial tests assume honest infrastructure and exercise the decision functions,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twelve scenarios A1 to A12 include replayed approvals, duplicate approvals, unauthorised participants attempting to satisfy a threshold, attempts to access data outside the authorised scope, and attempts to use a revoked or expired consent object. Each scenario is associated with an expected authorisation outcome and </w:t>
      </w:r>
      <w:r>
        <w:rPr>
          <w:rFonts w:ascii="Times New Roman" w:cs="Times New Roman" w:eastAsia="Times New Roman" w:hAnsi="Times New Roman"/>
          <w:sz w:val="22"/>
          <w:szCs w:val="22"/>
        </w:rPr>
        <w:t xml:space="preserve">the component of C that it targets, as listed in Table 11.5</w:t>
      </w:r>
      <w:r>
        <w:rPr>
          <w:rFonts w:ascii="Times New Roman" w:cs="Times New Roman" w:eastAsia="Times New Roman" w:hAnsi="Times New Roman"/>
          <w:sz w:val="22"/>
          <w:szCs w:val="22"/>
        </w:rPr>
        <w:t xml:space="preserv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11.5 and Figure 11.12 record whether each scenario has passed or failed. Before the hardening, three attacks, A1, A3, and A5, were accepted when the service functions were called directly. </w:t>
      </w:r>
      <w:r>
        <w:rPr>
          <w:rFonts w:ascii="Times New Roman" w:cs="Times New Roman" w:eastAsia="Times New Roman" w:hAnsi="Times New Roman"/>
          <w:sz w:val="22"/>
          <w:szCs w:val="22"/>
        </w:rPr>
        <w:t xml:space="preserve">A design can be correct while its implementation is not, and functional tests alone do not show this.</w:t>
      </w:r>
      <w:r>
        <w:rPr>
          <w:rFonts w:ascii="Times New Roman" w:cs="Times New Roman" w:eastAsia="Times New Roman" w:hAnsi="Times New Roman"/>
          <w:sz w:val="22"/>
          <w:szCs w:val="22"/>
        </w:rPr>
        <w:t xml:space="preserve"> Any failed scenario is analysed to determine the source and significance of the failure. </w:t>
      </w:r>
      <w:r>
        <w:rPr>
          <w:rFonts w:ascii="Times New Roman" w:cs="Times New Roman" w:eastAsia="Times New Roman" w:hAnsi="Times New Roman"/>
          <w:sz w:val="22"/>
          <w:szCs w:val="22"/>
        </w:rPr>
        <w:t xml:space="preserve">The analysis records the unsuccessful cases and classifies each one as a violation of an intended security property or as a limitation to be addressed in the next stage.</w:t>
      </w:r>
      <w:r>
        <w:rPr>
          <w:rFonts w:ascii="Times New Roman" w:cs="Times New Roman" w:eastAsia="Times New Roman" w:hAnsi="Times New Roman"/>
          <w:sz w:val="22"/>
          <w:szCs w:val="22"/>
        </w:rPr>
        <w:t xml:space="preserve">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twelve scenarios are refused and the full suite of 36 tests passes, while in the twelfth, A11, a rewritten audit event changes its digest, which no component of the prototype compares.</w:t>
      </w:r>
    </w:p>
    <w:p>
      <w:pPr>
        <w:keepNext/>
        <w:spacing w:after="80" w:before="200"/>
        <w:jc w:val="center"/>
      </w:pPr>
      <w:r>
        <w:rPr>
          <w:rFonts w:ascii="Times New Roman" w:cs="Times New Roman" w:eastAsia="Times New Roman" w:hAnsi="Times New Roman"/>
          <w:b/>
          <w:bCs/>
          <w:sz w:val="18"/>
          <w:szCs w:val="18"/>
        </w:rPr>
        <w:t xml:space="preserve">Table 11.5: </w:t>
      </w:r>
      <w:r>
        <w:rPr>
          <w:rFonts w:ascii="Times New Roman" w:cs="Times New Roman" w:eastAsia="Times New Roman" w:hAnsi="Times New Roman"/>
          <w:sz w:val="18"/>
          <w:szCs w:val="18"/>
        </w:rPr>
        <w:t xml:space="preserve">Unit-level adversarial tests A1 to A12, their targeted component and their outcome before the hardening and after the hardening of 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11.6</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 (via VA)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bl>
    <w:p>
      <w:pPr>
        <w:spacing w:after="160"/>
      </w:pPr>
    </w:p>
    <w:p>
      <w:pPr>
        <w:keepNext/>
        <w:spacing w:after="60" w:before="160"/>
        <w:jc w:val="center"/>
      </w:pPr>
      <w:r>
        <w:drawing>
          <wp:inline distT="0" distB="0" distL="0" distR="0">
            <wp:extent cx="5715000" cy="4181475"/>
            <wp:effectExtent t="0" r="0" b="0" l="0"/>
            <wp:docPr id="1" name="F43.png" descr="Adversarial evaluation matrix for scenarios A1 to A12 before and after the hardening of 1 October 2026" title="Adversarial evaluation matrix for scenarios A1 to A12 before and after the hardening of 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11.12: </w:t>
      </w:r>
      <w:r>
        <w:rPr>
          <w:rFonts w:ascii="Times New Roman" w:cs="Times New Roman" w:eastAsia="Times New Roman" w:hAnsi="Times New Roman"/>
          <w:sz w:val="18"/>
          <w:szCs w:val="18"/>
        </w:rPr>
        <w:t xml:space="preserve">Adversarial evaluation matrix for scenarios A1 to A12 before and after the hardening of 1 October 2026.</w:t>
      </w:r>
    </w:p>
    <w:p>
      <w:pPr>
        <w:spacing w:after="110" w:line="264"/>
        <w:jc w:val="both"/>
      </w:pPr>
      <w:r>
        <w:rPr>
          <w:rFonts w:ascii="Times New Roman" w:cs="Times New Roman" w:eastAsia="Times New Roman" w:hAnsi="Times New Roman"/>
          <w:sz w:val="22"/>
          <w:szCs w:val="22"/>
        </w:rPr>
        <w:t xml:space="preserve">The analysis separates implementation defects from incomplete security controls and from limitations of the test environment.</w:t>
      </w:r>
      <w:r>
        <w:rPr>
          <w:rFonts w:ascii="Times New Roman" w:cs="Times New Roman" w:eastAsia="Times New Roman" w:hAnsi="Times New Roman"/>
          <w:sz w:val="22"/>
          <w:szCs w:val="22"/>
        </w:rPr>
        <w:t xml:space="preserve">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11.6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color w:val="FF0000"/>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FF0000"/>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twelve attack scenarios will be extended to larger sets of positive, negative, and adversarial scenarios, and enforcement accuracy will be reported over this extended set. </w:t>
      </w:r>
      <w:r>
        <w:rPr>
          <w:rFonts w:ascii="Times New Roman" w:cs="Times New Roman" w:eastAsia="Times New Roman" w:hAnsi="Times New Roman"/>
          <w:sz w:val="22"/>
          <w:szCs w:val="22"/>
        </w:rPr>
        <w:t xml:space="preserve">The formal security model will be compared with the observed behaviour of the implemented system.</w:t>
      </w:r>
    </w:p>
    <w:p>
      <w:pPr>
        <w:spacing w:after="110" w:line="264"/>
        <w:jc w:val="both"/>
      </w:pPr>
      <w:r>
        <w:rPr>
          <w:rFonts w:ascii="Times New Roman" w:cs="Times New Roman" w:eastAsia="Times New Roman" w:hAnsi="Times New Roman"/>
          <w:color w:val="FF0000"/>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cryptographic DID resolution and VC validation, </w:t>
      </w:r>
      <w:r>
        <w:rPr>
          <w:rFonts w:ascii="Times New Roman" w:cs="Times New Roman" w:eastAsia="Times New Roman" w:hAnsi="Times New Roman"/>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w:t>
      </w:r>
      <w:r>
        <w:rPr>
          <w:rFonts w:ascii="Times New Roman" w:cs="Times New Roman" w:eastAsia="Times New Roman" w:hAnsi="Times New Roman"/>
          <w:sz w:val="22"/>
          <w:szCs w:val="22"/>
        </w:rPr>
        <w:t xml:space="preserve">This work establishes explicit security properties</w:t>
      </w:r>
      <w:r>
        <w:rPr>
          <w:rFonts w:ascii="Times New Roman" w:cs="Times New Roman" w:eastAsia="Times New Roman" w:hAnsi="Times New Roman"/>
          <w:sz w:val="22"/>
          <w:szCs w:val="22"/>
        </w:rPr>
        <w:t xml:space="preserve">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12.1 according to their current development status and their structural contribution to the thesis chapters and research questions.</w:t>
      </w:r>
    </w:p>
    <w:p>
      <w:pPr>
        <w:keepNext/>
        <w:spacing w:after="80" w:before="200"/>
        <w:jc w:val="center"/>
      </w:pPr>
      <w:r>
        <w:rPr>
          <w:rFonts w:ascii="Times New Roman" w:cs="Times New Roman" w:eastAsia="Times New Roman" w:hAnsi="Times New Roman"/>
          <w:b/>
          <w:bCs/>
          <w:sz w:val="18"/>
          <w:szCs w:val="18"/>
        </w:rPr>
        <w:t xml:space="preserve">Table 12.1: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Submitted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 The current stage work establishes the conceptual and technical foundation, while the next stage work will strengthen the framework through formal analysis and comprehensive empirical validation. The second publication extends Section 2 into a stand-alone review, and the third publication completes the work that Sections 10 and 11 </w:t>
      </w:r>
      <w:r>
        <w:rPr>
          <w:rFonts w:ascii="Times New Roman" w:cs="Times New Roman" w:eastAsia="Times New Roman" w:hAnsi="Times New Roman"/>
          <w:color w:val="FF0000"/>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color w:val="FF0000"/>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13.1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13.1: </w:t>
      </w:r>
      <w:r>
        <w:rPr>
          <w:rFonts w:ascii="Times New Roman" w:cs="Times New Roman" w:eastAsia="Times New Roman" w:hAnsi="Times New Roman"/>
          <w:color w:val="00B0F0"/>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Jul–Oct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Paper conference submission,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color w:val="FF0000"/>
                <w:sz w:val="17"/>
                <w:szCs w:val="17"/>
              </w:rPr>
              <w:t xml:space="preserve">Final 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and RO6, </w:t>
      </w:r>
      <w:r>
        <w:rPr>
          <w:rFonts w:ascii="Times New Roman" w:cs="Times New Roman" w:eastAsia="Times New Roman" w:hAnsi="Times New Roman"/>
          <w:sz w:val="22"/>
          <w:szCs w:val="22"/>
        </w:rPr>
        <w:t xml:space="preserve">will extend the framework of the current stage to dynamic consent governance, formal security assurance, and a fuller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lifecycle transition check, the formal lifecycle model, and c</w:t>
      </w:r>
      <w:r>
        <w:rPr>
          <w:rFonts w:ascii="Times New Roman" w:cs="Times New Roman" w:eastAsia="Times New Roman" w:hAnsi="Times New Roman"/>
          <w:sz w:val="22"/>
          <w:szCs w:val="22"/>
        </w:rPr>
        <w:t xml:space="preserve">onsent modification, delegation, and guardian-set changes extend the lifecycle trust of Section 10,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13.1: </w:t>
      </w:r>
      <w:r>
        <w:rPr>
          <w:rFonts w:ascii="Times New Roman" w:cs="Times New Roman" w:eastAsia="Times New Roman" w:hAnsi="Times New Roman"/>
          <w:color w:val="00B0F0"/>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13.2.</w:t>
      </w:r>
    </w:p>
    <w:p>
      <w:pPr>
        <w:keepNext/>
        <w:spacing w:after="80" w:before="200"/>
        <w:jc w:val="center"/>
      </w:pPr>
      <w:r>
        <w:rPr>
          <w:rFonts w:ascii="Times New Roman" w:cs="Times New Roman" w:eastAsia="Times New Roman" w:hAnsi="Times New Roman"/>
          <w:b/>
          <w:bCs/>
          <w:sz w:val="18"/>
          <w:szCs w:val="18"/>
        </w:rPr>
        <w:t xml:space="preserve">Table 13.2: </w:t>
      </w:r>
      <w:r>
        <w:rPr>
          <w:rFonts w:ascii="Times New Roman" w:cs="Times New Roman" w:eastAsia="Times New Roman" w:hAnsi="Times New Roman"/>
          <w:color w:val="00B0F0"/>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Extend the implemented lifecycle mechanism to support consent modification, delegation</w:t>
            </w:r>
            <w:r>
              <w:rPr>
                <w:rFonts w:ascii="Times New Roman" w:cs="Times New Roman" w:eastAsia="Times New Roman" w:hAnsi="Times New Roman"/>
                <w:b w:val="false"/>
                <w:bCs w:val="false"/>
                <w:sz w:val="17"/>
                <w:szCs w:val="17"/>
              </w:rPr>
              <w:t xml:space="preserve">, a declared request purpose</w:t>
            </w:r>
            <w:r>
              <w:rPr>
                <w:rFonts w:ascii="Times New Roman" w:cs="Times New Roman" w:eastAsia="Times New Roman" w:hAnsi="Times New Roman"/>
                <w:b w:val="false"/>
                <w:bCs w:val="false"/>
                <w:sz w:val="17"/>
                <w:szCs w:val="17"/>
              </w:rPr>
              <w:t xml:space="preserve"> and guardian-set changes,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spacing w:after="80" w:line="240"/>
        <w:ind w:left="560" w:hanging="560"/>
        <w:jc w:val="left"/>
      </w:pPr>
      <w:r>
        <w:rPr>
          <w:rFonts w:ascii="Times New Roman" w:cs="Times New Roman" w:eastAsia="Times New Roman" w:hAnsi="Times New Roman"/>
          <w:sz w:val="18"/>
          <w:szCs w:val="18"/>
        </w:rPr>
        <w:t xml:space="preserve">Abbasi, A., Humeidi, M.N. &amp; Wang, Q. 2026, 'Nexa: Enabling secure, scalable, and decentralized management of electronic health records using threshold cryptography and public blockchains',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50791–50810, &lt;https://doi.org/10.1109/ACCESS.2026.3677499&gt;.</w:t>
      </w:r>
    </w:p>
    <w:p>
      <w:pPr>
        <w:spacing w:after="80" w:line="240"/>
        <w:ind w:left="560" w:hanging="560"/>
        <w:jc w:val="left"/>
      </w:pPr>
      <w:r>
        <w:rPr>
          <w:rFonts w:ascii="Times New Roman" w:cs="Times New Roman" w:eastAsia="Times New Roman" w:hAnsi="Times New Roman"/>
          <w:sz w:val="18"/>
          <w:szCs w:val="18"/>
        </w:rPr>
        <w:t xml:space="preserve">Akter, S. &amp; Sanam, T.F. 2025, 'A blockchain framework for secure healthcare data management using role-based access control and smart contracts', </w:t>
      </w:r>
      <w:r>
        <w:rPr>
          <w:rFonts w:ascii="Times New Roman" w:cs="Times New Roman" w:eastAsia="Times New Roman" w:hAnsi="Times New Roman"/>
          <w:i/>
          <w:iCs/>
          <w:sz w:val="18"/>
          <w:szCs w:val="18"/>
        </w:rPr>
        <w:t xml:space="preserve">2025 International Conference on Electrical, Computer and Communication Engineering (ECCE)</w:t>
      </w:r>
      <w:r>
        <w:rPr>
          <w:rFonts w:ascii="Times New Roman" w:cs="Times New Roman" w:eastAsia="Times New Roman" w:hAnsi="Times New Roman"/>
          <w:sz w:val="18"/>
          <w:szCs w:val="18"/>
        </w:rPr>
        <w:t xml:space="preserve">, pp. 1–6, &lt;https://doi.org/10.1109/ECCE64574.2025.11013162&gt;.</w:t>
      </w:r>
    </w:p>
    <w:p>
      <w:pPr>
        <w:spacing w:after="80" w:line="240"/>
        <w:ind w:left="560" w:hanging="560"/>
        <w:jc w:val="left"/>
      </w:pPr>
      <w:r>
        <w:rPr>
          <w:rFonts w:ascii="Times New Roman" w:cs="Times New Roman" w:eastAsia="Times New Roman" w:hAnsi="Times New Roman"/>
          <w:sz w:val="18"/>
          <w:szCs w:val="18"/>
        </w:rPr>
        <w:t xml:space="preserve">Al Amin, M., Altarawneh, A. &amp; Ray, I. 2023, 'Informed consent as patient driven policy for clinical diagnosis and treatment: A smart contract based approach', </w:t>
      </w:r>
      <w:r>
        <w:rPr>
          <w:rFonts w:ascii="Times New Roman" w:cs="Times New Roman" w:eastAsia="Times New Roman" w:hAnsi="Times New Roman"/>
          <w:i/>
          <w:iCs/>
          <w:sz w:val="18"/>
          <w:szCs w:val="18"/>
        </w:rPr>
        <w:t xml:space="preserve">Proceedings of the 20th International Conference on Security and Cryptography (SECRYPT 2023)</w:t>
      </w:r>
      <w:r>
        <w:rPr>
          <w:rFonts w:ascii="Times New Roman" w:cs="Times New Roman" w:eastAsia="Times New Roman" w:hAnsi="Times New Roman"/>
          <w:sz w:val="18"/>
          <w:szCs w:val="18"/>
        </w:rPr>
        <w:t xml:space="preserve">, pp. 159–170, SciTePress, &lt;https://doi.org/10.5220/0012090600003555&gt;.</w:t>
      </w:r>
    </w:p>
    <w:p>
      <w:pPr>
        <w:spacing w:after="80" w:line="240"/>
        <w:ind w:left="560" w:hanging="560"/>
        <w:jc w:val="left"/>
      </w:pPr>
      <w:r>
        <w:rPr>
          <w:rFonts w:ascii="Times New Roman" w:cs="Times New Roman" w:eastAsia="Times New Roman" w:hAnsi="Times New Roman"/>
          <w:sz w:val="18"/>
          <w:szCs w:val="18"/>
        </w:rPr>
        <w:t xml:space="preserve">Al Mamun, A., Azam, S. &amp; Gritti, C. 2022, 'Blockchain-based electronic health records management: A comprehensive review and future research direction',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5768–5789, &lt;https://doi.org/10.1109/ACCESS.2022.3141079&gt;.</w:t>
      </w:r>
    </w:p>
    <w:p>
      <w:pPr>
        <w:spacing w:after="80" w:line="240"/>
        <w:ind w:left="560" w:hanging="560"/>
        <w:jc w:val="left"/>
      </w:pPr>
      <w:r>
        <w:rPr>
          <w:rFonts w:ascii="Times New Roman" w:cs="Times New Roman" w:eastAsia="Times New Roman" w:hAnsi="Times New Roman"/>
          <w:sz w:val="18"/>
          <w:szCs w:val="18"/>
        </w:rPr>
        <w:t xml:space="preserve">Albalwy, F., Brass, A. &amp; Davies, A. 2021, 'A blockchain-based dynamic consent architecture to support clinical genomic data sharing (ConsentChain): Proof-of-concept study', </w:t>
      </w:r>
      <w:r>
        <w:rPr>
          <w:rFonts w:ascii="Times New Roman" w:cs="Times New Roman" w:eastAsia="Times New Roman" w:hAnsi="Times New Roman"/>
          <w:i/>
          <w:iCs/>
          <w:sz w:val="18"/>
          <w:szCs w:val="18"/>
        </w:rPr>
        <w:t xml:space="preserve">JMIR Medical Informatics</w:t>
      </w:r>
      <w:r>
        <w:rPr>
          <w:rFonts w:ascii="Times New Roman" w:cs="Times New Roman" w:eastAsia="Times New Roman" w:hAnsi="Times New Roman"/>
          <w:sz w:val="18"/>
          <w:szCs w:val="18"/>
        </w:rPr>
        <w:t xml:space="preserve">, vol. 9, no. 11, p. e27816, &lt;https://doi.org/10.2196/27816&gt;.</w:t>
      </w:r>
    </w:p>
    <w:p>
      <w:pPr>
        <w:spacing w:after="80" w:line="240"/>
        <w:ind w:left="560" w:hanging="560"/>
        <w:jc w:val="left"/>
      </w:pPr>
      <w:r>
        <w:rPr>
          <w:rFonts w:ascii="Times New Roman" w:cs="Times New Roman" w:eastAsia="Times New Roman" w:hAnsi="Times New Roman"/>
          <w:sz w:val="18"/>
          <w:szCs w:val="18"/>
        </w:rPr>
        <w:t xml:space="preserve">Andrew, J., Isravel, D.P., Sagayam, K.M., Bhushan, B., Sei, Y. &amp; Eunice, J. 2023, 'Blockchain for healthcare systems: Architecture, security challenges, trends and future directions', </w:t>
      </w:r>
      <w:r>
        <w:rPr>
          <w:rFonts w:ascii="Times New Roman" w:cs="Times New Roman" w:eastAsia="Times New Roman" w:hAnsi="Times New Roman"/>
          <w:i/>
          <w:iCs/>
          <w:sz w:val="18"/>
          <w:szCs w:val="18"/>
        </w:rPr>
        <w:t xml:space="preserve">Journal of Network and Computer Applications</w:t>
      </w:r>
      <w:r>
        <w:rPr>
          <w:rFonts w:ascii="Times New Roman" w:cs="Times New Roman" w:eastAsia="Times New Roman" w:hAnsi="Times New Roman"/>
          <w:sz w:val="18"/>
          <w:szCs w:val="18"/>
        </w:rPr>
        <w:t xml:space="preserve">, vol. 215, p. 103633, &lt;https://doi.org/10.1016/j.jnca.2023.103633&gt;.</w:t>
      </w:r>
    </w:p>
    <w:p>
      <w:pPr>
        <w:spacing w:after="80" w:line="240"/>
        <w:ind w:left="560" w:hanging="560"/>
        <w:jc w:val="left"/>
      </w:pPr>
      <w:r>
        <w:rPr>
          <w:rFonts w:ascii="Times New Roman" w:cs="Times New Roman" w:eastAsia="Times New Roman" w:hAnsi="Times New Roman"/>
          <w:sz w:val="18"/>
          <w:szCs w:val="18"/>
        </w:rPr>
        <w:t xml:space="preserve">Arbabi, M.S., Lal, C., Veeraragavan, N.R., Marijan, D., Nygård, J.F. &amp; Vitenberg, R. 2023, 'A survey on blockchain for healthcare: Challenges, benefits, and future directions',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25, no. 1, pp. 386–424, &lt;https://doi.org/10.1109/COMST.2022.3224644&gt;.</w:t>
      </w:r>
    </w:p>
    <w:p>
      <w:pPr>
        <w:spacing w:after="80" w:line="240"/>
        <w:ind w:left="560" w:hanging="560"/>
        <w:jc w:val="left"/>
      </w:pPr>
      <w:r>
        <w:rPr>
          <w:rFonts w:ascii="Times New Roman" w:cs="Times New Roman" w:eastAsia="Times New Roman" w:hAnsi="Times New Roman"/>
          <w:color w:val="00B0F0"/>
          <w:sz w:val="18"/>
          <w:szCs w:val="18"/>
        </w:rPr>
        <w:t xml:space="preserve">Bloemen, R., Logvinov, L. &amp; Evans, J. 2017, </w:t>
      </w:r>
      <w:r>
        <w:rPr>
          <w:rFonts w:ascii="Times New Roman" w:cs="Times New Roman" w:eastAsia="Times New Roman" w:hAnsi="Times New Roman"/>
          <w:i/>
          <w:iCs/>
          <w:color w:val="00B0F0"/>
          <w:sz w:val="18"/>
          <w:szCs w:val="18"/>
        </w:rPr>
        <w:t xml:space="preserve">EIP-712: Typed structured data hashing and signing</w:t>
      </w:r>
      <w:r>
        <w:rPr>
          <w:rFonts w:ascii="Times New Roman" w:cs="Times New Roman" w:eastAsia="Times New Roman" w:hAnsi="Times New Roman"/>
          <w:color w:val="00B0F0"/>
          <w:sz w:val="18"/>
          <w:szCs w:val="18"/>
        </w:rPr>
        <w:t xml:space="preserve">, Ethereum Improvement Proposals, no. 712, viewed 6 October 2026, &lt;https://eips.ethereum.org/EIPS/eip-712&gt;.</w:t>
      </w:r>
    </w:p>
    <w:p>
      <w:pPr>
        <w:spacing w:after="80" w:line="240"/>
        <w:ind w:left="560" w:hanging="560"/>
        <w:jc w:val="left"/>
      </w:pPr>
      <w:r>
        <w:rPr>
          <w:rFonts w:ascii="Times New Roman" w:cs="Times New Roman" w:eastAsia="Times New Roman" w:hAnsi="Times New Roman"/>
          <w:color w:val="00B0F0"/>
          <w:sz w:val="18"/>
          <w:szCs w:val="18"/>
        </w:rPr>
        <w:t xml:space="preserve">Cai, B. 2022, </w:t>
      </w:r>
      <w:r>
        <w:rPr>
          <w:rFonts w:ascii="Times New Roman" w:cs="Times New Roman" w:eastAsia="Times New Roman" w:hAnsi="Times New Roman"/>
          <w:i/>
          <w:iCs/>
          <w:color w:val="00B0F0"/>
          <w:sz w:val="18"/>
          <w:szCs w:val="18"/>
        </w:rPr>
        <w:t xml:space="preserve">ERC-5484: Consensual soulbound tokens</w:t>
      </w:r>
      <w:r>
        <w:rPr>
          <w:rFonts w:ascii="Times New Roman" w:cs="Times New Roman" w:eastAsia="Times New Roman" w:hAnsi="Times New Roman"/>
          <w:color w:val="00B0F0"/>
          <w:sz w:val="18"/>
          <w:szCs w:val="18"/>
        </w:rPr>
        <w:t xml:space="preserve">, Ethereum Improvement Proposals, no. 5484, viewed 6 October 2026, &lt;https://eips.ethereum.org/EIPS/eip-5484&gt;.</w:t>
      </w:r>
    </w:p>
    <w:p>
      <w:pPr>
        <w:spacing w:after="80" w:line="240"/>
        <w:ind w:left="560" w:hanging="560"/>
        <w:jc w:val="left"/>
      </w:pPr>
      <w:r>
        <w:rPr>
          <w:rFonts w:ascii="Times New Roman" w:cs="Times New Roman" w:eastAsia="Times New Roman" w:hAnsi="Times New Roman"/>
          <w:sz w:val="18"/>
          <w:szCs w:val="18"/>
        </w:rPr>
        <w:t xml:space="preserve">Consensys 2026, </w:t>
      </w:r>
      <w:r>
        <w:rPr>
          <w:rFonts w:ascii="Times New Roman" w:cs="Times New Roman" w:eastAsia="Times New Roman" w:hAnsi="Times New Roman"/>
          <w:i/>
          <w:iCs/>
          <w:sz w:val="18"/>
          <w:szCs w:val="18"/>
        </w:rPr>
        <w:t xml:space="preserve">MetaMask developer documentation</w:t>
      </w:r>
      <w:r>
        <w:rPr>
          <w:rFonts w:ascii="Times New Roman" w:cs="Times New Roman" w:eastAsia="Times New Roman" w:hAnsi="Times New Roman"/>
          <w:sz w:val="18"/>
          <w:szCs w:val="18"/>
        </w:rPr>
        <w:t xml:space="preserve">, viewed 7 October 2026, &lt;https://docs.metamask.io/&gt;.</w:t>
      </w:r>
    </w:p>
    <w:p>
      <w:pPr>
        <w:spacing w:after="80" w:line="240"/>
        <w:ind w:left="560" w:hanging="560"/>
        <w:jc w:val="left"/>
      </w:pPr>
      <w:r>
        <w:rPr>
          <w:rFonts w:ascii="Times New Roman" w:cs="Times New Roman" w:eastAsia="Times New Roman" w:hAnsi="Times New Roman"/>
          <w:sz w:val="18"/>
          <w:szCs w:val="18"/>
        </w:rPr>
        <w:t xml:space="preserve">Deng, H., Liang, J., Zhang, C., Liu, X., Zhu, L. &amp; Guo, S. 2024, 'FutureDID: A fully decentralized identity system with multi-party verification', </w:t>
      </w:r>
      <w:r>
        <w:rPr>
          <w:rFonts w:ascii="Times New Roman" w:cs="Times New Roman" w:eastAsia="Times New Roman" w:hAnsi="Times New Roman"/>
          <w:i/>
          <w:iCs/>
          <w:sz w:val="18"/>
          <w:szCs w:val="18"/>
        </w:rPr>
        <w:t xml:space="preserve">IEEE Transactions on Computers</w:t>
      </w:r>
      <w:r>
        <w:rPr>
          <w:rFonts w:ascii="Times New Roman" w:cs="Times New Roman" w:eastAsia="Times New Roman" w:hAnsi="Times New Roman"/>
          <w:sz w:val="18"/>
          <w:szCs w:val="18"/>
        </w:rPr>
        <w:t xml:space="preserve">, vol. 73, no. 8, pp. 2051–2065, &lt;https://doi.org/10.1109/TC.2024.3398509&gt;.</w:t>
      </w:r>
    </w:p>
    <w:p>
      <w:pPr>
        <w:spacing w:after="80" w:line="240"/>
        <w:ind w:left="560" w:hanging="560"/>
        <w:jc w:val="left"/>
      </w:pPr>
      <w:r>
        <w:rPr>
          <w:rFonts w:ascii="Times New Roman" w:cs="Times New Roman" w:eastAsia="Times New Roman" w:hAnsi="Times New Roman"/>
          <w:color w:val="00B0F0"/>
          <w:sz w:val="18"/>
          <w:szCs w:val="18"/>
        </w:rPr>
        <w:t xml:space="preserve">Ekholm, K., Augustinsson, A., Sundström, J., Johansen, C., Storgärds, M., Ljöstad, L. et al. 2025, 'Implementing electronic informed consent in rare disease genomics', </w:t>
      </w:r>
      <w:r>
        <w:rPr>
          <w:rFonts w:ascii="Times New Roman" w:cs="Times New Roman" w:eastAsia="Times New Roman" w:hAnsi="Times New Roman"/>
          <w:i/>
          <w:iCs/>
          <w:color w:val="00B0F0"/>
          <w:sz w:val="18"/>
          <w:szCs w:val="18"/>
        </w:rPr>
        <w:t xml:space="preserve">Scientific Reports</w:t>
      </w:r>
      <w:r>
        <w:rPr>
          <w:rFonts w:ascii="Times New Roman" w:cs="Times New Roman" w:eastAsia="Times New Roman" w:hAnsi="Times New Roman"/>
          <w:color w:val="00B0F0"/>
          <w:sz w:val="18"/>
          <w:szCs w:val="18"/>
        </w:rPr>
        <w:t xml:space="preserve">, vol. 15, no. 1, p. 44419, &lt;https://doi.org/10.1038/s41598-025-32740-1&gt;.</w:t>
      </w:r>
    </w:p>
    <w:p>
      <w:pPr>
        <w:spacing w:after="80" w:line="240"/>
        <w:ind w:left="560" w:hanging="560"/>
        <w:jc w:val="left"/>
      </w:pPr>
      <w:r>
        <w:rPr>
          <w:rFonts w:ascii="Times New Roman" w:cs="Times New Roman" w:eastAsia="Times New Roman" w:hAnsi="Times New Roman"/>
          <w:sz w:val="18"/>
          <w:szCs w:val="18"/>
        </w:rPr>
        <w:t xml:space="preserve">Eneh, A.U., Ahakonye, L.A.C., Lee, J.M. &amp; Kim, D.-S. 2026, 'Demo: EdgeConsent: On-chain attribute-based access control for data consent management', </w:t>
      </w:r>
      <w:r>
        <w:rPr>
          <w:rFonts w:ascii="Times New Roman" w:cs="Times New Roman" w:eastAsia="Times New Roman" w:hAnsi="Times New Roman"/>
          <w:i/>
          <w:iCs/>
          <w:sz w:val="18"/>
          <w:szCs w:val="18"/>
        </w:rPr>
        <w:t xml:space="preserve">2026 IEEE International Conference on Blockchain and Cryptocurrency (ICBC)</w:t>
      </w:r>
      <w:r>
        <w:rPr>
          <w:rFonts w:ascii="Times New Roman" w:cs="Times New Roman" w:eastAsia="Times New Roman" w:hAnsi="Times New Roman"/>
          <w:sz w:val="18"/>
          <w:szCs w:val="18"/>
        </w:rPr>
        <w:t xml:space="preserve">, pp. 1–2, &lt;https://doi.org/10.1109/ICBC67748.2026.11575534&gt;.</w:t>
      </w:r>
    </w:p>
    <w:p>
      <w:pPr>
        <w:spacing w:after="80" w:line="240"/>
        <w:ind w:left="560" w:hanging="560"/>
        <w:jc w:val="left"/>
      </w:pPr>
      <w:r>
        <w:rPr>
          <w:rFonts w:ascii="Times New Roman" w:cs="Times New Roman" w:eastAsia="Times New Roman" w:hAnsi="Times New Roman"/>
          <w:color w:val="00B0F0"/>
          <w:sz w:val="18"/>
          <w:szCs w:val="18"/>
        </w:rPr>
        <w:t xml:space="preserve">Entriken, W., Shirley, D., Evans, J. &amp; Sachs, N. 2018, </w:t>
      </w:r>
      <w:r>
        <w:rPr>
          <w:rFonts w:ascii="Times New Roman" w:cs="Times New Roman" w:eastAsia="Times New Roman" w:hAnsi="Times New Roman"/>
          <w:i/>
          <w:iCs/>
          <w:color w:val="00B0F0"/>
          <w:sz w:val="18"/>
          <w:szCs w:val="18"/>
        </w:rPr>
        <w:t xml:space="preserve">ERC-721: Non-fungible token standard</w:t>
      </w:r>
      <w:r>
        <w:rPr>
          <w:rFonts w:ascii="Times New Roman" w:cs="Times New Roman" w:eastAsia="Times New Roman" w:hAnsi="Times New Roman"/>
          <w:color w:val="00B0F0"/>
          <w:sz w:val="18"/>
          <w:szCs w:val="18"/>
        </w:rPr>
        <w:t xml:space="preserve">, Ethereum Improvement Proposals, no. 721, viewed 6 October 2026, &lt;https://eips.ethereum.org/EIPS/eip-721&gt;.</w:t>
      </w:r>
    </w:p>
    <w:p>
      <w:pPr>
        <w:spacing w:after="80" w:line="240"/>
        <w:ind w:left="560" w:hanging="560"/>
        <w:jc w:val="left"/>
      </w:pPr>
      <w:r>
        <w:rPr>
          <w:rFonts w:ascii="Times New Roman" w:cs="Times New Roman" w:eastAsia="Times New Roman" w:hAnsi="Times New Roman"/>
          <w:sz w:val="18"/>
          <w:szCs w:val="18"/>
        </w:rPr>
        <w:t xml:space="preserve">Ethereum Foundation 2026a, </w:t>
      </w:r>
      <w:r>
        <w:rPr>
          <w:rFonts w:ascii="Times New Roman" w:cs="Times New Roman" w:eastAsia="Times New Roman" w:hAnsi="Times New Roman"/>
          <w:i/>
          <w:iCs/>
          <w:sz w:val="18"/>
          <w:szCs w:val="18"/>
        </w:rPr>
        <w:t xml:space="preserve">Solidity documentation</w:t>
      </w:r>
      <w:r>
        <w:rPr>
          <w:rFonts w:ascii="Times New Roman" w:cs="Times New Roman" w:eastAsia="Times New Roman" w:hAnsi="Times New Roman"/>
          <w:sz w:val="18"/>
          <w:szCs w:val="18"/>
        </w:rPr>
        <w:t xml:space="preserve">, viewed 7 October 2026, &lt;https://docs.soliditylang.org/&gt;.</w:t>
      </w:r>
    </w:p>
    <w:p>
      <w:pPr>
        <w:spacing w:after="80" w:line="240"/>
        <w:ind w:left="560" w:hanging="560"/>
        <w:jc w:val="left"/>
      </w:pPr>
      <w:r>
        <w:rPr>
          <w:rFonts w:ascii="Times New Roman" w:cs="Times New Roman" w:eastAsia="Times New Roman" w:hAnsi="Times New Roman"/>
          <w:sz w:val="18"/>
          <w:szCs w:val="18"/>
        </w:rPr>
        <w:t xml:space="preserve">Ethereum Foundation 2026b, </w:t>
      </w:r>
      <w:r>
        <w:rPr>
          <w:rFonts w:ascii="Times New Roman" w:cs="Times New Roman" w:eastAsia="Times New Roman" w:hAnsi="Times New Roman"/>
          <w:i/>
          <w:iCs/>
          <w:sz w:val="18"/>
          <w:szCs w:val="18"/>
        </w:rPr>
        <w:t xml:space="preserve">Networks</w:t>
      </w:r>
      <w:r>
        <w:rPr>
          <w:rFonts w:ascii="Times New Roman" w:cs="Times New Roman" w:eastAsia="Times New Roman" w:hAnsi="Times New Roman"/>
          <w:sz w:val="18"/>
          <w:szCs w:val="18"/>
        </w:rPr>
        <w:t xml:space="preserve">, ethereum.org developer documentation, viewed 7 October 2026, &lt;https://ethereum.org/en/developers/docs/networks/&gt;.</w:t>
      </w:r>
    </w:p>
    <w:p>
      <w:pPr>
        <w:spacing w:after="80" w:line="240"/>
        <w:ind w:left="560" w:hanging="560"/>
        <w:jc w:val="left"/>
      </w:pPr>
      <w:r>
        <w:rPr>
          <w:rFonts w:ascii="Times New Roman" w:cs="Times New Roman" w:eastAsia="Times New Roman" w:hAnsi="Times New Roman"/>
          <w:sz w:val="18"/>
          <w:szCs w:val="18"/>
        </w:rPr>
        <w:t xml:space="preserve">Ethereum Foundation 2026c, </w:t>
      </w:r>
      <w:r>
        <w:rPr>
          <w:rFonts w:ascii="Times New Roman" w:cs="Times New Roman" w:eastAsia="Times New Roman" w:hAnsi="Times New Roman"/>
          <w:i/>
          <w:iCs/>
          <w:sz w:val="18"/>
          <w:szCs w:val="18"/>
        </w:rPr>
        <w:t xml:space="preserve">Remix IDE documentation</w:t>
      </w:r>
      <w:r>
        <w:rPr>
          <w:rFonts w:ascii="Times New Roman" w:cs="Times New Roman" w:eastAsia="Times New Roman" w:hAnsi="Times New Roman"/>
          <w:sz w:val="18"/>
          <w:szCs w:val="18"/>
        </w:rPr>
        <w:t xml:space="preserve">, viewed 7 October 2026, &lt;https://remix-ide.readthedocs.io/&gt;.</w:t>
      </w:r>
    </w:p>
    <w:p>
      <w:pPr>
        <w:spacing w:after="80" w:line="240"/>
        <w:ind w:left="560" w:hanging="560"/>
        <w:jc w:val="left"/>
      </w:pPr>
      <w:r>
        <w:rPr>
          <w:rFonts w:ascii="Times New Roman" w:cs="Times New Roman" w:eastAsia="Times New Roman" w:hAnsi="Times New Roman"/>
          <w:sz w:val="18"/>
          <w:szCs w:val="18"/>
        </w:rPr>
        <w:t xml:space="preserve">Ferreira, J.C., Correia, R., Rosário, L. &amp; Vila, A. 2025, 'Blockchain integration for trust and consent management in MCP-enabled FHIR systems', </w:t>
      </w:r>
      <w:r>
        <w:rPr>
          <w:rFonts w:ascii="Times New Roman" w:cs="Times New Roman" w:eastAsia="Times New Roman" w:hAnsi="Times New Roman"/>
          <w:i/>
          <w:iCs/>
          <w:sz w:val="18"/>
          <w:szCs w:val="18"/>
        </w:rPr>
        <w:t xml:space="preserve">2025 IEEE International Conference on Distributed Ledger Technologies (ICDLT)</w:t>
      </w:r>
      <w:r>
        <w:rPr>
          <w:rFonts w:ascii="Times New Roman" w:cs="Times New Roman" w:eastAsia="Times New Roman" w:hAnsi="Times New Roman"/>
          <w:sz w:val="18"/>
          <w:szCs w:val="18"/>
        </w:rPr>
        <w:t xml:space="preserve">, pp. 1–10, &lt;https://doi.org/10.1109/ICDLT66400.2025.11466653&gt;.</w:t>
      </w:r>
    </w:p>
    <w:p>
      <w:pPr>
        <w:spacing w:after="80" w:line="240"/>
        <w:ind w:left="560" w:hanging="560"/>
        <w:jc w:val="left"/>
      </w:pPr>
      <w:r>
        <w:rPr>
          <w:rFonts w:ascii="Times New Roman" w:cs="Times New Roman" w:eastAsia="Times New Roman" w:hAnsi="Times New Roman"/>
          <w:sz w:val="18"/>
          <w:szCs w:val="18"/>
        </w:rPr>
        <w:t xml:space="preserve">Flamini, A., Sciarretta, G., Scuro, M., Sharif, A., Tomasi, A. &amp; Ranise, S. 2024, 'On cryptographic mechanisms for the selective disclosure of verifiable credentials', </w:t>
      </w:r>
      <w:r>
        <w:rPr>
          <w:rFonts w:ascii="Times New Roman" w:cs="Times New Roman" w:eastAsia="Times New Roman" w:hAnsi="Times New Roman"/>
          <w:i/>
          <w:iCs/>
          <w:sz w:val="18"/>
          <w:szCs w:val="18"/>
        </w:rPr>
        <w:t xml:space="preserve">Journal of Information Security and Applications</w:t>
      </w:r>
      <w:r>
        <w:rPr>
          <w:rFonts w:ascii="Times New Roman" w:cs="Times New Roman" w:eastAsia="Times New Roman" w:hAnsi="Times New Roman"/>
          <w:sz w:val="18"/>
          <w:szCs w:val="18"/>
        </w:rPr>
        <w:t xml:space="preserve">, vol. 83, p. 103789, &lt;https://doi.org/10.1016/j.jisa.2024.103789&gt;.</w:t>
      </w:r>
    </w:p>
    <w:p>
      <w:pPr>
        <w:spacing w:after="80" w:line="240"/>
        <w:ind w:left="560" w:hanging="560"/>
        <w:jc w:val="left"/>
      </w:pPr>
      <w:r>
        <w:rPr>
          <w:rFonts w:ascii="Times New Roman" w:cs="Times New Roman" w:eastAsia="Times New Roman" w:hAnsi="Times New Roman"/>
          <w:sz w:val="18"/>
          <w:szCs w:val="18"/>
        </w:rPr>
        <w:t xml:space="preserve">Ghafoor, A., Symeonidis, I., Rydberg, A., Lindahl, C. &amp; Abbasi, A.Q. 2025, 'Towards empowering stakeholders through decentralized trust and secure livestock data sharing', </w:t>
      </w:r>
      <w:r>
        <w:rPr>
          <w:rFonts w:ascii="Times New Roman" w:cs="Times New Roman" w:eastAsia="Times New Roman" w:hAnsi="Times New Roman"/>
          <w:i/>
          <w:iCs/>
          <w:sz w:val="18"/>
          <w:szCs w:val="18"/>
        </w:rPr>
        <w:t xml:space="preserve">Cryptography</w:t>
      </w:r>
      <w:r>
        <w:rPr>
          <w:rFonts w:ascii="Times New Roman" w:cs="Times New Roman" w:eastAsia="Times New Roman" w:hAnsi="Times New Roman"/>
          <w:sz w:val="18"/>
          <w:szCs w:val="18"/>
        </w:rPr>
        <w:t xml:space="preserve">, vol. 9, no. 3, p. 52, &lt;https://doi.org/10.3390/cryptography9030052&gt;.</w:t>
      </w:r>
    </w:p>
    <w:p>
      <w:pPr>
        <w:spacing w:after="80" w:line="240"/>
        <w:ind w:left="560" w:hanging="560"/>
        <w:jc w:val="left"/>
      </w:pPr>
      <w:r>
        <w:rPr>
          <w:rFonts w:ascii="Times New Roman" w:cs="Times New Roman" w:eastAsia="Times New Roman" w:hAnsi="Times New Roman"/>
          <w:sz w:val="18"/>
          <w:szCs w:val="18"/>
        </w:rPr>
        <w:t xml:space="preserve">Ghosh, P.K., Chakraborty, A., Hasan, M., Rashid, K. &amp; Siddique, A.H. 2023, 'Blockchain application in healthcare systems: A review', </w:t>
      </w:r>
      <w:r>
        <w:rPr>
          <w:rFonts w:ascii="Times New Roman" w:cs="Times New Roman" w:eastAsia="Times New Roman" w:hAnsi="Times New Roman"/>
          <w:i/>
          <w:iCs/>
          <w:sz w:val="18"/>
          <w:szCs w:val="18"/>
        </w:rPr>
        <w:t xml:space="preserve">Systems</w:t>
      </w:r>
      <w:r>
        <w:rPr>
          <w:rFonts w:ascii="Times New Roman" w:cs="Times New Roman" w:eastAsia="Times New Roman" w:hAnsi="Times New Roman"/>
          <w:sz w:val="18"/>
          <w:szCs w:val="18"/>
        </w:rPr>
        <w:t xml:space="preserve">, vol. 11, no. 1, p. 38, &lt;https://doi.org/10.3390/systems11010038&gt;.</w:t>
      </w:r>
    </w:p>
    <w:p>
      <w:pPr>
        <w:spacing w:after="80" w:line="240"/>
        <w:ind w:left="560" w:hanging="560"/>
        <w:jc w:val="left"/>
      </w:pPr>
      <w:r>
        <w:rPr>
          <w:rFonts w:ascii="Times New Roman" w:cs="Times New Roman" w:eastAsia="Times New Roman" w:hAnsi="Times New Roman"/>
          <w:color w:val="00B0F0"/>
          <w:sz w:val="18"/>
          <w:szCs w:val="18"/>
        </w:rPr>
        <w:t xml:space="preserve">Grassi, L., Khovratovich, D., Rechberger, C., Roy, A. &amp; Schofnegger, M. 2021, 'Poseidon: A new hash function for zero-knowledge proof systems', </w:t>
      </w:r>
      <w:r>
        <w:rPr>
          <w:rFonts w:ascii="Times New Roman" w:cs="Times New Roman" w:eastAsia="Times New Roman" w:hAnsi="Times New Roman"/>
          <w:i/>
          <w:iCs/>
          <w:color w:val="00B0F0"/>
          <w:sz w:val="18"/>
          <w:szCs w:val="18"/>
        </w:rPr>
        <w:t xml:space="preserve">Proceedings of the 30th USENIX Security Symposium</w:t>
      </w:r>
      <w:r>
        <w:rPr>
          <w:rFonts w:ascii="Times New Roman" w:cs="Times New Roman" w:eastAsia="Times New Roman" w:hAnsi="Times New Roman"/>
          <w:color w:val="00B0F0"/>
          <w:sz w:val="18"/>
          <w:szCs w:val="18"/>
        </w:rPr>
        <w:t xml:space="preserve">, pp. 519–535.</w:t>
      </w:r>
    </w:p>
    <w:p>
      <w:pPr>
        <w:spacing w:after="80" w:line="240"/>
        <w:ind w:left="560" w:hanging="560"/>
        <w:jc w:val="left"/>
      </w:pPr>
      <w:r>
        <w:rPr>
          <w:rFonts w:ascii="Times New Roman" w:cs="Times New Roman" w:eastAsia="Times New Roman" w:hAnsi="Times New Roman"/>
          <w:color w:val="00B0F0"/>
          <w:sz w:val="18"/>
          <w:szCs w:val="18"/>
        </w:rPr>
        <w:t xml:space="preserve">Groth, J. 2016, 'On the size of pairing-based non-interactive arguments', </w:t>
      </w:r>
      <w:r>
        <w:rPr>
          <w:rFonts w:ascii="Times New Roman" w:cs="Times New Roman" w:eastAsia="Times New Roman" w:hAnsi="Times New Roman"/>
          <w:i/>
          <w:iCs/>
          <w:color w:val="00B0F0"/>
          <w:sz w:val="18"/>
          <w:szCs w:val="18"/>
        </w:rPr>
        <w:t xml:space="preserve">Advances in Cryptology – EUROCRYPT 2016, LNCS</w:t>
      </w:r>
      <w:r>
        <w:rPr>
          <w:rFonts w:ascii="Times New Roman" w:cs="Times New Roman" w:eastAsia="Times New Roman" w:hAnsi="Times New Roman"/>
          <w:color w:val="00B0F0"/>
          <w:sz w:val="18"/>
          <w:szCs w:val="18"/>
        </w:rPr>
        <w:t xml:space="preserve">, vol. 9666, pp. 305–326, Springer, &lt;https://doi.org/10.1007/978-3-662-49896-5_11&gt;.</w:t>
      </w:r>
    </w:p>
    <w:p>
      <w:pPr>
        <w:spacing w:after="80" w:line="240"/>
        <w:ind w:left="560" w:hanging="560"/>
        <w:jc w:val="left"/>
      </w:pPr>
      <w:r>
        <w:rPr>
          <w:rFonts w:ascii="Times New Roman" w:cs="Times New Roman" w:eastAsia="Times New Roman" w:hAnsi="Times New Roman"/>
          <w:sz w:val="18"/>
          <w:szCs w:val="18"/>
        </w:rPr>
        <w:t xml:space="preserve">Hagström, J., Hägglund, M., Holmroos, M., Lähteenmäki, P. &amp; Hörhammer, I. 2024, 'Minors’ and guardian access to and use of a national patient portal: A retrospective comparative case study of Sweden and Finland', </w:t>
      </w:r>
      <w:r>
        <w:rPr>
          <w:rFonts w:ascii="Times New Roman" w:cs="Times New Roman" w:eastAsia="Times New Roman" w:hAnsi="Times New Roman"/>
          <w:i/>
          <w:iCs/>
          <w:sz w:val="18"/>
          <w:szCs w:val="18"/>
        </w:rPr>
        <w:t xml:space="preserve">International Journal of Medical Informatics</w:t>
      </w:r>
      <w:r>
        <w:rPr>
          <w:rFonts w:ascii="Times New Roman" w:cs="Times New Roman" w:eastAsia="Times New Roman" w:hAnsi="Times New Roman"/>
          <w:sz w:val="18"/>
          <w:szCs w:val="18"/>
        </w:rPr>
        <w:t xml:space="preserve">, vol. 187, p. 105465, &lt;https://doi.org/10.1016/j.ijmedinf.2024.105465&gt;.</w:t>
      </w:r>
    </w:p>
    <w:p>
      <w:pPr>
        <w:spacing w:after="80" w:line="240"/>
        <w:ind w:left="560" w:hanging="560"/>
        <w:jc w:val="left"/>
      </w:pPr>
      <w:r>
        <w:rPr>
          <w:rFonts w:ascii="Times New Roman" w:cs="Times New Roman" w:eastAsia="Times New Roman" w:hAnsi="Times New Roman"/>
          <w:sz w:val="18"/>
          <w:szCs w:val="18"/>
        </w:rPr>
        <w:t xml:space="preserve">Hellstern, R., Park, D.C., Lemieux, V. &amp; Salimjan, G. 2022, 'Leveraging blockchain-based archival solutions for sensitive documentation: A Xinjiang case study', </w:t>
      </w:r>
      <w:r>
        <w:rPr>
          <w:rFonts w:ascii="Times New Roman" w:cs="Times New Roman" w:eastAsia="Times New Roman" w:hAnsi="Times New Roman"/>
          <w:i/>
          <w:iCs/>
          <w:sz w:val="18"/>
          <w:szCs w:val="18"/>
        </w:rPr>
        <w:t xml:space="preserve">Digital Society</w:t>
      </w:r>
      <w:r>
        <w:rPr>
          <w:rFonts w:ascii="Times New Roman" w:cs="Times New Roman" w:eastAsia="Times New Roman" w:hAnsi="Times New Roman"/>
          <w:sz w:val="18"/>
          <w:szCs w:val="18"/>
        </w:rPr>
        <w:t xml:space="preserve">, vol. 1, no. 1, p. 4, &lt;https://doi.org/10.1007/s44206-022-00007-1&gt;.</w:t>
      </w:r>
    </w:p>
    <w:p>
      <w:pPr>
        <w:spacing w:after="80" w:line="240"/>
        <w:ind w:left="560" w:hanging="560"/>
        <w:jc w:val="left"/>
      </w:pPr>
      <w:r>
        <w:rPr>
          <w:rFonts w:ascii="Times New Roman" w:cs="Times New Roman" w:eastAsia="Times New Roman" w:hAnsi="Times New Roman"/>
          <w:sz w:val="18"/>
          <w:szCs w:val="18"/>
        </w:rPr>
        <w:t xml:space="preserve">Hema, S., Reddy, G.B.S. &amp; Shalini, R. 2026, 'Patient centric cryptographic protection of cloud electronic health records', </w:t>
      </w:r>
      <w:r>
        <w:rPr>
          <w:rFonts w:ascii="Times New Roman" w:cs="Times New Roman" w:eastAsia="Times New Roman" w:hAnsi="Times New Roman"/>
          <w:i/>
          <w:iCs/>
          <w:sz w:val="18"/>
          <w:szCs w:val="18"/>
        </w:rPr>
        <w:t xml:space="preserve">2026 6th International Conference on Expert Clouds and Applications (ICOECA)</w:t>
      </w:r>
      <w:r>
        <w:rPr>
          <w:rFonts w:ascii="Times New Roman" w:cs="Times New Roman" w:eastAsia="Times New Roman" w:hAnsi="Times New Roman"/>
          <w:sz w:val="18"/>
          <w:szCs w:val="18"/>
        </w:rPr>
        <w:t xml:space="preserve">, pp. 293–300, &lt;https://doi.org/10.1109/ICOECA68095.2026.11485301&gt;.</w:t>
      </w:r>
    </w:p>
    <w:p>
      <w:pPr>
        <w:spacing w:after="80" w:line="240"/>
        <w:ind w:left="560" w:hanging="560"/>
        <w:jc w:val="left"/>
      </w:pPr>
      <w:r>
        <w:rPr>
          <w:rFonts w:ascii="Times New Roman" w:cs="Times New Roman" w:eastAsia="Times New Roman" w:hAnsi="Times New Roman"/>
          <w:sz w:val="18"/>
          <w:szCs w:val="18"/>
        </w:rPr>
        <w:t xml:space="preserve">HL7 International 2019, </w:t>
      </w:r>
      <w:r>
        <w:rPr>
          <w:rFonts w:ascii="Times New Roman" w:cs="Times New Roman" w:eastAsia="Times New Roman" w:hAnsi="Times New Roman"/>
          <w:i/>
          <w:iCs/>
          <w:sz w:val="18"/>
          <w:szCs w:val="18"/>
        </w:rPr>
        <w:t xml:space="preserve">HL7 FHIR Release 4 (R4)</w:t>
      </w:r>
      <w:r>
        <w:rPr>
          <w:rFonts w:ascii="Times New Roman" w:cs="Times New Roman" w:eastAsia="Times New Roman" w:hAnsi="Times New Roman"/>
          <w:sz w:val="18"/>
          <w:szCs w:val="18"/>
        </w:rPr>
        <w:t xml:space="preserve">, viewed 7 October 2026, &lt;https://hl7.org/fhir/R4/&gt;.</w:t>
      </w:r>
    </w:p>
    <w:p>
      <w:pPr>
        <w:spacing w:after="80" w:line="240"/>
        <w:ind w:left="560" w:hanging="560"/>
        <w:jc w:val="left"/>
      </w:pPr>
      <w:r>
        <w:rPr>
          <w:rFonts w:ascii="Times New Roman" w:cs="Times New Roman" w:eastAsia="Times New Roman" w:hAnsi="Times New Roman"/>
          <w:color w:val="00B0F0"/>
          <w:sz w:val="18"/>
          <w:szCs w:val="18"/>
        </w:rPr>
        <w:t xml:space="preserve">Ibrahim, A.M., Abdel-Aziz, H.R., Mohamed, H.A.H., Zaghamir, D.E.F., Wahba, N.M.I., Hassan, G.A. et al. 2024, 'Balancing confidentiality and care coordination: Challenges in patient privacy', </w:t>
      </w:r>
      <w:r>
        <w:rPr>
          <w:rFonts w:ascii="Times New Roman" w:cs="Times New Roman" w:eastAsia="Times New Roman" w:hAnsi="Times New Roman"/>
          <w:i/>
          <w:iCs/>
          <w:color w:val="00B0F0"/>
          <w:sz w:val="18"/>
          <w:szCs w:val="18"/>
        </w:rPr>
        <w:t xml:space="preserve">BMC Nursing</w:t>
      </w:r>
      <w:r>
        <w:rPr>
          <w:rFonts w:ascii="Times New Roman" w:cs="Times New Roman" w:eastAsia="Times New Roman" w:hAnsi="Times New Roman"/>
          <w:color w:val="00B0F0"/>
          <w:sz w:val="18"/>
          <w:szCs w:val="18"/>
        </w:rPr>
        <w:t xml:space="preserve">, vol. 23, no. 1, p. 564, &lt;https://doi.org/10.1186/s12912-024-02231-1&gt;.</w:t>
      </w:r>
    </w:p>
    <w:p>
      <w:pPr>
        <w:spacing w:after="80" w:line="240"/>
        <w:ind w:left="560" w:hanging="560"/>
        <w:jc w:val="left"/>
      </w:pPr>
      <w:r>
        <w:rPr>
          <w:rFonts w:ascii="Times New Roman" w:cs="Times New Roman" w:eastAsia="Times New Roman" w:hAnsi="Times New Roman"/>
          <w:sz w:val="18"/>
          <w:szCs w:val="18"/>
        </w:rPr>
        <w:t xml:space="preserve">iden3 2026a, </w:t>
      </w:r>
      <w:r>
        <w:rPr>
          <w:rFonts w:ascii="Times New Roman" w:cs="Times New Roman" w:eastAsia="Times New Roman" w:hAnsi="Times New Roman"/>
          <w:i/>
          <w:iCs/>
          <w:sz w:val="18"/>
          <w:szCs w:val="18"/>
        </w:rPr>
        <w:t xml:space="preserve">snarkjs: zkSNARK implementation in JavaScript and WASM</w:t>
      </w:r>
      <w:r>
        <w:rPr>
          <w:rFonts w:ascii="Times New Roman" w:cs="Times New Roman" w:eastAsia="Times New Roman" w:hAnsi="Times New Roman"/>
          <w:sz w:val="18"/>
          <w:szCs w:val="18"/>
        </w:rPr>
        <w:t xml:space="preserve">, viewed 7 October 2026, &lt;https://github.com/iden3/snarkjs&gt;.</w:t>
      </w:r>
    </w:p>
    <w:p>
      <w:pPr>
        <w:spacing w:after="80" w:line="240"/>
        <w:ind w:left="560" w:hanging="560"/>
        <w:jc w:val="left"/>
      </w:pPr>
      <w:r>
        <w:rPr>
          <w:rFonts w:ascii="Times New Roman" w:cs="Times New Roman" w:eastAsia="Times New Roman" w:hAnsi="Times New Roman"/>
          <w:sz w:val="18"/>
          <w:szCs w:val="18"/>
        </w:rPr>
        <w:t xml:space="preserve">iden3 2026b, </w:t>
      </w:r>
      <w:r>
        <w:rPr>
          <w:rFonts w:ascii="Times New Roman" w:cs="Times New Roman" w:eastAsia="Times New Roman" w:hAnsi="Times New Roman"/>
          <w:i/>
          <w:iCs/>
          <w:sz w:val="18"/>
          <w:szCs w:val="18"/>
        </w:rPr>
        <w:t xml:space="preserve">circom: circuit compiler for zero-knowledge proofs</w:t>
      </w:r>
      <w:r>
        <w:rPr>
          <w:rFonts w:ascii="Times New Roman" w:cs="Times New Roman" w:eastAsia="Times New Roman" w:hAnsi="Times New Roman"/>
          <w:sz w:val="18"/>
          <w:szCs w:val="18"/>
        </w:rPr>
        <w:t xml:space="preserve">, viewed 7 October 2026, &lt;https://docs.circom.io/&gt;.</w:t>
      </w:r>
    </w:p>
    <w:p>
      <w:pPr>
        <w:spacing w:after="80" w:line="240"/>
        <w:ind w:left="560" w:hanging="560"/>
        <w:jc w:val="left"/>
      </w:pPr>
      <w:r>
        <w:rPr>
          <w:rFonts w:ascii="Times New Roman" w:cs="Times New Roman" w:eastAsia="Times New Roman" w:hAnsi="Times New Roman"/>
          <w:sz w:val="18"/>
          <w:szCs w:val="18"/>
        </w:rPr>
        <w:t xml:space="preserve">Jaiman, V. &amp; Urovi, V. 2020, 'A consent model for blockchain-based health data sharing platforms',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143734–143745, &lt;https://doi.org/10.1109/ACCESS.2020.3014565&gt;.</w:t>
      </w:r>
    </w:p>
    <w:p>
      <w:pPr>
        <w:spacing w:after="80" w:line="240"/>
        <w:ind w:left="560" w:hanging="560"/>
        <w:jc w:val="left"/>
      </w:pPr>
      <w:r>
        <w:rPr>
          <w:rFonts w:ascii="Times New Roman" w:cs="Times New Roman" w:eastAsia="Times New Roman" w:hAnsi="Times New Roman"/>
          <w:sz w:val="18"/>
          <w:szCs w:val="18"/>
        </w:rPr>
        <w:t xml:space="preserve">Jesus, V. &amp; Pandit, H.J. 2022, 'Consent receipts for a usable and auditable web of personal data',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28545–28563, &lt;https://doi.org/10.1109/ACCESS.2022.3157850&gt;.</w:t>
      </w:r>
    </w:p>
    <w:p>
      <w:pPr>
        <w:spacing w:after="80" w:line="240"/>
        <w:ind w:left="560" w:hanging="560"/>
        <w:jc w:val="left"/>
      </w:pPr>
      <w:r>
        <w:rPr>
          <w:rFonts w:ascii="Times New Roman" w:cs="Times New Roman" w:eastAsia="Times New Roman" w:hAnsi="Times New Roman"/>
          <w:sz w:val="18"/>
          <w:szCs w:val="18"/>
        </w:rPr>
        <w:t xml:space="preserve">Jiang, R., Chen, X., Yu, Y., Zhang, Y. &amp; Ding, W. 2023, 'Risk and UCON-based access control model for healthcare big data', </w:t>
      </w:r>
      <w:r>
        <w:rPr>
          <w:rFonts w:ascii="Times New Roman" w:cs="Times New Roman" w:eastAsia="Times New Roman" w:hAnsi="Times New Roman"/>
          <w:i/>
          <w:iCs/>
          <w:sz w:val="18"/>
          <w:szCs w:val="18"/>
        </w:rPr>
        <w:t xml:space="preserve">Journal of Big Data</w:t>
      </w:r>
      <w:r>
        <w:rPr>
          <w:rFonts w:ascii="Times New Roman" w:cs="Times New Roman" w:eastAsia="Times New Roman" w:hAnsi="Times New Roman"/>
          <w:sz w:val="18"/>
          <w:szCs w:val="18"/>
        </w:rPr>
        <w:t xml:space="preserve">, vol. 10, no. 1, p. 104, &lt;https://doi.org/10.1186/s40537-023-00783-8&gt;.</w:t>
      </w:r>
    </w:p>
    <w:p>
      <w:pPr>
        <w:spacing w:after="80" w:line="240"/>
        <w:ind w:left="560" w:hanging="560"/>
        <w:jc w:val="left"/>
      </w:pPr>
      <w:r>
        <w:rPr>
          <w:rFonts w:ascii="Times New Roman" w:cs="Times New Roman" w:eastAsia="Times New Roman" w:hAnsi="Times New Roman"/>
          <w:sz w:val="18"/>
          <w:szCs w:val="18"/>
        </w:rPr>
        <w:t xml:space="preserve">Kaplow, K., Downey, M., Stewart, D., Massie, A.B., Motter, J.D., Taylor, L. et al. 2024, 'Data professionals’ attitudes on data privacy, sharing, and consent in healthcare and research', </w:t>
      </w:r>
      <w:r>
        <w:rPr>
          <w:rFonts w:ascii="Times New Roman" w:cs="Times New Roman" w:eastAsia="Times New Roman" w:hAnsi="Times New Roman"/>
          <w:i/>
          <w:iCs/>
          <w:sz w:val="18"/>
          <w:szCs w:val="18"/>
        </w:rPr>
        <w:t xml:space="preserve">Digital Health</w:t>
      </w:r>
      <w:r>
        <w:rPr>
          <w:rFonts w:ascii="Times New Roman" w:cs="Times New Roman" w:eastAsia="Times New Roman" w:hAnsi="Times New Roman"/>
          <w:sz w:val="18"/>
          <w:szCs w:val="18"/>
        </w:rPr>
        <w:t xml:space="preserve">, vol. 10, p. 20552076241290964, &lt;https://doi.org/10.1177/20552076241290964&gt;.</w:t>
      </w:r>
    </w:p>
    <w:p>
      <w:pPr>
        <w:spacing w:after="80" w:line="240"/>
        <w:ind w:left="560" w:hanging="560"/>
        <w:jc w:val="left"/>
      </w:pPr>
      <w:r>
        <w:rPr>
          <w:rFonts w:ascii="Times New Roman" w:cs="Times New Roman" w:eastAsia="Times New Roman" w:hAnsi="Times New Roman"/>
          <w:color w:val="00B0F0"/>
          <w:sz w:val="18"/>
          <w:szCs w:val="18"/>
        </w:rPr>
        <w:t xml:space="preserve">Khalid, M.I., Ahmed, M., Helfert, M. &amp; Kim, J. 2023, 'Privacy-first paradigm for dynamic consent management systems: Empowering data subjects through decentralized data controllers and privacy-preserving techniques', </w:t>
      </w:r>
      <w:r>
        <w:rPr>
          <w:rFonts w:ascii="Times New Roman" w:cs="Times New Roman" w:eastAsia="Times New Roman" w:hAnsi="Times New Roman"/>
          <w:i/>
          <w:iCs/>
          <w:color w:val="00B0F0"/>
          <w:sz w:val="18"/>
          <w:szCs w:val="18"/>
        </w:rPr>
        <w:t xml:space="preserve">Electronics</w:t>
      </w:r>
      <w:r>
        <w:rPr>
          <w:rFonts w:ascii="Times New Roman" w:cs="Times New Roman" w:eastAsia="Times New Roman" w:hAnsi="Times New Roman"/>
          <w:color w:val="00B0F0"/>
          <w:sz w:val="18"/>
          <w:szCs w:val="18"/>
        </w:rPr>
        <w:t xml:space="preserve">, vol. 12, no. 24, p. 4973, &lt;https://doi.org/10.3390/electronics12244973&gt;.</w:t>
      </w:r>
    </w:p>
    <w:p>
      <w:pPr>
        <w:spacing w:after="80" w:line="240"/>
        <w:ind w:left="560" w:hanging="560"/>
        <w:jc w:val="left"/>
      </w:pPr>
      <w:r>
        <w:rPr>
          <w:rFonts w:ascii="Times New Roman" w:cs="Times New Roman" w:eastAsia="Times New Roman" w:hAnsi="Times New Roman"/>
          <w:color w:val="00B0F0"/>
          <w:sz w:val="18"/>
          <w:szCs w:val="18"/>
        </w:rPr>
        <w:t xml:space="preserve">Kharlamov, A., Hohmann, R. &amp; Parry, G. 2023, 'Data sharing decisions: Perceptions and intentions in healthcare', </w:t>
      </w:r>
      <w:r>
        <w:rPr>
          <w:rFonts w:ascii="Times New Roman" w:cs="Times New Roman" w:eastAsia="Times New Roman" w:hAnsi="Times New Roman"/>
          <w:i/>
          <w:iCs/>
          <w:color w:val="00B0F0"/>
          <w:sz w:val="18"/>
          <w:szCs w:val="18"/>
        </w:rPr>
        <w:t xml:space="preserve">Strategic Change</w:t>
      </w:r>
      <w:r>
        <w:rPr>
          <w:rFonts w:ascii="Times New Roman" w:cs="Times New Roman" w:eastAsia="Times New Roman" w:hAnsi="Times New Roman"/>
          <w:color w:val="00B0F0"/>
          <w:sz w:val="18"/>
          <w:szCs w:val="18"/>
        </w:rPr>
        <w:t xml:space="preserve">, vol. 32, no. 6, pp. 223–237, &lt;https://doi.org/10.1002/jsc.2558&gt;.</w:t>
      </w:r>
    </w:p>
    <w:p>
      <w:pPr>
        <w:spacing w:after="80" w:line="240"/>
        <w:ind w:left="560" w:hanging="560"/>
        <w:jc w:val="left"/>
      </w:pPr>
      <w:r>
        <w:rPr>
          <w:rFonts w:ascii="Times New Roman" w:cs="Times New Roman" w:eastAsia="Times New Roman" w:hAnsi="Times New Roman"/>
          <w:sz w:val="18"/>
          <w:szCs w:val="18"/>
        </w:rPr>
        <w:t xml:space="preserve">Khayer, B., Mirzaei, S., Alavizadeh, H. &amp; Salehi Shahraki, A. 2025, 'Blockchain for secure IoT: A review of identity management, access control, and trust mechanisms', </w:t>
      </w:r>
      <w:r>
        <w:rPr>
          <w:rFonts w:ascii="Times New Roman" w:cs="Times New Roman" w:eastAsia="Times New Roman" w:hAnsi="Times New Roman"/>
          <w:i/>
          <w:iCs/>
          <w:sz w:val="18"/>
          <w:szCs w:val="18"/>
        </w:rPr>
        <w:t xml:space="preserve">IoT</w:t>
      </w:r>
      <w:r>
        <w:rPr>
          <w:rFonts w:ascii="Times New Roman" w:cs="Times New Roman" w:eastAsia="Times New Roman" w:hAnsi="Times New Roman"/>
          <w:sz w:val="18"/>
          <w:szCs w:val="18"/>
        </w:rPr>
        <w:t xml:space="preserve">, vol. 6, no. 4, p. 65, &lt;https://doi.org/10.3390/iot6040065&gt;.</w:t>
      </w:r>
    </w:p>
    <w:p>
      <w:pPr>
        <w:spacing w:after="80" w:line="240"/>
        <w:ind w:left="560" w:hanging="560"/>
        <w:jc w:val="left"/>
      </w:pPr>
      <w:r>
        <w:rPr>
          <w:rFonts w:ascii="Times New Roman" w:cs="Times New Roman" w:eastAsia="Times New Roman" w:hAnsi="Times New Roman"/>
          <w:sz w:val="18"/>
          <w:szCs w:val="18"/>
        </w:rPr>
        <w:t xml:space="preserve">Li, L., Liu, C.Z. &amp; Shrestha, S. 2026, 'Analytical entropy approach for measuring blockchain immutability and tamper-resilient trust', </w:t>
      </w:r>
      <w:r>
        <w:rPr>
          <w:rFonts w:ascii="Times New Roman" w:cs="Times New Roman" w:eastAsia="Times New Roman" w:hAnsi="Times New Roman"/>
          <w:i/>
          <w:iCs/>
          <w:sz w:val="18"/>
          <w:szCs w:val="18"/>
        </w:rPr>
        <w:t xml:space="preserve">Entropy</w:t>
      </w:r>
      <w:r>
        <w:rPr>
          <w:rFonts w:ascii="Times New Roman" w:cs="Times New Roman" w:eastAsia="Times New Roman" w:hAnsi="Times New Roman"/>
          <w:sz w:val="18"/>
          <w:szCs w:val="18"/>
        </w:rPr>
        <w:t xml:space="preserve">, vol. 28, no. 6, p. 690, &lt;https://doi.org/10.3390/e28060690&gt;.</w:t>
      </w:r>
    </w:p>
    <w:p>
      <w:pPr>
        <w:spacing w:after="80" w:line="240"/>
        <w:ind w:left="560" w:hanging="560"/>
        <w:jc w:val="left"/>
      </w:pPr>
      <w:r>
        <w:rPr>
          <w:rFonts w:ascii="Times New Roman" w:cs="Times New Roman" w:eastAsia="Times New Roman" w:hAnsi="Times New Roman"/>
          <w:sz w:val="18"/>
          <w:szCs w:val="18"/>
        </w:rPr>
        <w:t xml:space="preserve">Li, H., Li, D., Lv, G., Crespi, N., Minerva, R., Shao, W. et al. 2026a, 'Privacy-preserving fine-grained EMR access control for IoMT: A hybrid RBAC-smart contract scheme with attribute-based authorization',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2, pp. 2970–2987, &lt;https://doi.org/10.1109/JIOT.2025.3633504&gt;.</w:t>
      </w:r>
    </w:p>
    <w:p>
      <w:pPr>
        <w:spacing w:after="80" w:line="240"/>
        <w:ind w:left="560" w:hanging="560"/>
        <w:jc w:val="left"/>
      </w:pPr>
      <w:r>
        <w:rPr>
          <w:rFonts w:ascii="Times New Roman" w:cs="Times New Roman" w:eastAsia="Times New Roman" w:hAnsi="Times New Roman"/>
          <w:sz w:val="18"/>
          <w:szCs w:val="18"/>
        </w:rPr>
        <w:t xml:space="preserve">Li, L., Liu, C.Z., Huang, K., Deng, R., Alrowaily, M.A., Alghamdi, M. et al. 2026b, 'Trust-aware environmental state consensus for smart agriculture with TEE-enabled sensing and Byzantine-resilient blockchain coordination',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26, no. 14, p. 4577, &lt;https://doi.org/10.3390/s26144577&gt;.</w:t>
      </w:r>
    </w:p>
    <w:p>
      <w:pPr>
        <w:spacing w:after="80" w:line="240"/>
        <w:ind w:left="560" w:hanging="560"/>
        <w:jc w:val="left"/>
      </w:pPr>
      <w:r>
        <w:rPr>
          <w:rFonts w:ascii="Times New Roman" w:cs="Times New Roman" w:eastAsia="Times New Roman" w:hAnsi="Times New Roman"/>
          <w:sz w:val="18"/>
          <w:szCs w:val="18"/>
        </w:rPr>
        <w:t xml:space="preserve">Lomotey, R.K., Kumi, S. &amp; Deters, R. 2022, 'Data trusts as a service: Providing a platform for multi-party data sharing', </w:t>
      </w:r>
      <w:r>
        <w:rPr>
          <w:rFonts w:ascii="Times New Roman" w:cs="Times New Roman" w:eastAsia="Times New Roman" w:hAnsi="Times New Roman"/>
          <w:i/>
          <w:iCs/>
          <w:sz w:val="18"/>
          <w:szCs w:val="18"/>
        </w:rPr>
        <w:t xml:space="preserve">International Journal of Information Management Data Insights</w:t>
      </w:r>
      <w:r>
        <w:rPr>
          <w:rFonts w:ascii="Times New Roman" w:cs="Times New Roman" w:eastAsia="Times New Roman" w:hAnsi="Times New Roman"/>
          <w:sz w:val="18"/>
          <w:szCs w:val="18"/>
        </w:rPr>
        <w:t xml:space="preserve">, vol. 2, no. 1, p. 100075, &lt;https://doi.org/10.1016/j.jjimei.2022.100075&gt;.</w:t>
      </w:r>
    </w:p>
    <w:p>
      <w:pPr>
        <w:spacing w:after="80" w:line="240"/>
        <w:ind w:left="560" w:hanging="560"/>
        <w:jc w:val="left"/>
      </w:pPr>
      <w:r>
        <w:rPr>
          <w:rFonts w:ascii="Times New Roman" w:cs="Times New Roman" w:eastAsia="Times New Roman" w:hAnsi="Times New Roman"/>
          <w:sz w:val="18"/>
          <w:szCs w:val="18"/>
        </w:rPr>
        <w:t xml:space="preserve">Madine, M.M., Salah, K., Jayaraman, R., Yaqoob, I., Al-Hammadi, Y., Ellahham, S. et al. 2020, 'Fully decentralized multi-party consent management for secure sharing of patient health records',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225777–225791, &lt;https://doi.org/10.1109/ACCESS.2020.3045048&gt;.</w:t>
      </w:r>
    </w:p>
    <w:p>
      <w:pPr>
        <w:spacing w:after="80" w:line="240"/>
        <w:ind w:left="560" w:hanging="560"/>
        <w:jc w:val="left"/>
      </w:pPr>
      <w:r>
        <w:rPr>
          <w:rFonts w:ascii="Times New Roman" w:cs="Times New Roman" w:eastAsia="Times New Roman" w:hAnsi="Times New Roman"/>
          <w:sz w:val="18"/>
          <w:szCs w:val="18"/>
        </w:rPr>
        <w:t xml:space="preserve">Maruthi, V. &amp; Singh, K. 2025, 'Enhancing security and privacy of IoMT data for unconscious patient with blockchain', </w:t>
      </w:r>
      <w:r>
        <w:rPr>
          <w:rFonts w:ascii="Times New Roman" w:cs="Times New Roman" w:eastAsia="Times New Roman" w:hAnsi="Times New Roman"/>
          <w:i/>
          <w:iCs/>
          <w:sz w:val="18"/>
          <w:szCs w:val="18"/>
        </w:rPr>
        <w:t xml:space="preserve">IEEE Transactions on Network and Service Management</w:t>
      </w:r>
      <w:r>
        <w:rPr>
          <w:rFonts w:ascii="Times New Roman" w:cs="Times New Roman" w:eastAsia="Times New Roman" w:hAnsi="Times New Roman"/>
          <w:sz w:val="18"/>
          <w:szCs w:val="18"/>
        </w:rPr>
        <w:t xml:space="preserve">, vol. 22, no. 6, pp. 5223–5238, &lt;https://doi.org/10.1109/TNSM.2025.3602117&gt;.</w:t>
      </w:r>
    </w:p>
    <w:p>
      <w:pPr>
        <w:spacing w:after="80" w:line="240"/>
        <w:ind w:left="560" w:hanging="560"/>
        <w:jc w:val="left"/>
      </w:pPr>
      <w:r>
        <w:rPr>
          <w:rFonts w:ascii="Times New Roman" w:cs="Times New Roman" w:eastAsia="Times New Roman" w:hAnsi="Times New Roman"/>
          <w:sz w:val="18"/>
          <w:szCs w:val="18"/>
        </w:rPr>
        <w:t xml:space="preserve">Mazzocca, C., Acar, A., Uluagac, A.S., Montanari, R., Bellavista, P. &amp; Conti, M. 2025, 'A survey on decentralized identifiers and verifiable credentials',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27, no. 6, pp. 3641–3671, &lt;https://doi.org/10.1109/COMST.2025.3543197&gt;.</w:t>
      </w:r>
    </w:p>
    <w:p>
      <w:pPr>
        <w:spacing w:after="80" w:line="240"/>
        <w:ind w:left="560" w:hanging="560"/>
        <w:jc w:val="left"/>
      </w:pPr>
      <w:r>
        <w:rPr>
          <w:rFonts w:ascii="Times New Roman" w:cs="Times New Roman" w:eastAsia="Times New Roman" w:hAnsi="Times New Roman"/>
          <w:sz w:val="18"/>
          <w:szCs w:val="18"/>
        </w:rPr>
        <w:t xml:space="preserve">McClelland, R. &amp; Harper, C.M. 2023, 'Information privacy in healthcare — the vital role of informed consent', </w:t>
      </w:r>
      <w:r>
        <w:rPr>
          <w:rFonts w:ascii="Times New Roman" w:cs="Times New Roman" w:eastAsia="Times New Roman" w:hAnsi="Times New Roman"/>
          <w:i/>
          <w:iCs/>
          <w:sz w:val="18"/>
          <w:szCs w:val="18"/>
        </w:rPr>
        <w:t xml:space="preserve">European Journal of Health Law</w:t>
      </w:r>
      <w:r>
        <w:rPr>
          <w:rFonts w:ascii="Times New Roman" w:cs="Times New Roman" w:eastAsia="Times New Roman" w:hAnsi="Times New Roman"/>
          <w:sz w:val="18"/>
          <w:szCs w:val="18"/>
        </w:rPr>
        <w:t xml:space="preserve">, vol. 30, no. 4, pp. 469–480, &lt;https://doi.org/10.1163/15718093-bja10097&gt;.</w:t>
      </w:r>
    </w:p>
    <w:p>
      <w:pPr>
        <w:spacing w:after="80" w:line="240"/>
        <w:ind w:left="560" w:hanging="560"/>
        <w:jc w:val="left"/>
      </w:pPr>
      <w:r>
        <w:rPr>
          <w:rFonts w:ascii="Times New Roman" w:cs="Times New Roman" w:eastAsia="Times New Roman" w:hAnsi="Times New Roman"/>
          <w:sz w:val="18"/>
          <w:szCs w:val="18"/>
        </w:rPr>
        <w:t xml:space="preserve">Mei, L., Huang, K., Li, X., Wang, H. &amp; Zhang, X. 2026, 'Efficient dual-revocation CP-ABE for secure and fine-grained data sharing in IoMT',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14, pp. 30933–30940, &lt;https://doi.org/10.1109/JIOT.2026.3685269&gt;.</w:t>
      </w:r>
    </w:p>
    <w:p>
      <w:pPr>
        <w:spacing w:after="80" w:line="240"/>
        <w:ind w:left="560" w:hanging="560"/>
        <w:jc w:val="left"/>
      </w:pPr>
      <w:r>
        <w:rPr>
          <w:rFonts w:ascii="Times New Roman" w:cs="Times New Roman" w:eastAsia="Times New Roman" w:hAnsi="Times New Roman"/>
          <w:color w:val="00B0F0"/>
          <w:sz w:val="18"/>
          <w:szCs w:val="18"/>
        </w:rPr>
        <w:t xml:space="preserve">Ménétrey, J., Göttel, C., Khurshid, A., Pasin, M., Felber, P., Schiavoni, V. et al. 2022, 'Attestation mechanisms for trusted execution environments demystified', </w:t>
      </w:r>
      <w:r>
        <w:rPr>
          <w:rFonts w:ascii="Times New Roman" w:cs="Times New Roman" w:eastAsia="Times New Roman" w:hAnsi="Times New Roman"/>
          <w:i/>
          <w:iCs/>
          <w:color w:val="00B0F0"/>
          <w:sz w:val="18"/>
          <w:szCs w:val="18"/>
        </w:rPr>
        <w:t xml:space="preserve">IFIP International Conference on Distributed Applications and Interoperable Systems (DAIS 2022), LNCS</w:t>
      </w:r>
      <w:r>
        <w:rPr>
          <w:rFonts w:ascii="Times New Roman" w:cs="Times New Roman" w:eastAsia="Times New Roman" w:hAnsi="Times New Roman"/>
          <w:color w:val="00B0F0"/>
          <w:sz w:val="18"/>
          <w:szCs w:val="18"/>
        </w:rPr>
        <w:t xml:space="preserve">, vol. 13272, pp. 95–113, Springer, &lt;https://doi.org/10.1007/978-3-031-16092-9_7&gt;.</w:t>
      </w:r>
    </w:p>
    <w:p>
      <w:pPr>
        <w:spacing w:after="80" w:line="240"/>
        <w:ind w:left="560" w:hanging="560"/>
        <w:jc w:val="left"/>
      </w:pPr>
      <w:r>
        <w:rPr>
          <w:rFonts w:ascii="Times New Roman" w:cs="Times New Roman" w:eastAsia="Times New Roman" w:hAnsi="Times New Roman"/>
          <w:sz w:val="18"/>
          <w:szCs w:val="18"/>
        </w:rPr>
        <w:t xml:space="preserve">Narkhede, M.R., Wankhede, N.I. &amp; Kamble, A.M. 2025, 'Enhancing patient autonomy in data ownership: Privacy models and consent frameworks for healthcare', </w:t>
      </w:r>
      <w:r>
        <w:rPr>
          <w:rFonts w:ascii="Times New Roman" w:cs="Times New Roman" w:eastAsia="Times New Roman" w:hAnsi="Times New Roman"/>
          <w:i/>
          <w:iCs/>
          <w:sz w:val="18"/>
          <w:szCs w:val="18"/>
        </w:rPr>
        <w:t xml:space="preserve">Journal of Digital Health</w:t>
      </w:r>
      <w:r>
        <w:rPr>
          <w:rFonts w:ascii="Times New Roman" w:cs="Times New Roman" w:eastAsia="Times New Roman" w:hAnsi="Times New Roman"/>
          <w:sz w:val="18"/>
          <w:szCs w:val="18"/>
        </w:rPr>
        <w:t xml:space="preserve">, vol. 4, no. 1, pp. 1–23, &lt;https://doi.org/10.55976/jdh.4202513361-23&gt;.</w:t>
      </w:r>
    </w:p>
    <w:p>
      <w:pPr>
        <w:spacing w:after="80" w:line="240"/>
        <w:ind w:left="560" w:hanging="560"/>
        <w:jc w:val="left"/>
      </w:pPr>
      <w:r>
        <w:rPr>
          <w:rFonts w:ascii="Times New Roman" w:cs="Times New Roman" w:eastAsia="Times New Roman" w:hAnsi="Times New Roman"/>
          <w:sz w:val="18"/>
          <w:szCs w:val="18"/>
        </w:rPr>
        <w:t xml:space="preserve">Nassar Kyriakidou, C.D., Papathanasiou, A.M. &amp; Polyzos, G.C. 2023, 'Decentralized identity with applications to security and privacy for the internet of things', </w:t>
      </w:r>
      <w:r>
        <w:rPr>
          <w:rFonts w:ascii="Times New Roman" w:cs="Times New Roman" w:eastAsia="Times New Roman" w:hAnsi="Times New Roman"/>
          <w:i/>
          <w:iCs/>
          <w:sz w:val="18"/>
          <w:szCs w:val="18"/>
        </w:rPr>
        <w:t xml:space="preserve">Computer Networks and Communications</w:t>
      </w:r>
      <w:r>
        <w:rPr>
          <w:rFonts w:ascii="Times New Roman" w:cs="Times New Roman" w:eastAsia="Times New Roman" w:hAnsi="Times New Roman"/>
          <w:sz w:val="18"/>
          <w:szCs w:val="18"/>
        </w:rPr>
        <w:t xml:space="preserve">, vol. 1, no. 2, pp. 244–271, &lt;https://doi.org/10.37256/cnc.1220233048&gt;.</w:t>
      </w:r>
    </w:p>
    <w:p>
      <w:pPr>
        <w:spacing w:after="80" w:line="240"/>
        <w:ind w:left="560" w:hanging="560"/>
        <w:jc w:val="left"/>
      </w:pPr>
      <w:r>
        <w:rPr>
          <w:rFonts w:ascii="Times New Roman" w:cs="Times New Roman" w:eastAsia="Times New Roman" w:hAnsi="Times New Roman"/>
          <w:sz w:val="18"/>
          <w:szCs w:val="18"/>
        </w:rPr>
        <w:t xml:space="preserve">Nazir, A., Rehmani, M.H., Butler, B. &amp; O’Shea, D. 2026, 'Access control in healthcare IoT: A comprehensive survey', </w:t>
      </w:r>
      <w:r>
        <w:rPr>
          <w:rFonts w:ascii="Times New Roman" w:cs="Times New Roman" w:eastAsia="Times New Roman" w:hAnsi="Times New Roman"/>
          <w:i/>
          <w:iCs/>
          <w:sz w:val="18"/>
          <w:szCs w:val="18"/>
        </w:rPr>
        <w:t xml:space="preserve">Engineering Reports</w:t>
      </w:r>
      <w:r>
        <w:rPr>
          <w:rFonts w:ascii="Times New Roman" w:cs="Times New Roman" w:eastAsia="Times New Roman" w:hAnsi="Times New Roman"/>
          <w:sz w:val="18"/>
          <w:szCs w:val="18"/>
        </w:rPr>
        <w:t xml:space="preserve">, vol. 8, no. 4, p. e70766, &lt;https://doi.org/10.1002/eng2.70766&gt;.</w:t>
      </w:r>
    </w:p>
    <w:p>
      <w:pPr>
        <w:spacing w:after="80" w:line="240"/>
        <w:ind w:left="560" w:hanging="560"/>
        <w:jc w:val="left"/>
      </w:pPr>
      <w:r>
        <w:rPr>
          <w:rFonts w:ascii="Times New Roman" w:cs="Times New Roman" w:eastAsia="Times New Roman" w:hAnsi="Times New Roman"/>
          <w:color w:val="00B0F0"/>
          <w:sz w:val="18"/>
          <w:szCs w:val="18"/>
        </w:rPr>
        <w:t xml:space="preserve">Nguyen, T.L., Nguyen, L., Hoang, T., Bandara, D., Wang, Q., Lu, Q. et al. 2025, 'Blockchain-empowered trustworthy data sharing: Fundamentals, applications, and challenges', </w:t>
      </w:r>
      <w:r>
        <w:rPr>
          <w:rFonts w:ascii="Times New Roman" w:cs="Times New Roman" w:eastAsia="Times New Roman" w:hAnsi="Times New Roman"/>
          <w:i/>
          <w:iCs/>
          <w:color w:val="00B0F0"/>
          <w:sz w:val="18"/>
          <w:szCs w:val="18"/>
        </w:rPr>
        <w:t xml:space="preserve">ACM Computing Surveys</w:t>
      </w:r>
      <w:r>
        <w:rPr>
          <w:rFonts w:ascii="Times New Roman" w:cs="Times New Roman" w:eastAsia="Times New Roman" w:hAnsi="Times New Roman"/>
          <w:color w:val="00B0F0"/>
          <w:sz w:val="18"/>
          <w:szCs w:val="18"/>
        </w:rPr>
        <w:t xml:space="preserve">, vol. 57, no. 8, p. 195, &lt;https://doi.org/10.1145/3718082&gt;.</w:t>
      </w:r>
    </w:p>
    <w:p>
      <w:pPr>
        <w:spacing w:after="80" w:line="240"/>
        <w:ind w:left="560" w:hanging="560"/>
        <w:jc w:val="left"/>
      </w:pPr>
      <w:r>
        <w:rPr>
          <w:rFonts w:ascii="Times New Roman" w:cs="Times New Roman" w:eastAsia="Times New Roman" w:hAnsi="Times New Roman"/>
          <w:color w:val="00B0F0"/>
          <w:sz w:val="18"/>
          <w:szCs w:val="18"/>
        </w:rPr>
        <w:t xml:space="preserve">Page, M.J., McKenzie, J.E., Bossuyt, P.M., Boutron, I., Hoffmann, T.C., Mulrow, C.D. et al. 2021, 'The PRISMA 2020 statement: An updated guideline for reporting systematic reviews', </w:t>
      </w:r>
      <w:r>
        <w:rPr>
          <w:rFonts w:ascii="Times New Roman" w:cs="Times New Roman" w:eastAsia="Times New Roman" w:hAnsi="Times New Roman"/>
          <w:i/>
          <w:iCs/>
          <w:color w:val="00B0F0"/>
          <w:sz w:val="18"/>
          <w:szCs w:val="18"/>
        </w:rPr>
        <w:t xml:space="preserve">BMJ</w:t>
      </w:r>
      <w:r>
        <w:rPr>
          <w:rFonts w:ascii="Times New Roman" w:cs="Times New Roman" w:eastAsia="Times New Roman" w:hAnsi="Times New Roman"/>
          <w:color w:val="00B0F0"/>
          <w:sz w:val="18"/>
          <w:szCs w:val="18"/>
        </w:rPr>
        <w:t xml:space="preserve">, vol. 372, p. n71, &lt;https://doi.org/10.1136/bmj.n71&gt;.</w:t>
      </w:r>
    </w:p>
    <w:p>
      <w:pPr>
        <w:spacing w:after="80" w:line="240"/>
        <w:ind w:left="560" w:hanging="560"/>
        <w:jc w:val="left"/>
      </w:pPr>
      <w:r>
        <w:rPr>
          <w:rFonts w:ascii="Times New Roman" w:cs="Times New Roman" w:eastAsia="Times New Roman" w:hAnsi="Times New Roman"/>
          <w:sz w:val="18"/>
          <w:szCs w:val="18"/>
        </w:rPr>
        <w:t xml:space="preserve">Panagoulias, D.P., Damian, A.I., Stamate, C., Toderian, V., Butusina, P., De Franceschi, A. et al. 2026, 'Blockchain-enabled trust and compliance for clinical AI: Decentralized governance without decentralized data storage',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15, no. 14, p. 3046, &lt;https://doi.org/10.3390/electronics15143046&gt;.</w:t>
      </w:r>
    </w:p>
    <w:p>
      <w:pPr>
        <w:spacing w:after="80" w:line="240"/>
        <w:ind w:left="560" w:hanging="560"/>
        <w:jc w:val="left"/>
      </w:pPr>
      <w:r>
        <w:rPr>
          <w:rFonts w:ascii="Times New Roman" w:cs="Times New Roman" w:eastAsia="Times New Roman" w:hAnsi="Times New Roman"/>
          <w:sz w:val="18"/>
          <w:szCs w:val="18"/>
        </w:rPr>
        <w:t xml:space="preserve">Parameswarath, R.P., Gope, P. &amp; Sikdar, B. 2022, 'User-empowered privacy-preserving authentication protocol for electric vehicle charging based on decentralized identity and verifiable credential', </w:t>
      </w:r>
      <w:r>
        <w:rPr>
          <w:rFonts w:ascii="Times New Roman" w:cs="Times New Roman" w:eastAsia="Times New Roman" w:hAnsi="Times New Roman"/>
          <w:i/>
          <w:iCs/>
          <w:sz w:val="18"/>
          <w:szCs w:val="18"/>
        </w:rPr>
        <w:t xml:space="preserve">ACM Transactions on Management Information Systems</w:t>
      </w:r>
      <w:r>
        <w:rPr>
          <w:rFonts w:ascii="Times New Roman" w:cs="Times New Roman" w:eastAsia="Times New Roman" w:hAnsi="Times New Roman"/>
          <w:sz w:val="18"/>
          <w:szCs w:val="18"/>
        </w:rPr>
        <w:t xml:space="preserve">, vol. 13, no. 4, p. 44, &lt;https://doi.org/10.1145/3532869&gt;.</w:t>
      </w:r>
    </w:p>
    <w:p>
      <w:pPr>
        <w:spacing w:after="80" w:line="240"/>
        <w:ind w:left="560" w:hanging="560"/>
        <w:jc w:val="left"/>
      </w:pPr>
      <w:r>
        <w:rPr>
          <w:rFonts w:ascii="Times New Roman" w:cs="Times New Roman" w:eastAsia="Times New Roman" w:hAnsi="Times New Roman"/>
          <w:color w:val="00B0F0"/>
          <w:sz w:val="18"/>
          <w:szCs w:val="18"/>
        </w:rPr>
        <w:t xml:space="preserve">Phuyal, S., Bhandari, M., Bista, R. &amp; Ferreira, J.C. 2026a, 'A blockchain-based architecture for dynamic and auditable patient consent in secondary use of health data', </w:t>
      </w:r>
      <w:r>
        <w:rPr>
          <w:rFonts w:ascii="Times New Roman" w:cs="Times New Roman" w:eastAsia="Times New Roman" w:hAnsi="Times New Roman"/>
          <w:i/>
          <w:iCs/>
          <w:color w:val="00B0F0"/>
          <w:sz w:val="18"/>
          <w:szCs w:val="18"/>
        </w:rPr>
        <w:t xml:space="preserve">Blockchain in Healthcare Today</w:t>
      </w:r>
      <w:r>
        <w:rPr>
          <w:rFonts w:ascii="Times New Roman" w:cs="Times New Roman" w:eastAsia="Times New Roman" w:hAnsi="Times New Roman"/>
          <w:color w:val="00B0F0"/>
          <w:sz w:val="18"/>
          <w:szCs w:val="18"/>
        </w:rPr>
        <w:t xml:space="preserve">, vol. 9, no. 1, p. 491, &lt;https://doi.org/10.30953/bhty.v9.491&gt;.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2026b, 'Enabling cross-institution health data sharing in Norway: EUDI wallets, on-chain consent, and openEHR↔FHIR translation',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20309–20327, &lt;https://doi.org/10.1109/ACCESS.2026.3661642&gt;.</w:t>
      </w:r>
    </w:p>
    <w:p>
      <w:pPr>
        <w:spacing w:after="80" w:line="240"/>
        <w:ind w:left="560" w:hanging="560"/>
        <w:jc w:val="left"/>
      </w:pPr>
      <w:r>
        <w:rPr>
          <w:rFonts w:ascii="Times New Roman" w:cs="Times New Roman" w:eastAsia="Times New Roman" w:hAnsi="Times New Roman"/>
          <w:sz w:val="18"/>
          <w:szCs w:val="18"/>
        </w:rPr>
        <w:t xml:space="preserve">Prashanth, M.S., Karnati, R., Velpuru, M.S. &amp; Venkateshwara Reddy, H. 2024, 'Enhancing health record security and privacy with blockchain-based access management', </w:t>
      </w:r>
      <w:r>
        <w:rPr>
          <w:rFonts w:ascii="Times New Roman" w:cs="Times New Roman" w:eastAsia="Times New Roman" w:hAnsi="Times New Roman"/>
          <w:i/>
          <w:iCs/>
          <w:sz w:val="18"/>
          <w:szCs w:val="18"/>
        </w:rPr>
        <w:t xml:space="preserve">Pervasive Knowledge and Collective Intelligence on Web and Social Media (PerSOM 2023), LNICST</w:t>
      </w:r>
      <w:r>
        <w:rPr>
          <w:rFonts w:ascii="Times New Roman" w:cs="Times New Roman" w:eastAsia="Times New Roman" w:hAnsi="Times New Roman"/>
          <w:sz w:val="18"/>
          <w:szCs w:val="18"/>
        </w:rPr>
        <w:t xml:space="preserve">, vol. 517, pp. 182–202, Springer, &lt;https://doi.org/10.1007/978-3-031-66044-3_13&gt;.</w:t>
      </w:r>
    </w:p>
    <w:p>
      <w:pPr>
        <w:spacing w:after="80" w:line="240"/>
        <w:ind w:left="560" w:hanging="560"/>
        <w:jc w:val="left"/>
      </w:pPr>
      <w:r>
        <w:rPr>
          <w:rFonts w:ascii="Times New Roman" w:cs="Times New Roman" w:eastAsia="Times New Roman" w:hAnsi="Times New Roman"/>
          <w:color w:val="00B0F0"/>
          <w:sz w:val="18"/>
          <w:szCs w:val="18"/>
        </w:rPr>
        <w:t xml:space="preserve">Punia, A., Gulia, P., Gill, N.S., Kaushik, D., Alduaiji, N., Shukla, P.K. et al. 2025, 'An access control system for cloud-based healthcare systems driven by blockchain', </w:t>
      </w:r>
      <w:r>
        <w:rPr>
          <w:rFonts w:ascii="Times New Roman" w:cs="Times New Roman" w:eastAsia="Times New Roman" w:hAnsi="Times New Roman"/>
          <w:i/>
          <w:iCs/>
          <w:color w:val="00B0F0"/>
          <w:sz w:val="18"/>
          <w:szCs w:val="18"/>
        </w:rPr>
        <w:t xml:space="preserve">Journal of Cloud Computing</w:t>
      </w:r>
      <w:r>
        <w:rPr>
          <w:rFonts w:ascii="Times New Roman" w:cs="Times New Roman" w:eastAsia="Times New Roman" w:hAnsi="Times New Roman"/>
          <w:color w:val="00B0F0"/>
          <w:sz w:val="18"/>
          <w:szCs w:val="18"/>
        </w:rPr>
        <w:t xml:space="preserve">, vol. 14, no. 1, p. 78, &lt;https://doi.org/10.1186/s13677-025-00831-z&gt;.</w:t>
      </w:r>
    </w:p>
    <w:p>
      <w:pPr>
        <w:spacing w:after="80" w:line="240"/>
        <w:ind w:left="560" w:hanging="560"/>
        <w:jc w:val="left"/>
      </w:pPr>
      <w:r>
        <w:rPr>
          <w:rFonts w:ascii="Times New Roman" w:cs="Times New Roman" w:eastAsia="Times New Roman" w:hAnsi="Times New Roman"/>
          <w:sz w:val="18"/>
          <w:szCs w:val="18"/>
        </w:rPr>
        <w:t xml:space="preserve">Román-Martínez, I., Calvillo-Arbizu, J., Mayor-Gallego, V.J., Madinabeitia-Luque, G., Estepa-Alonso, A.J. &amp; Estepa-Alonso, R.M. 2023, 'Blockchain-based service-oriented architecture for consent management, access control, and auditing',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11, pp. 12727–12741, &lt;https://doi.org/10.1109/ACCESS.2023.3242605&gt;.</w:t>
      </w:r>
    </w:p>
    <w:p>
      <w:pPr>
        <w:spacing w:after="80" w:line="240"/>
        <w:ind w:left="560" w:hanging="560"/>
        <w:jc w:val="left"/>
      </w:pPr>
      <w:r>
        <w:rPr>
          <w:rFonts w:ascii="Times New Roman" w:cs="Times New Roman" w:eastAsia="Times New Roman" w:hAnsi="Times New Roman"/>
          <w:color w:val="00B0F0"/>
          <w:sz w:val="18"/>
          <w:szCs w:val="18"/>
        </w:rPr>
        <w:t xml:space="preserve">Sawant, N.M. &amp; Gomes, J. 2026, 'A decentralized solution for smarter and safer healthcare systems with FabricMedChain', </w:t>
      </w:r>
      <w:r>
        <w:rPr>
          <w:rFonts w:ascii="Times New Roman" w:cs="Times New Roman" w:eastAsia="Times New Roman" w:hAnsi="Times New Roman"/>
          <w:i/>
          <w:iCs/>
          <w:color w:val="00B0F0"/>
          <w:sz w:val="18"/>
          <w:szCs w:val="18"/>
        </w:rPr>
        <w:t xml:space="preserve">Iranian Journal of Science and Technology, Transactions of Electrical Engineering</w:t>
      </w:r>
      <w:r>
        <w:rPr>
          <w:rFonts w:ascii="Times New Roman" w:cs="Times New Roman" w:eastAsia="Times New Roman" w:hAnsi="Times New Roman"/>
          <w:color w:val="00B0F0"/>
          <w:sz w:val="18"/>
          <w:szCs w:val="18"/>
        </w:rPr>
        <w:t xml:space="preserve">, vol. 50, pp. 2843–2869, &lt;https://doi.org/10.1007/s40998-025-00994-0&gt;.</w:t>
      </w:r>
    </w:p>
    <w:p>
      <w:pPr>
        <w:spacing w:after="80" w:line="240"/>
        <w:ind w:left="560" w:hanging="560"/>
        <w:jc w:val="left"/>
      </w:pPr>
      <w:r>
        <w:rPr>
          <w:rFonts w:ascii="Times New Roman" w:cs="Times New Roman" w:eastAsia="Times New Roman" w:hAnsi="Times New Roman"/>
          <w:color w:val="00B0F0"/>
          <w:sz w:val="18"/>
          <w:szCs w:val="18"/>
        </w:rPr>
        <w:t xml:space="preserve">Shanmugham, M. &amp; Senthilkumar, C. 2026, 'Blockchain enabled self-sovereign identity and consent framework for secure healthcare data access', </w:t>
      </w:r>
      <w:r>
        <w:rPr>
          <w:rFonts w:ascii="Times New Roman" w:cs="Times New Roman" w:eastAsia="Times New Roman" w:hAnsi="Times New Roman"/>
          <w:i/>
          <w:iCs/>
          <w:color w:val="00B0F0"/>
          <w:sz w:val="18"/>
          <w:szCs w:val="18"/>
        </w:rPr>
        <w:t xml:space="preserve">2026 3rd International Conference on Emerging Trends in Engineering and Medical Sciences (ICETEMS)</w:t>
      </w:r>
      <w:r>
        <w:rPr>
          <w:rFonts w:ascii="Times New Roman" w:cs="Times New Roman" w:eastAsia="Times New Roman" w:hAnsi="Times New Roman"/>
          <w:color w:val="00B0F0"/>
          <w:sz w:val="18"/>
          <w:szCs w:val="18"/>
        </w:rPr>
        <w:t xml:space="preserve">, pp. 1–6, &lt;https://doi.org/10.1109/ICETEMS66917.2026.11469586&gt;.</w:t>
      </w:r>
    </w:p>
    <w:p>
      <w:pPr>
        <w:spacing w:after="80" w:line="240"/>
        <w:ind w:left="560" w:hanging="560"/>
        <w:jc w:val="left"/>
      </w:pPr>
      <w:r>
        <w:rPr>
          <w:rFonts w:ascii="Times New Roman" w:cs="Times New Roman" w:eastAsia="Times New Roman" w:hAnsi="Times New Roman"/>
          <w:color w:val="00B0F0"/>
          <w:sz w:val="18"/>
          <w:szCs w:val="18"/>
        </w:rPr>
        <w:t xml:space="preserve">SooHoo, S.L., Keller, M.S., Chen, Y., Hu, D., Huang, S.-C., Kuo, T.-T. et al. 2026, 'Development of the authentication and authorization processes for the iAgree portal, a platform for patient-controlled data sharing across health systems', </w:t>
      </w:r>
      <w:r>
        <w:rPr>
          <w:rFonts w:ascii="Times New Roman" w:cs="Times New Roman" w:eastAsia="Times New Roman" w:hAnsi="Times New Roman"/>
          <w:i/>
          <w:iCs/>
          <w:color w:val="00B0F0"/>
          <w:sz w:val="18"/>
          <w:szCs w:val="18"/>
        </w:rPr>
        <w:t xml:space="preserve">JAMIA Open</w:t>
      </w:r>
      <w:r>
        <w:rPr>
          <w:rFonts w:ascii="Times New Roman" w:cs="Times New Roman" w:eastAsia="Times New Roman" w:hAnsi="Times New Roman"/>
          <w:color w:val="00B0F0"/>
          <w:sz w:val="18"/>
          <w:szCs w:val="18"/>
        </w:rPr>
        <w:t xml:space="preserve">, vol. 9, no. 3, p. ooag111, &lt;https://doi.org/10.1093/jamiaopen/ooag111&gt;.</w:t>
      </w:r>
    </w:p>
    <w:p>
      <w:pPr>
        <w:spacing w:after="80" w:line="240"/>
        <w:ind w:left="560" w:hanging="560"/>
        <w:jc w:val="left"/>
      </w:pPr>
      <w:r>
        <w:rPr>
          <w:rFonts w:ascii="Times New Roman" w:cs="Times New Roman" w:eastAsia="Times New Roman" w:hAnsi="Times New Roman"/>
          <w:sz w:val="18"/>
          <w:szCs w:val="18"/>
        </w:rPr>
        <w:t xml:space="preserve">Tan, K.-L., Chi, C.-H. &amp; Lam, K.-Y. 2024, 'Secure and privacy-preserving sharing of personal health records with multi-party pre-authorization verification', </w:t>
      </w:r>
      <w:r>
        <w:rPr>
          <w:rFonts w:ascii="Times New Roman" w:cs="Times New Roman" w:eastAsia="Times New Roman" w:hAnsi="Times New Roman"/>
          <w:i/>
          <w:iCs/>
          <w:sz w:val="18"/>
          <w:szCs w:val="18"/>
        </w:rPr>
        <w:t xml:space="preserve">Wireless Networks</w:t>
      </w:r>
      <w:r>
        <w:rPr>
          <w:rFonts w:ascii="Times New Roman" w:cs="Times New Roman" w:eastAsia="Times New Roman" w:hAnsi="Times New Roman"/>
          <w:sz w:val="18"/>
          <w:szCs w:val="18"/>
        </w:rPr>
        <w:t xml:space="preserve">, vol. 30, no. 4, pp. 4773–4795, &lt;https://doi.org/10.1007/s11276-022-03114-6&gt;.</w:t>
      </w:r>
    </w:p>
    <w:p>
      <w:pPr>
        <w:spacing w:after="80" w:line="240"/>
        <w:ind w:left="560" w:hanging="560"/>
        <w:jc w:val="left"/>
      </w:pPr>
      <w:r>
        <w:rPr>
          <w:rFonts w:ascii="Times New Roman" w:cs="Times New Roman" w:eastAsia="Times New Roman" w:hAnsi="Times New Roman"/>
          <w:color w:val="00B0F0"/>
          <w:sz w:val="18"/>
          <w:szCs w:val="18"/>
        </w:rPr>
        <w:t xml:space="preserve">Tawfik, A.M., Al-Ahwal, A., Tag Eldien, A.S. &amp; Zayed, H.H. 2025, 'Blockchain-based access control and privacy preservation in healthcare: A comprehensive survey', </w:t>
      </w:r>
      <w:r>
        <w:rPr>
          <w:rFonts w:ascii="Times New Roman" w:cs="Times New Roman" w:eastAsia="Times New Roman" w:hAnsi="Times New Roman"/>
          <w:i/>
          <w:iCs/>
          <w:color w:val="00B0F0"/>
          <w:sz w:val="18"/>
          <w:szCs w:val="18"/>
        </w:rPr>
        <w:t xml:space="preserve">Cluster Computing</w:t>
      </w:r>
      <w:r>
        <w:rPr>
          <w:rFonts w:ascii="Times New Roman" w:cs="Times New Roman" w:eastAsia="Times New Roman" w:hAnsi="Times New Roman"/>
          <w:color w:val="00B0F0"/>
          <w:sz w:val="18"/>
          <w:szCs w:val="18"/>
        </w:rPr>
        <w:t xml:space="preserve">, vol. 28, p. 529, &lt;https://doi.org/10.1007/s10586-025-05308-x&gt;.</w:t>
      </w:r>
    </w:p>
    <w:p>
      <w:pPr>
        <w:spacing w:after="80" w:line="240"/>
        <w:ind w:left="560" w:hanging="560"/>
        <w:jc w:val="left"/>
      </w:pPr>
      <w:r>
        <w:rPr>
          <w:rFonts w:ascii="Times New Roman" w:cs="Times New Roman" w:eastAsia="Times New Roman" w:hAnsi="Times New Roman"/>
          <w:sz w:val="18"/>
          <w:szCs w:val="18"/>
        </w:rPr>
        <w:t xml:space="preserve">Teeda, A. &amp; Subba Rao, Y.V. 2026, 'A patient-centric blockchain based electronic health records for data privacy and confidentiality', </w:t>
      </w:r>
      <w:r>
        <w:rPr>
          <w:rFonts w:ascii="Times New Roman" w:cs="Times New Roman" w:eastAsia="Times New Roman" w:hAnsi="Times New Roman"/>
          <w:i/>
          <w:iCs/>
          <w:sz w:val="18"/>
          <w:szCs w:val="18"/>
        </w:rPr>
        <w:t xml:space="preserve">International Conference on Smart Computing and Informatics, LNNS</w:t>
      </w:r>
      <w:r>
        <w:rPr>
          <w:rFonts w:ascii="Times New Roman" w:cs="Times New Roman" w:eastAsia="Times New Roman" w:hAnsi="Times New Roman"/>
          <w:sz w:val="18"/>
          <w:szCs w:val="18"/>
        </w:rPr>
        <w:t xml:space="preserve">, vol. 1684, pp. 179–192, Springer, &lt;https://doi.org/10.1007/978-3-032-08246-6_15&gt;.</w:t>
      </w:r>
    </w:p>
    <w:p>
      <w:pPr>
        <w:spacing w:after="80" w:line="240"/>
        <w:ind w:left="560" w:hanging="560"/>
        <w:jc w:val="left"/>
      </w:pPr>
      <w:r>
        <w:rPr>
          <w:rFonts w:ascii="Times New Roman" w:cs="Times New Roman" w:eastAsia="Times New Roman" w:hAnsi="Times New Roman"/>
          <w:sz w:val="18"/>
          <w:szCs w:val="18"/>
        </w:rPr>
        <w:t xml:space="preserve">Theodorakopoulos, L., Theodoropoulou, A. &amp; Halkiopoulos, C. 2024, 'Enhancing decentralized decision-making with big data and blockchain technology: A comprehensive review', </w:t>
      </w:r>
      <w:r>
        <w:rPr>
          <w:rFonts w:ascii="Times New Roman" w:cs="Times New Roman" w:eastAsia="Times New Roman" w:hAnsi="Times New Roman"/>
          <w:i/>
          <w:iCs/>
          <w:sz w:val="18"/>
          <w:szCs w:val="18"/>
        </w:rPr>
        <w:t xml:space="preserve">Applied Sciences</w:t>
      </w:r>
      <w:r>
        <w:rPr>
          <w:rFonts w:ascii="Times New Roman" w:cs="Times New Roman" w:eastAsia="Times New Roman" w:hAnsi="Times New Roman"/>
          <w:sz w:val="18"/>
          <w:szCs w:val="18"/>
        </w:rPr>
        <w:t xml:space="preserve">, vol. 14, no. 16, p. 7007, &lt;https://doi.org/10.3390/app14167007&gt;.</w:t>
      </w:r>
    </w:p>
    <w:p>
      <w:pPr>
        <w:spacing w:after="80" w:line="240"/>
        <w:ind w:left="560" w:hanging="560"/>
        <w:jc w:val="left"/>
      </w:pPr>
      <w:r>
        <w:rPr>
          <w:rFonts w:ascii="Times New Roman" w:cs="Times New Roman" w:eastAsia="Times New Roman" w:hAnsi="Times New Roman"/>
          <w:sz w:val="18"/>
          <w:szCs w:val="18"/>
        </w:rPr>
        <w:t xml:space="preserve">Tith, D., Lee, J.-S., Suzuki, H., Wijesundara, W.M.A.B., Taira, N., Obi, T. et al. 2020, 'Patient consent management by a purpose-based consent model for electronic health record based on blockchain technology', </w:t>
      </w:r>
      <w:r>
        <w:rPr>
          <w:rFonts w:ascii="Times New Roman" w:cs="Times New Roman" w:eastAsia="Times New Roman" w:hAnsi="Times New Roman"/>
          <w:i/>
          <w:iCs/>
          <w:sz w:val="18"/>
          <w:szCs w:val="18"/>
        </w:rPr>
        <w:t xml:space="preserve">Healthcare Informatics Research</w:t>
      </w:r>
      <w:r>
        <w:rPr>
          <w:rFonts w:ascii="Times New Roman" w:cs="Times New Roman" w:eastAsia="Times New Roman" w:hAnsi="Times New Roman"/>
          <w:sz w:val="18"/>
          <w:szCs w:val="18"/>
        </w:rPr>
        <w:t xml:space="preserve">, vol. 26, no. 4, pp. 265–273, &lt;https://doi.org/10.4258/hir.2020.26.4.265&gt;.</w:t>
      </w:r>
    </w:p>
    <w:p>
      <w:pPr>
        <w:spacing w:after="80" w:line="240"/>
        <w:ind w:left="560" w:hanging="560"/>
        <w:jc w:val="left"/>
      </w:pPr>
      <w:r>
        <w:rPr>
          <w:rFonts w:ascii="Times New Roman" w:cs="Times New Roman" w:eastAsia="Times New Roman" w:hAnsi="Times New Roman"/>
          <w:sz w:val="18"/>
          <w:szCs w:val="18"/>
        </w:rPr>
        <w:t xml:space="preserve">Tremper, G., Brenner, T., Ben Amor, M., Kussel, T. &amp; Lablans, M. 2026, 'Mainzelliste: Ten years of pseudonymization, record linkage, and informed consent management', </w:t>
      </w:r>
      <w:r>
        <w:rPr>
          <w:rFonts w:ascii="Times New Roman" w:cs="Times New Roman" w:eastAsia="Times New Roman" w:hAnsi="Times New Roman"/>
          <w:i/>
          <w:iCs/>
          <w:sz w:val="18"/>
          <w:szCs w:val="18"/>
        </w:rPr>
        <w:t xml:space="preserve">Patterns</w:t>
      </w:r>
      <w:r>
        <w:rPr>
          <w:rFonts w:ascii="Times New Roman" w:cs="Times New Roman" w:eastAsia="Times New Roman" w:hAnsi="Times New Roman"/>
          <w:sz w:val="18"/>
          <w:szCs w:val="18"/>
        </w:rPr>
        <w:t xml:space="preserve">, vol. 7, no. 1, p. 101432, &lt;https://doi.org/10.1016/j.patter.2025.101432&gt;.</w:t>
      </w:r>
    </w:p>
    <w:p>
      <w:pPr>
        <w:spacing w:after="80" w:line="240"/>
        <w:ind w:left="560" w:hanging="560"/>
        <w:jc w:val="left"/>
      </w:pPr>
      <w:r>
        <w:rPr>
          <w:rFonts w:ascii="Times New Roman" w:cs="Times New Roman" w:eastAsia="Times New Roman" w:hAnsi="Times New Roman"/>
          <w:sz w:val="18"/>
          <w:szCs w:val="18"/>
        </w:rPr>
        <w:t xml:space="preserve">Tseng, C.-H., Hsieh, Y.-H., Lin, H.-Y. &amp; Yuan, S.-M. 2025, 'EMR-Chain: Decentralized electronic medical record exchange system', </w:t>
      </w:r>
      <w:r>
        <w:rPr>
          <w:rFonts w:ascii="Times New Roman" w:cs="Times New Roman" w:eastAsia="Times New Roman" w:hAnsi="Times New Roman"/>
          <w:i/>
          <w:iCs/>
          <w:sz w:val="18"/>
          <w:szCs w:val="18"/>
        </w:rPr>
        <w:t xml:space="preserve">Technologies</w:t>
      </w:r>
      <w:r>
        <w:rPr>
          <w:rFonts w:ascii="Times New Roman" w:cs="Times New Roman" w:eastAsia="Times New Roman" w:hAnsi="Times New Roman"/>
          <w:sz w:val="18"/>
          <w:szCs w:val="18"/>
        </w:rPr>
        <w:t xml:space="preserve">, vol. 13, no. 10, p. 446, &lt;https://doi.org/10.3390/technologies13100446&gt;.</w:t>
      </w:r>
    </w:p>
    <w:p>
      <w:pPr>
        <w:spacing w:after="80" w:line="240"/>
        <w:ind w:left="560" w:hanging="560"/>
        <w:jc w:val="left"/>
      </w:pPr>
      <w:r>
        <w:rPr>
          <w:rFonts w:ascii="Times New Roman" w:cs="Times New Roman" w:eastAsia="Times New Roman" w:hAnsi="Times New Roman"/>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rFonts w:ascii="Times New Roman" w:cs="Times New Roman" w:eastAsia="Times New Roman" w:hAnsi="Times New Roman"/>
          <w:i/>
          <w:iCs/>
          <w:sz w:val="18"/>
          <w:szCs w:val="18"/>
        </w:rPr>
        <w:t xml:space="preserve">Nata Palemahan: Journal of Environmental Engineering Innovations</w:t>
      </w:r>
      <w:r>
        <w:rPr>
          <w:rFonts w:ascii="Times New Roman" w:cs="Times New Roman" w:eastAsia="Times New Roman" w:hAnsi="Times New Roman"/>
          <w:sz w:val="18"/>
          <w:szCs w:val="18"/>
        </w:rPr>
        <w:t xml:space="preserve">, vol. 2, no. 2, pp. 70–79, &lt;https://doi.org/10.38043/natapalemahan.v2i2.6996&gt;.</w:t>
      </w:r>
    </w:p>
    <w:p>
      <w:pPr>
        <w:spacing w:after="80" w:line="240"/>
        <w:ind w:left="560" w:hanging="560"/>
        <w:jc w:val="left"/>
      </w:pPr>
      <w:r>
        <w:rPr>
          <w:rFonts w:ascii="Times New Roman" w:cs="Times New Roman" w:eastAsia="Times New Roman" w:hAnsi="Times New Roman"/>
          <w:sz w:val="18"/>
          <w:szCs w:val="18"/>
        </w:rPr>
        <w:t xml:space="preserve">Walonoski, J., Kramer, M., Nichols, J., Quina, A., Moesel, C., Hall, D. et al. 2018, 'Synthea: An approach, method, and software mechanism for generating synthetic patients and the synthetic electronic health care record', </w:t>
      </w:r>
      <w:r>
        <w:rPr>
          <w:rFonts w:ascii="Times New Roman" w:cs="Times New Roman" w:eastAsia="Times New Roman" w:hAnsi="Times New Roman"/>
          <w:i/>
          <w:iCs/>
          <w:sz w:val="18"/>
          <w:szCs w:val="18"/>
        </w:rPr>
        <w:t xml:space="preserve">Journal of the American Medical Informatics Association</w:t>
      </w:r>
      <w:r>
        <w:rPr>
          <w:rFonts w:ascii="Times New Roman" w:cs="Times New Roman" w:eastAsia="Times New Roman" w:hAnsi="Times New Roman"/>
          <w:sz w:val="18"/>
          <w:szCs w:val="18"/>
        </w:rPr>
        <w:t xml:space="preserve">, vol. 25, no. 3, pp. 230–238, &lt;https://doi.org/10.1093/jamia/ocx079&gt;.</w:t>
      </w:r>
    </w:p>
    <w:p>
      <w:pPr>
        <w:spacing w:after="80" w:line="240"/>
        <w:ind w:left="560" w:hanging="560"/>
        <w:jc w:val="left"/>
      </w:pPr>
      <w:r>
        <w:rPr>
          <w:rFonts w:ascii="Times New Roman" w:cs="Times New Roman" w:eastAsia="Times New Roman" w:hAnsi="Times New Roman"/>
          <w:sz w:val="18"/>
          <w:szCs w:val="18"/>
        </w:rPr>
        <w:t xml:space="preserve">Webber, E.C., Brick, D., Scibilia, J.P., Dehnel, P., Council on Clinical Information Technology et al. 2019, 'Electronic communication of the health record and information with pediatric patients and their guardians', </w:t>
      </w:r>
      <w:r>
        <w:rPr>
          <w:rFonts w:ascii="Times New Roman" w:cs="Times New Roman" w:eastAsia="Times New Roman" w:hAnsi="Times New Roman"/>
          <w:i/>
          <w:iCs/>
          <w:sz w:val="18"/>
          <w:szCs w:val="18"/>
        </w:rPr>
        <w:t xml:space="preserve">Pediatrics</w:t>
      </w:r>
      <w:r>
        <w:rPr>
          <w:rFonts w:ascii="Times New Roman" w:cs="Times New Roman" w:eastAsia="Times New Roman" w:hAnsi="Times New Roman"/>
          <w:sz w:val="18"/>
          <w:szCs w:val="18"/>
        </w:rPr>
        <w:t xml:space="preserve">, vol. 144, no. 1, p. e20191359, &lt;https://doi.org/10.1542/peds.2019-1359&gt;.</w:t>
      </w:r>
    </w:p>
    <w:p>
      <w:pPr>
        <w:spacing w:after="80" w:line="240"/>
        <w:ind w:left="560" w:hanging="560"/>
        <w:jc w:val="left"/>
      </w:pPr>
      <w:r>
        <w:rPr>
          <w:rFonts w:ascii="Times New Roman" w:cs="Times New Roman" w:eastAsia="Times New Roman" w:hAnsi="Times New Roman"/>
          <w:sz w:val="18"/>
          <w:szCs w:val="18"/>
        </w:rPr>
        <w:t xml:space="preserve">Welzel, C., Ostermann, M., Smith, H.L., Minssen, T., Kirsten, T. &amp; Gilbert, S. 2025, 'Enabling secure and self determined health data sharing and consent management', </w:t>
      </w:r>
      <w:r>
        <w:rPr>
          <w:rFonts w:ascii="Times New Roman" w:cs="Times New Roman" w:eastAsia="Times New Roman" w:hAnsi="Times New Roman"/>
          <w:i/>
          <w:iCs/>
          <w:sz w:val="18"/>
          <w:szCs w:val="18"/>
        </w:rPr>
        <w:t xml:space="preserve">npj Digital Medicine</w:t>
      </w:r>
      <w:r>
        <w:rPr>
          <w:rFonts w:ascii="Times New Roman" w:cs="Times New Roman" w:eastAsia="Times New Roman" w:hAnsi="Times New Roman"/>
          <w:sz w:val="18"/>
          <w:szCs w:val="18"/>
        </w:rPr>
        <w:t xml:space="preserve">, vol. 8, no. 1, p. 560, &lt;https://doi.org/10.1038/s41746-025-01945-z&gt;.</w:t>
      </w:r>
    </w:p>
    <w:p>
      <w:pPr>
        <w:spacing w:after="80" w:line="240"/>
        <w:ind w:left="560" w:hanging="560"/>
        <w:jc w:val="left"/>
      </w:pPr>
      <w:r>
        <w:rPr>
          <w:rFonts w:ascii="Times New Roman" w:cs="Times New Roman" w:eastAsia="Times New Roman" w:hAnsi="Times New Roman"/>
          <w:sz w:val="18"/>
          <w:szCs w:val="18"/>
        </w:rPr>
        <w:t xml:space="preserve">Wood, G. 2014, </w:t>
      </w:r>
      <w:r>
        <w:rPr>
          <w:rFonts w:ascii="Times New Roman" w:cs="Times New Roman" w:eastAsia="Times New Roman" w:hAnsi="Times New Roman"/>
          <w:i/>
          <w:iCs/>
          <w:sz w:val="18"/>
          <w:szCs w:val="18"/>
        </w:rPr>
        <w:t xml:space="preserve">Ethereum: A secure decentralised generalised transaction ledger</w:t>
      </w:r>
      <w:r>
        <w:rPr>
          <w:rFonts w:ascii="Times New Roman" w:cs="Times New Roman" w:eastAsia="Times New Roman" w:hAnsi="Times New Roman"/>
          <w:sz w:val="18"/>
          <w:szCs w:val="18"/>
        </w:rPr>
        <w:t xml:space="preserve">, Ethereum Project Yellow Paper, viewed 7 October 2026, &lt;https://ethereum.github.io/yellowpaper/paper.pdf&gt;.</w:t>
      </w:r>
    </w:p>
    <w:p>
      <w:pPr>
        <w:spacing w:after="80" w:line="240"/>
        <w:ind w:left="560" w:hanging="560"/>
        <w:jc w:val="left"/>
      </w:pPr>
      <w:r>
        <w:rPr>
          <w:rFonts w:ascii="Times New Roman" w:cs="Times New Roman" w:eastAsia="Times New Roman" w:hAnsi="Times New Roman"/>
          <w:color w:val="00B0F0"/>
          <w:sz w:val="18"/>
          <w:szCs w:val="18"/>
        </w:rPr>
        <w:t xml:space="preserve">Wu, Y., Liu, C., Sebald, L., Nguyen, P. &amp; Yesha, Y. 2022, 'Apply trust computing and privacy preserving smart contracts to manage, share, and analyze multi-site clinical trial data', </w:t>
      </w:r>
      <w:r>
        <w:rPr>
          <w:rFonts w:ascii="Times New Roman" w:cs="Times New Roman" w:eastAsia="Times New Roman" w:hAnsi="Times New Roman"/>
          <w:i/>
          <w:iCs/>
          <w:color w:val="00B0F0"/>
          <w:sz w:val="18"/>
          <w:szCs w:val="18"/>
        </w:rPr>
        <w:t xml:space="preserve">Proceedings of the International Conference on Deep Learning, Big Data and Blockchain (DBB 2022), LNNS</w:t>
      </w:r>
      <w:r>
        <w:rPr>
          <w:rFonts w:ascii="Times New Roman" w:cs="Times New Roman" w:eastAsia="Times New Roman" w:hAnsi="Times New Roman"/>
          <w:color w:val="00B0F0"/>
          <w:sz w:val="18"/>
          <w:szCs w:val="18"/>
        </w:rPr>
        <w:t xml:space="preserve">, vol. 541, pp. 3–14, Springer, &lt;https://doi.org/10.1007/978-3-031-16035-6_1&gt;.</w:t>
      </w:r>
    </w:p>
    <w:p>
      <w:pPr>
        <w:spacing w:after="80" w:line="240"/>
        <w:ind w:left="560" w:hanging="560"/>
        <w:jc w:val="left"/>
      </w:pPr>
      <w:r>
        <w:rPr>
          <w:rFonts w:ascii="Times New Roman" w:cs="Times New Roman" w:eastAsia="Times New Roman" w:hAnsi="Times New Roman"/>
          <w:sz w:val="18"/>
          <w:szCs w:val="18"/>
        </w:rPr>
        <w:t xml:space="preserve">Wu, Z. &amp; Zhang, D. 2025, 'HealthDID: An efficient and authorizable multi-party privacy-preserving EMR sharing system based on DID', </w:t>
      </w:r>
      <w:r>
        <w:rPr>
          <w:rFonts w:ascii="Times New Roman" w:cs="Times New Roman" w:eastAsia="Times New Roman" w:hAnsi="Times New Roman"/>
          <w:i/>
          <w:iCs/>
          <w:sz w:val="18"/>
          <w:szCs w:val="18"/>
        </w:rPr>
        <w:t xml:space="preserve">Computer Standards &amp; Interfaces</w:t>
      </w:r>
      <w:r>
        <w:rPr>
          <w:rFonts w:ascii="Times New Roman" w:cs="Times New Roman" w:eastAsia="Times New Roman" w:hAnsi="Times New Roman"/>
          <w:sz w:val="18"/>
          <w:szCs w:val="18"/>
        </w:rPr>
        <w:t xml:space="preserve">, vol. 93, p. 103967, &lt;https://doi.org/10.1016/j.csi.2024.103967&gt;.</w:t>
      </w:r>
    </w:p>
    <w:p>
      <w:pPr>
        <w:spacing w:after="80" w:line="240"/>
        <w:ind w:left="560" w:hanging="560"/>
        <w:jc w:val="left"/>
      </w:pPr>
      <w:r>
        <w:rPr>
          <w:rFonts w:ascii="Times New Roman" w:cs="Times New Roman" w:eastAsia="Times New Roman" w:hAnsi="Times New Roman"/>
          <w:sz w:val="18"/>
          <w:szCs w:val="18"/>
        </w:rPr>
        <w:t xml:space="preserve">Yin, H., Zhao, Y., Zhang, L., Qiao, B., Chen, W. &amp; Wang, H. 2024, 'Attribute-based searchable encryption with decentralized key management for healthcare data sharing', </w:t>
      </w:r>
      <w:r>
        <w:rPr>
          <w:rFonts w:ascii="Times New Roman" w:cs="Times New Roman" w:eastAsia="Times New Roman" w:hAnsi="Times New Roman"/>
          <w:i/>
          <w:iCs/>
          <w:sz w:val="18"/>
          <w:szCs w:val="18"/>
        </w:rPr>
        <w:t xml:space="preserve">Journal of Systems Architecture</w:t>
      </w:r>
      <w:r>
        <w:rPr>
          <w:rFonts w:ascii="Times New Roman" w:cs="Times New Roman" w:eastAsia="Times New Roman" w:hAnsi="Times New Roman"/>
          <w:sz w:val="18"/>
          <w:szCs w:val="18"/>
        </w:rPr>
        <w:t xml:space="preserve">, vol. 148, p. 103081, &lt;https://doi.org/10.1016/j.sysarc.2024.103081&gt;.</w:t>
      </w:r>
    </w:p>
    <w:p>
      <w:pPr>
        <w:spacing w:after="80" w:line="240"/>
        <w:ind w:left="560" w:hanging="560"/>
        <w:jc w:val="left"/>
      </w:pPr>
      <w:r>
        <w:rPr>
          <w:rFonts w:ascii="Times New Roman" w:cs="Times New Roman" w:eastAsia="Times New Roman" w:hAnsi="Times New Roman"/>
          <w:sz w:val="18"/>
          <w:szCs w:val="18"/>
        </w:rPr>
        <w:t xml:space="preserve">Yin, J., Xiao, Y., Chen, Q., Lim, Y.Z., Liu, X., Pei, Q. et al. 2025, 'DP-DID: A dynamic and proactive decentralized identity system', </w:t>
      </w:r>
      <w:r>
        <w:rPr>
          <w:rFonts w:ascii="Times New Roman" w:cs="Times New Roman" w:eastAsia="Times New Roman" w:hAnsi="Times New Roman"/>
          <w:i/>
          <w:iCs/>
          <w:sz w:val="18"/>
          <w:szCs w:val="18"/>
        </w:rPr>
        <w:t xml:space="preserve">IEEE Transactions on Information Forensics and Security</w:t>
      </w:r>
      <w:r>
        <w:rPr>
          <w:rFonts w:ascii="Times New Roman" w:cs="Times New Roman" w:eastAsia="Times New Roman" w:hAnsi="Times New Roman"/>
          <w:sz w:val="18"/>
          <w:szCs w:val="18"/>
        </w:rPr>
        <w:t xml:space="preserve">, vol. 20, pp. 4999–5014, &lt;https://doi.org/10.1109/TIFS.2025.3561662&gt;.</w:t>
      </w:r>
    </w:p>
    <w:p>
      <w:pPr>
        <w:spacing w:after="80" w:line="240"/>
        <w:ind w:left="560" w:hanging="560"/>
        <w:jc w:val="left"/>
      </w:pPr>
      <w:r>
        <w:rPr>
          <w:rFonts w:ascii="Times New Roman" w:cs="Times New Roman" w:eastAsia="Times New Roman" w:hAnsi="Times New Roman"/>
          <w:sz w:val="18"/>
          <w:szCs w:val="18"/>
        </w:rPr>
        <w:t xml:space="preserve">Zhang, L., Kan, H. &amp; Huang, H. 2022, 'Patient-centered cross-enterprise document sharing and dynamic consent framework using consortium blockchain and ciphertext-policy attribute-based encryption', </w:t>
      </w:r>
      <w:r>
        <w:rPr>
          <w:rFonts w:ascii="Times New Roman" w:cs="Times New Roman" w:eastAsia="Times New Roman" w:hAnsi="Times New Roman"/>
          <w:i/>
          <w:iCs/>
          <w:sz w:val="18"/>
          <w:szCs w:val="18"/>
        </w:rPr>
        <w:t xml:space="preserve">Proceedings of the 19th ACM International Conference on Computing Frontiers (CF ’22)</w:t>
      </w:r>
      <w:r>
        <w:rPr>
          <w:rFonts w:ascii="Times New Roman" w:cs="Times New Roman" w:eastAsia="Times New Roman" w:hAnsi="Times New Roman"/>
          <w:sz w:val="18"/>
          <w:szCs w:val="18"/>
        </w:rPr>
        <w:t xml:space="preserve">, pp. 58–66, &lt;https://doi.org/10.1145/3528416.3530228&gt;.</w:t>
      </w:r>
    </w:p>
    <w:p>
      <w:pPr>
        <w:spacing w:after="80" w:line="240"/>
        <w:ind w:left="560" w:hanging="560"/>
        <w:jc w:val="left"/>
      </w:pPr>
      <w:r>
        <w:rPr>
          <w:rFonts w:ascii="Times New Roman" w:cs="Times New Roman" w:eastAsia="Times New Roman" w:hAnsi="Times New Roman"/>
          <w:sz w:val="18"/>
          <w:szCs w:val="18"/>
        </w:rPr>
        <w:t xml:space="preserve">Zhao, J. &amp; Su, Q. 2024, 'A threshold traceable delegation authorization scheme for data sharing in healthcare', </w:t>
      </w:r>
      <w:r>
        <w:rPr>
          <w:rFonts w:ascii="Times New Roman" w:cs="Times New Roman" w:eastAsia="Times New Roman" w:hAnsi="Times New Roman"/>
          <w:i/>
          <w:iCs/>
          <w:sz w:val="18"/>
          <w:szCs w:val="18"/>
        </w:rPr>
        <w:t xml:space="preserve">Computers &amp; Security</w:t>
      </w:r>
      <w:r>
        <w:rPr>
          <w:rFonts w:ascii="Times New Roman" w:cs="Times New Roman" w:eastAsia="Times New Roman" w:hAnsi="Times New Roman"/>
          <w:sz w:val="18"/>
          <w:szCs w:val="18"/>
        </w:rPr>
        <w:t xml:space="preserve">, vol. 139, p. 103686, &lt;https://doi.org/10.1016/j.cose.2023.103686&gt;.</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39225f74fe21ad7e7b7c1673918fe98415414719.png"/><Relationship Id="rId13" Type="http://schemas.openxmlformats.org/officeDocument/2006/relationships/image" Target="media/d1fcd4c36b78c8ff5aa352939eb1f7c4d7142381.png"/><Relationship Id="rId14" Type="http://schemas.openxmlformats.org/officeDocument/2006/relationships/image" Target="media/4f75743c835265daafdcbac66f2bdd6c1034f620.png"/><Relationship Id="rId15" Type="http://schemas.openxmlformats.org/officeDocument/2006/relationships/image" Target="media/03c920405551cc59ae0ad5edcc55300e0a8ed15e.png"/><Relationship Id="rId16" Type="http://schemas.openxmlformats.org/officeDocument/2006/relationships/image" Target="media/2b20591a43c6eb19bfdab74102d4f7f1165b386f.png"/><Relationship Id="rId17" Type="http://schemas.openxmlformats.org/officeDocument/2006/relationships/image" Target="media/11081a2422bebced6d030d22f0ebf13798832173.png"/><Relationship Id="rId18" Type="http://schemas.openxmlformats.org/officeDocument/2006/relationships/image" Target="media/fc5a6be7647fd964b300798307c832eee656672b.png"/><Relationship Id="rId19" Type="http://schemas.openxmlformats.org/officeDocument/2006/relationships/image" Target="media/7ce013ee8724e8dcb1576e7f068db7f8890e5be3.png"/><Relationship Id="rId20" Type="http://schemas.openxmlformats.org/officeDocument/2006/relationships/image" Target="media/f1f163df8a47e4df987495706c8e057d78128af6.png"/><Relationship Id="rId21" Type="http://schemas.openxmlformats.org/officeDocument/2006/relationships/image" Target="media/3f71846d42f224996eb357c7ac4f2281babf68df.png"/><Relationship Id="rId22" Type="http://schemas.openxmlformats.org/officeDocument/2006/relationships/image" Target="media/2bdcc233d9d5ad41e4df5ec32cccb0f936be6fdd.png"/><Relationship Id="rId23" Type="http://schemas.openxmlformats.org/officeDocument/2006/relationships/image" Target="media/3b43f208c34e619a9b1fcd7a8da9990014f117c8.png"/><Relationship Id="rId24" Type="http://schemas.openxmlformats.org/officeDocument/2006/relationships/image" Target="media/00d6986401b6325763b2855292d411f63286ea76.png"/><Relationship Id="rId25" Type="http://schemas.openxmlformats.org/officeDocument/2006/relationships/image" Target="media/e59b5686af22a06dff9cd4bfae93b397759ea42a.png"/><Relationship Id="rId26" Type="http://schemas.openxmlformats.org/officeDocument/2006/relationships/image" Target="media/551744d4db41183fe0c9b4d913479007233462c1.png"/><Relationship Id="rId27" Type="http://schemas.openxmlformats.org/officeDocument/2006/relationships/image" Target="media/379af060121c595b8dab938b017503bf01d94543.png"/><Relationship Id="rId28" Type="http://schemas.openxmlformats.org/officeDocument/2006/relationships/image" Target="media/8b0dede8cf949138f1ca18f2a0be3b9f91a5a8b2.png"/><Relationship Id="rId29" Type="http://schemas.openxmlformats.org/officeDocument/2006/relationships/image" Target="media/f0af766d9de14575067307b6f7dccaf71ca25b88.png"/><Relationship Id="rId30" Type="http://schemas.openxmlformats.org/officeDocument/2006/relationships/image" Target="media/32a920cb8d148805391dcda55782af93c6edfd51.png"/><Relationship Id="rId31" Type="http://schemas.openxmlformats.org/officeDocument/2006/relationships/image" Target="media/06dd8d4f71199a2b46751bf3ced20974c9f60efc.png"/><Relationship Id="rId32" Type="http://schemas.openxmlformats.org/officeDocument/2006/relationships/image" Target="media/02af0444c1c6970044f0f322105756947b915768.png"/><Relationship Id="rId33" Type="http://schemas.openxmlformats.org/officeDocument/2006/relationships/image" Target="media/9cb74c21136b6eec65353d28ee54d88601225eab.png"/><Relationship Id="rId34" Type="http://schemas.openxmlformats.org/officeDocument/2006/relationships/image" Target="media/1cde75c3ba6eefdc88f22c3d35398d022b2cb38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2026-10-07T13:42:23.854Z</dcterms:created>
  <dcterms:modified xsi:type="dcterms:W3CDTF">2026-10-07T13:42:23.854Z</dcterms:modified>
</cp:coreProperties>
</file>

<file path=docProps/custom.xml><?xml version="1.0" encoding="utf-8"?>
<Properties xmlns="http://schemas.openxmlformats.org/officeDocument/2006/custom-properties" xmlns:vt="http://schemas.openxmlformats.org/officeDocument/2006/docPropsVTypes"/>
</file>