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yellow"/>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yellow"/>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yellow"/>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yellow"/>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yellow"/>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yellow"/>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yellow"/>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highlight w:val="yellow"/>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yellow"/>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yellow"/>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yellow"/>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yellow"/>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yellow"/>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yellow"/>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yellow"/>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yellow"/>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yellow"/>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yellow"/>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yellow"/>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yellow"/>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yellow"/>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yellow"/>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yellow"/>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yellow"/>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yellow"/>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yellow"/>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yellow"/>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Li et al. </w:t>
      </w:r>
      <w:r>
        <w:rPr>
          <w:rFonts w:ascii="Times New Roman" w:cs="Times New Roman" w:eastAsia="Times New Roman" w:hAnsi="Times New Roman"/>
          <w:sz w:val="22"/>
          <w:szCs w:val="22"/>
          <w:highlight w:val="yellow"/>
        </w:rPr>
        <w:t xml:space="preserve">(2026a)</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yellow"/>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r>
              <w:rPr>
                <w:rFonts w:ascii="Times New Roman" w:cs="Times New Roman" w:eastAsia="Times New Roman" w:hAnsi="Times New Roman"/>
                <w:b w:val="false"/>
                <w:bCs w:val="false"/>
                <w:sz w:val="17"/>
                <w:szCs w:val="17"/>
              </w:rPr>
              <w:t xml:space="preserve">b</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yellow"/>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yellow"/>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yellow"/>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yellow"/>
        </w:rPr>
        <w:t xml:space="preserve">(Maruthi &amp; Singh 2025; Zhao &amp; Su 2024)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rPr>
        <w:t xml:space="preserve">Madine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 full</w:t>
      </w:r>
      <w:r>
        <w:rPr>
          <w:rFonts w:ascii="Times New Roman" w:cs="Times New Roman" w:eastAsia="Times New Roman" w:hAnsi="Times New Roman"/>
          <w:sz w:val="22"/>
          <w:szCs w:val="22"/>
        </w:rPr>
        <w:t xml:space="preserve"> policy and assurance, whereas </w:t>
      </w:r>
      <w:r>
        <w:rPr>
          <w:rFonts w:ascii="Times New Roman" w:cs="Times New Roman" w:eastAsia="Times New Roman" w:hAnsi="Times New Roman"/>
          <w:sz w:val="22"/>
          <w:szCs w:val="22"/>
        </w:rPr>
        <w:t xml:space="preserve">Panagoulias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w:t>
      </w:r>
      <w:r>
        <w:rPr>
          <w:rFonts w:ascii="Times New Roman" w:cs="Times New Roman" w:eastAsia="Times New Roman" w:hAnsi="Times New Roman"/>
          <w:sz w:val="22"/>
          <w:szCs w:val="22"/>
        </w:rPr>
        <w:t xml:space="preserve"> multi-party approval and </w:t>
      </w:r>
      <w:r>
        <w:rPr>
          <w:rFonts w:ascii="Times New Roman" w:cs="Times New Roman" w:eastAsia="Times New Roman" w:hAnsi="Times New Roman"/>
          <w:sz w:val="22"/>
          <w:szCs w:val="22"/>
        </w:rPr>
        <w:t xml:space="preserve">full </w:t>
      </w:r>
      <w:r>
        <w:rPr>
          <w:rFonts w:ascii="Times New Roman" w:cs="Times New Roman" w:eastAsia="Times New Roman" w:hAnsi="Times New Roman"/>
          <w:sz w:val="22"/>
          <w:szCs w:val="22"/>
        </w:rPr>
        <w:t xml:space="preserve">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4572000" cy="22955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955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yellow"/>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yellow"/>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yellow"/>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yellow"/>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yellow"/>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yellow"/>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yellow"/>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yellow"/>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yellow"/>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w:t>
      </w:r>
      <w:r>
        <w:rPr>
          <w:rFonts w:ascii="Times New Roman" w:cs="Times New Roman" w:eastAsia="Times New Roman" w:hAnsi="Times New Roman"/>
          <w:sz w:val="22"/>
          <w:szCs w:val="22"/>
        </w:rPr>
        <w:t xml:space="preserve">anchors the Sepolia mint as a background process. A revoke transaction is sent when the patient revokes a consent, and the patient view waits for its confirmation</w:t>
      </w:r>
      <w:r>
        <w:rPr>
          <w:rFonts w:ascii="Times New Roman" w:cs="Times New Roman" w:eastAsia="Times New Roman" w:hAnsi="Times New Roman"/>
          <w:sz w:val="22"/>
          <w:szCs w:val="22"/>
        </w:rPr>
        <w:t xml:space="preserve">.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sz w:val="22"/>
          <w:szCs w:val="22"/>
        </w:rPr>
        <w:t xml:space="preserve">Figure 5.4 puts the same conditions in the order a request meets them. A DID answers who is asking, a verifiable credential and a signed approval answer what that participant may do, the threshold answers whether the guardians agreed, and the policy, temporal and jurisdictional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752975"/>
            <wp:effectExtent t="0" r="0" b="0" l="0"/>
            <wp:docPr id="1" name="F44.png" descr="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titl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7529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prototype records the decision matrix in the audit ledger only for a request evaluated against an ACTIVE consent</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w:t>
      </w:r>
      <w:r>
        <w:rPr>
          <w:rFonts w:ascii="Times New Roman" w:cs="Times New Roman" w:eastAsia="Times New Roman" w:hAnsi="Times New Roman"/>
          <w:sz w:val="22"/>
          <w:szCs w:val="22"/>
        </w:rPr>
        <w:t xml:space="preserve">guardian workflow checks the EIP-712 signature and the DID format, which stands in for VC verification in the prototype. It then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highlight w:val="yellow"/>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highlight w:val="yellow"/>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yellow"/>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w:t>
      </w:r>
      <w:r>
        <w:rPr>
          <w:rFonts w:ascii="Times New Roman" w:cs="Times New Roman" w:eastAsia="Times New Roman" w:hAnsi="Times New Roman"/>
          <w:sz w:val="22"/>
          <w:szCs w:val="22"/>
        </w:rPr>
        <w:t xml:space="preserve">Its 23 functional and regression tests check that each of the five conditions can refuse a request on its own: an invalid guardian signature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a revoked consent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 purpose that is not a supported healthcare use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 expired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a jurisdiction mismatch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The 13 adversarial tests cover a baseline and twelve attack scenarios. Among them, an approval from outside G and a repeated approval leave the consent short of the threshold, and an over-scope or empty request is refused.</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highlight w:val="yellow"/>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highlight w:val="yellow"/>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highlight w:val="yellow"/>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highlight w:val="yellow"/>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highlight w:val="yellow"/>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yellow"/>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yellow"/>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Table 11.3 shows the proof mode of this row as not logged, because the prototype began to log it on denied requests later the same day</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w:t>
      </w:r>
      <w:r>
        <w:rPr>
          <w:rFonts w:ascii="Times New Roman" w:cs="Times New Roman" w:eastAsia="Times New Roman" w:hAnsi="Times New Roman"/>
          <w:sz w:val="22"/>
          <w:szCs w:val="22"/>
        </w:rPr>
        <w:t xml:space="preserve">Anchoring confirmation, measured over three mints and two revokes, is the slowest step. The mint is anchored in the background, so it delays neither the guardians nor the doctor, whereas the patient waits for the confirmation of a revoke.</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d1fcd4c36b78c8ff5aa352939eb1f7c4d7142381.png"/><Relationship Id="rId14" Type="http://schemas.openxmlformats.org/officeDocument/2006/relationships/image" Target="media/4f75743c835265daafdcbac66f2bdd6c1034f620.png"/><Relationship Id="rId15" Type="http://schemas.openxmlformats.org/officeDocument/2006/relationships/image" Target="media/03c920405551cc59ae0ad5edcc55300e0a8ed15e.png"/><Relationship Id="rId16" Type="http://schemas.openxmlformats.org/officeDocument/2006/relationships/image" Target="media/2b20591a43c6eb19bfdab74102d4f7f1165b386f.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7ce013ee8724e8dcb1576e7f068db7f8890e5be3.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02af0444c1c6970044f0f322105756947b915768.png"/><Relationship Id="rId33" Type="http://schemas.openxmlformats.org/officeDocument/2006/relationships/image" Target="media/9cb74c21136b6eec65353d28ee54d88601225eab.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2026-10-07T13:42:28.204Z</dcterms:created>
  <dcterms:modified xsi:type="dcterms:W3CDTF">2026-10-07T13:42:28.205Z</dcterms:modified>
</cp:coreProperties>
</file>

<file path=docProps/custom.xml><?xml version="1.0" encoding="utf-8"?>
<Properties xmlns="http://schemas.openxmlformats.org/officeDocument/2006/custom-properties" xmlns:vt="http://schemas.openxmlformats.org/officeDocument/2006/docPropsVTypes"/>
</file>