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Times New Roman" w:cs="Times New Roman" w:eastAsia="Times New Roman" w:hAnsi="Times New Roman"/>
          <w:b w:val="false"/>
          <w:bCs w:val="false"/>
          <w:sz w:val="28"/>
          <w:szCs w:val="28"/>
        </w:rPr>
        <w:t xml:space="preserve">Suggested Title:</w:t>
      </w:r>
    </w:p>
    <w:p>
      <w:pPr>
        <w:spacing w:after="1400" w:before="0"/>
        <w:jc w:val="center"/>
      </w:pPr>
      <w:r>
        <w:rPr>
          <w:rFonts w:ascii="Times New Roman" w:cs="Times New Roman" w:eastAsia="Times New Roman" w:hAnsi="Times New Roman"/>
          <w:b/>
          <w:bCs/>
          <w:sz w:val="40"/>
          <w:szCs w:val="40"/>
        </w:rPr>
        <w:t xml:space="preserve">A Trusted Authorization Framework for Multi-Party Patient Consent in Healthcare Data Sharing</w:t>
      </w:r>
    </w:p>
    <w:p>
      <w:pPr>
        <w:spacing w:after="120" w:before="0"/>
        <w:jc w:val="center"/>
      </w:pPr>
      <w:r>
        <w:rPr>
          <w:rFonts w:ascii="Times New Roman" w:cs="Times New Roman" w:eastAsia="Times New Roman" w:hAnsi="Times New Roman"/>
          <w:b w:val="false"/>
          <w:bCs w:val="false"/>
          <w:sz w:val="26"/>
          <w:szCs w:val="26"/>
        </w:rPr>
        <w:t xml:space="preserve">Principal Supervisor: Professor Farookh Hussain</w:t>
      </w:r>
    </w:p>
    <w:p>
      <w:pPr>
        <w:spacing w:after="600" w:before="0"/>
        <w:jc w:val="center"/>
      </w:pPr>
      <w:r>
        <w:rPr>
          <w:rFonts w:ascii="Times New Roman" w:cs="Times New Roman" w:eastAsia="Times New Roman" w:hAnsi="Times New Roman"/>
          <w:b w:val="false"/>
          <w:bCs w:val="false"/>
          <w:sz w:val="26"/>
          <w:szCs w:val="26"/>
        </w:rPr>
        <w:t xml:space="preserve">Co-Supervisor: Dr. Firas Al-Doghman</w:t>
      </w:r>
    </w:p>
    <w:p>
      <w:pPr>
        <w:spacing w:after="120" w:before="0"/>
        <w:jc w:val="center"/>
      </w:pPr>
      <w:r>
        <w:rPr>
          <w:rFonts w:ascii="Times New Roman" w:cs="Times New Roman" w:eastAsia="Times New Roman" w:hAnsi="Times New Roman"/>
          <w:b w:val="false"/>
          <w:bCs w:val="false"/>
          <w:sz w:val="26"/>
          <w:szCs w:val="26"/>
        </w:rPr>
        <w:t xml:space="preserve">Presenter: Yasir Dhaifallah O Alyoubi</w:t>
      </w:r>
    </w:p>
    <w:p>
      <w:pPr>
        <w:spacing w:after="120" w:before="0"/>
        <w:jc w:val="center"/>
      </w:pPr>
      <w:r>
        <w:rPr>
          <w:rFonts w:ascii="Times New Roman" w:cs="Times New Roman" w:eastAsia="Times New Roman" w:hAnsi="Times New Roman"/>
          <w:b w:val="false"/>
          <w:bCs w:val="false"/>
          <w:sz w:val="26"/>
          <w:szCs w:val="26"/>
        </w:rPr>
        <w:t xml:space="preserve">STUDENT ID #: 24724078</w:t>
      </w:r>
    </w:p>
    <w:p>
      <w:r>
        <w:br w:type="page"/>
      </w:r>
    </w:p>
    <w:p>
      <w:pPr>
        <w:spacing w:after="240"/>
      </w:pPr>
      <w:r>
        <w:rPr>
          <w:rFonts w:ascii="Times New Roman" w:cs="Times New Roman" w:eastAsia="Times New Roman" w:hAnsi="Times New Roman"/>
          <w:b/>
          <w:bCs/>
          <w:sz w:val="32"/>
          <w:szCs w:val="32"/>
        </w:rPr>
        <w:t xml:space="preserve">Contents</w:t>
      </w:r>
    </w:p>
    <w:p>
      <w:pPr>
        <w:tabs>
          <w:tab w:val="right" w:pos="9128" w:leader="dot"/>
        </w:tabs>
        <w:spacing w:after="100"/>
      </w:pPr>
      <w:r>
        <w:rPr>
          <w:rFonts w:ascii="Times New Roman" w:cs="Times New Roman" w:eastAsia="Times New Roman" w:hAnsi="Times New Roman"/>
          <w:sz w:val="22"/>
          <w:szCs w:val="22"/>
        </w:rPr>
        <w:t xml:space="preserve">1. Introduction	3</w:t>
      </w:r>
    </w:p>
    <w:p>
      <w:pPr>
        <w:tabs>
          <w:tab w:val="right" w:pos="9128" w:leader="dot"/>
        </w:tabs>
        <w:spacing w:after="100"/>
      </w:pPr>
      <w:r>
        <w:rPr>
          <w:rFonts w:ascii="Times New Roman" w:cs="Times New Roman" w:eastAsia="Times New Roman" w:hAnsi="Times New Roman"/>
          <w:sz w:val="22"/>
          <w:szCs w:val="22"/>
        </w:rPr>
        <w:t xml:space="preserve">2. Systematic Literature Review	6</w:t>
      </w:r>
    </w:p>
    <w:p>
      <w:pPr>
        <w:tabs>
          <w:tab w:val="right" w:pos="9128" w:leader="dot"/>
        </w:tabs>
        <w:spacing w:after="100"/>
      </w:pPr>
      <w:r>
        <w:rPr>
          <w:rFonts w:ascii="Times New Roman" w:cs="Times New Roman" w:eastAsia="Times New Roman" w:hAnsi="Times New Roman"/>
          <w:sz w:val="22"/>
          <w:szCs w:val="22"/>
        </w:rPr>
        <w:t xml:space="preserve">3. Research Gaps &amp; Questions	17</w:t>
      </w:r>
    </w:p>
    <w:p>
      <w:pPr>
        <w:tabs>
          <w:tab w:val="right" w:pos="9128" w:leader="dot"/>
        </w:tabs>
        <w:spacing w:after="100"/>
      </w:pPr>
      <w:r>
        <w:rPr>
          <w:rFonts w:ascii="Times New Roman" w:cs="Times New Roman" w:eastAsia="Times New Roman" w:hAnsi="Times New Roman"/>
          <w:sz w:val="22"/>
          <w:szCs w:val="22"/>
        </w:rPr>
        <w:t xml:space="preserve">4. Research Objectives	20</w:t>
      </w:r>
    </w:p>
    <w:p>
      <w:pPr>
        <w:tabs>
          <w:tab w:val="right" w:pos="9128" w:leader="dot"/>
        </w:tabs>
        <w:spacing w:after="100"/>
      </w:pPr>
      <w:r>
        <w:rPr>
          <w:rFonts w:ascii="Times New Roman" w:cs="Times New Roman" w:eastAsia="Times New Roman" w:hAnsi="Times New Roman"/>
          <w:sz w:val="22"/>
          <w:szCs w:val="22"/>
        </w:rPr>
        <w:t xml:space="preserve">5. Research Architecture: MVC	22</w:t>
      </w:r>
    </w:p>
    <w:p>
      <w:pPr>
        <w:tabs>
          <w:tab w:val="right" w:pos="9128" w:leader="dot"/>
        </w:tabs>
        <w:spacing w:after="100"/>
      </w:pPr>
      <w:r>
        <w:rPr>
          <w:rFonts w:ascii="Times New Roman" w:cs="Times New Roman" w:eastAsia="Times New Roman" w:hAnsi="Times New Roman"/>
          <w:sz w:val="22"/>
          <w:szCs w:val="22"/>
        </w:rPr>
        <w:t xml:space="preserve">6. The Proposed Solution for RO1	29</w:t>
      </w:r>
    </w:p>
    <w:p>
      <w:pPr>
        <w:tabs>
          <w:tab w:val="right" w:pos="9128" w:leader="dot"/>
        </w:tabs>
        <w:spacing w:after="100"/>
      </w:pPr>
      <w:r>
        <w:rPr>
          <w:rFonts w:ascii="Times New Roman" w:cs="Times New Roman" w:eastAsia="Times New Roman" w:hAnsi="Times New Roman"/>
          <w:sz w:val="22"/>
          <w:szCs w:val="22"/>
        </w:rPr>
        <w:t xml:space="preserve">7. The Proposed Solution for RO2	33</w:t>
      </w:r>
    </w:p>
    <w:p>
      <w:pPr>
        <w:tabs>
          <w:tab w:val="right" w:pos="9128" w:leader="dot"/>
        </w:tabs>
        <w:spacing w:after="100"/>
      </w:pPr>
      <w:r>
        <w:rPr>
          <w:rFonts w:ascii="Times New Roman" w:cs="Times New Roman" w:eastAsia="Times New Roman" w:hAnsi="Times New Roman"/>
          <w:sz w:val="22"/>
          <w:szCs w:val="22"/>
        </w:rPr>
        <w:t xml:space="preserve">8. The Proposed Solution for RO3	37</w:t>
      </w:r>
    </w:p>
    <w:p>
      <w:pPr>
        <w:tabs>
          <w:tab w:val="right" w:pos="9128" w:leader="dot"/>
        </w:tabs>
        <w:spacing w:after="100"/>
      </w:pPr>
      <w:r>
        <w:rPr>
          <w:rFonts w:ascii="Times New Roman" w:cs="Times New Roman" w:eastAsia="Times New Roman" w:hAnsi="Times New Roman"/>
          <w:sz w:val="22"/>
          <w:szCs w:val="22"/>
        </w:rPr>
        <w:t xml:space="preserve">9. The Proposed Solution for RO4	42</w:t>
      </w:r>
    </w:p>
    <w:p>
      <w:pPr>
        <w:tabs>
          <w:tab w:val="right" w:pos="9128" w:leader="dot"/>
        </w:tabs>
        <w:spacing w:after="100"/>
      </w:pPr>
      <w:r>
        <w:rPr>
          <w:rFonts w:ascii="Times New Roman" w:cs="Times New Roman" w:eastAsia="Times New Roman" w:hAnsi="Times New Roman"/>
          <w:sz w:val="22"/>
          <w:szCs w:val="22"/>
        </w:rPr>
        <w:t xml:space="preserve">10. The Proposed Solution for RO5	47</w:t>
      </w:r>
    </w:p>
    <w:p>
      <w:pPr>
        <w:tabs>
          <w:tab w:val="right" w:pos="9128" w:leader="dot"/>
        </w:tabs>
        <w:spacing w:after="100"/>
      </w:pPr>
      <w:r>
        <w:rPr>
          <w:rFonts w:ascii="Times New Roman" w:cs="Times New Roman" w:eastAsia="Times New Roman" w:hAnsi="Times New Roman"/>
          <w:sz w:val="22"/>
          <w:szCs w:val="22"/>
        </w:rPr>
        <w:t xml:space="preserve">11. The Proposed Solution for RO6	50</w:t>
      </w:r>
    </w:p>
    <w:p>
      <w:pPr>
        <w:tabs>
          <w:tab w:val="right" w:pos="9128" w:leader="dot"/>
        </w:tabs>
        <w:spacing w:after="100"/>
      </w:pPr>
      <w:r>
        <w:rPr>
          <w:rFonts w:ascii="Times New Roman" w:cs="Times New Roman" w:eastAsia="Times New Roman" w:hAnsi="Times New Roman"/>
          <w:sz w:val="22"/>
          <w:szCs w:val="22"/>
        </w:rPr>
        <w:t xml:space="preserve">12. Publications Summary	65</w:t>
      </w:r>
    </w:p>
    <w:p>
      <w:pPr>
        <w:tabs>
          <w:tab w:val="right" w:pos="9128" w:leader="dot"/>
        </w:tabs>
        <w:spacing w:after="100"/>
      </w:pPr>
      <w:r>
        <w:rPr>
          <w:rFonts w:ascii="Times New Roman" w:cs="Times New Roman" w:eastAsia="Times New Roman" w:hAnsi="Times New Roman"/>
          <w:sz w:val="22"/>
          <w:szCs w:val="22"/>
        </w:rPr>
        <w:t xml:space="preserve">13. Research Plan	66</w:t>
      </w:r>
    </w:p>
    <w:p>
      <w:pPr>
        <w:tabs>
          <w:tab w:val="right" w:pos="9128" w:leader="dot"/>
        </w:tabs>
        <w:spacing w:after="100"/>
      </w:pPr>
      <w:r>
        <w:rPr>
          <w:rFonts w:ascii="Times New Roman" w:cs="Times New Roman" w:eastAsia="Times New Roman" w:hAnsi="Times New Roman"/>
          <w:sz w:val="22"/>
          <w:szCs w:val="22"/>
        </w:rPr>
        <w:t xml:space="preserve">References	68</w:t>
      </w:r>
    </w:p>
    <w:p>
      <w:pPr>
        <w:pStyle w:val="Heading1"/>
        <w:pageBreakBefore/>
        <w:spacing w:after="200" w:before="120"/>
      </w:pPr>
      <w:r>
        <w:rPr>
          <w:rFonts w:ascii="Times New Roman" w:cs="Times New Roman" w:eastAsia="Times New Roman" w:hAnsi="Times New Roman"/>
          <w:b/>
          <w:bCs/>
          <w:sz w:val="32"/>
          <w:szCs w:val="32"/>
        </w:rPr>
        <w:t xml:space="preserve">1.  Introduction</w:t>
      </w:r>
    </w:p>
    <w:p>
      <w:pPr>
        <w:pStyle w:val="Heading2"/>
        <w:keepNext/>
        <w:spacing w:after="120" w:before="240"/>
      </w:pPr>
      <w:r>
        <w:rPr>
          <w:rFonts w:ascii="Times New Roman" w:cs="Times New Roman" w:eastAsia="Times New Roman" w:hAnsi="Times New Roman"/>
          <w:b/>
          <w:bCs/>
          <w:sz w:val="26"/>
          <w:szCs w:val="26"/>
        </w:rPr>
        <w:t xml:space="preserve">1.1  </w:t>
      </w:r>
      <w:r>
        <w:rPr>
          <w:rFonts w:ascii="Times New Roman" w:cs="Times New Roman" w:eastAsia="Times New Roman" w:hAnsi="Times New Roman"/>
          <w:b/>
          <w:bCs/>
          <w:sz w:val="26"/>
          <w:szCs w:val="26"/>
        </w:rPr>
        <w:t xml:space="preserve">Research Context</w:t>
      </w:r>
    </w:p>
    <w:p>
      <w:pPr>
        <w:spacing w:after="110" w:line="264"/>
        <w:jc w:val="both"/>
      </w:pPr>
      <w:r>
        <w:rPr>
          <w:rFonts w:ascii="Times New Roman" w:cs="Times New Roman" w:eastAsia="Times New Roman" w:hAnsi="Times New Roman"/>
          <w:sz w:val="22"/>
          <w:szCs w:val="22"/>
        </w:rPr>
        <w:t xml:space="preserve">The digitalisation of society has created an increasing demand for secure and trustworthy data sharing across organisational boundaries. Modern digital ecosystems involve multiple independent stakeholders, including individuals, healthcare providers, regulatory authorities, researchers, and third-party data processors [1–3]. Although digital transformation creates significant opportunities for collaboration and service innovation, it also introduces a fundamental governance challenge: how can data access be authorised and trusted when the participating entities do not belong to a single administrative or institutional domain? Healthcare represents a particularly important and challenging example of this broader problem. The increasing digitisation of healthcare information enables patients, healthcare professionals, guardians, researchers, and healthcare organisations to participate in data-sharing processes [4, 5].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 [6–9].</w:t>
      </w:r>
    </w:p>
    <w:p>
      <w:pPr>
        <w:spacing w:after="110" w:line="264"/>
        <w:jc w:val="both"/>
      </w:pPr>
      <w:r>
        <w:rPr>
          <w:rFonts w:ascii="Times New Roman" w:cs="Times New Roman" w:eastAsia="Times New Roman" w:hAnsi="Times New Roman"/>
          <w:sz w:val="22"/>
          <w:szCs w:val="22"/>
        </w:rPr>
        <w:t xml:space="preserve">Traditional access-control architectures are based on centralised identity providers, institution-specific authentication systems, and relatively static permission-management mechanisms [9, 10]. These approaches can provide effective access control within an organisational boundary, but they become difficult to apply when authorisation decisions involve multiple independent entities. In such settings, no single participant may possess sufficient authority to determine access independently, and trust cannot necessarily be assumed on the basis of membership in a common administrative domain. This problem is particularly relevant in healthcare, where data-sharing decisions may require the coordinated participation of patients, guardians, healthcare professionals, and institutional authorities [4, 11]. These scenarios demonstrate that authorisation is increasingly a distributed governance problem rather than simply a process of authenticating a user and checking a static permission [12].</w:t>
      </w:r>
    </w:p>
    <w:p>
      <w:pPr>
        <w:spacing w:after="110" w:line="264"/>
        <w:jc w:val="both"/>
      </w:pPr>
      <w:r>
        <w:rPr>
          <w:rFonts w:ascii="Times New Roman" w:cs="Times New Roman" w:eastAsia="Times New Roman" w:hAnsi="Times New Roman"/>
          <w:sz w:val="22"/>
          <w:szCs w:val="22"/>
        </w:rPr>
        <w:t xml:space="preserve">Blockchain-based mechanisms can provide tamper-resistant recording and distributed auditability [3, 13–15], </w:t>
      </w:r>
      <w:r>
        <w:rPr>
          <w:rFonts w:ascii="Times New Roman" w:cs="Times New Roman" w:eastAsia="Times New Roman" w:hAnsi="Times New Roman"/>
          <w:sz w:val="22"/>
          <w:szCs w:val="22"/>
        </w:rPr>
        <w:t xml:space="preserve">while decentralised identifiers [16] can support the identification</w:t>
      </w:r>
      <w:r>
        <w:rPr>
          <w:rFonts w:ascii="Times New Roman" w:cs="Times New Roman" w:eastAsia="Times New Roman" w:hAnsi="Times New Roman"/>
          <w:sz w:val="22"/>
          <w:szCs w:val="22"/>
        </w:rPr>
        <w:t xml:space="preserve"> of participants without relying exclusively on a central identity provider. Verifiable credentials can provide cryptographically verifiable evidence concerning roles or authority [16, 17], and policy-based access-control mechanisms can restrict access to authorised resources [9, 10, 18]. However, an immutable record does not necessarily demonstrate that the participating entities were legitimate, that they possessed the required authority, or that a subsequent data-access request remains consistent with the conditions originally authorised. This requires a transition from viewing consent as a static record of permission towards understanding consent as an active and evaluable component of a broader authorisation process, extending the dynamic consent perspective [6, 19].</w:t>
      </w:r>
    </w:p>
    <w:p>
      <w:pPr>
        <w:pStyle w:val="Heading2"/>
        <w:keepNext/>
        <w:spacing w:after="120" w:before="240"/>
      </w:pPr>
      <w:r>
        <w:rPr>
          <w:rFonts w:ascii="Times New Roman" w:cs="Times New Roman" w:eastAsia="Times New Roman" w:hAnsi="Times New Roman"/>
          <w:b/>
          <w:bCs/>
          <w:sz w:val="26"/>
          <w:szCs w:val="26"/>
        </w:rPr>
        <w:t xml:space="preserve">1.2  </w:t>
      </w:r>
      <w:r>
        <w:rPr>
          <w:rFonts w:ascii="Times New Roman" w:cs="Times New Roman" w:eastAsia="Times New Roman" w:hAnsi="Times New Roman"/>
          <w:b/>
          <w:bCs/>
          <w:sz w:val="26"/>
          <w:szCs w:val="26"/>
        </w:rPr>
        <w:t xml:space="preserve">Problem Statement</w:t>
      </w:r>
    </w:p>
    <w:p>
      <w:pPr>
        <w:spacing w:after="110" w:line="264"/>
        <w:jc w:val="both"/>
      </w:pPr>
      <w:r>
        <w:rPr>
          <w:rFonts w:ascii="Times New Roman" w:cs="Times New Roman" w:eastAsia="Times New Roman" w:hAnsi="Times New Roman"/>
          <w:sz w:val="22"/>
          <w:szCs w:val="22"/>
        </w:rPr>
        <w:t xml:space="preserve">Existing consent-management and decentralised access-control approaches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[19, 20]. The relationship between the consent record, the identity of the participants, their authority to act, the applicable policy constraints, and the resulting access decision is frequently treated as separate technical concerns. Likewise, successful authentication establishes that an entity has been identified, but authentication does not automatically establish that the entity possesses the authority to access a particular patient's information. Even where identity and collective approval have been satisfied, an access request may still be inappropriate if it exceeds the authorised purpose or data scope. The requested operation must also be evaluated against the policy constraints associated with the consent.</w:t>
      </w:r>
    </w:p>
    <w:p>
      <w:pPr>
        <w:spacing w:after="110" w:line="264"/>
        <w:jc w:val="both"/>
      </w:pPr>
      <w:r>
        <w:rPr>
          <w:rFonts w:ascii="Times New Roman" w:cs="Times New Roman" w:eastAsia="Times New Roman" w:hAnsi="Times New Roman"/>
          <w:sz w:val="22"/>
          <w:szCs w:val="22"/>
        </w:rPr>
        <w:t xml:space="preserve">The central problem addressed by this research is therefore the absence of an integrated trust-oriented mechanism that connects identity, authority, multi-party approval, policy, temporal, and lifecycle conditions within a coherent authorisation decision and whose security can be formally and empirically demonstrated. </w:t>
      </w:r>
      <w:r>
        <w:rPr>
          <w:rFonts w:ascii="Times New Roman" w:cs="Times New Roman" w:eastAsia="Times New Roman" w:hAnsi="Times New Roman"/>
          <w:sz w:val="22"/>
          <w:szCs w:val="22"/>
        </w:rPr>
        <w:t xml:space="preserve">Existing approaches provide important technological components,</w:t>
      </w:r>
      <w:r>
        <w:rPr>
          <w:rFonts w:ascii="Times New Roman" w:cs="Times New Roman" w:eastAsia="Times New Roman" w:hAnsi="Times New Roman"/>
          <w:sz w:val="22"/>
          <w:szCs w:val="22"/>
        </w:rPr>
        <w:t xml:space="preserve"> including decentralised identity and verifiable credentials [21, 22], blockchain-based records [23, 24], multi-party approval mechanisms [23, 25–27], and policy-based access control [28–31], as well as several partial combinations [21, 25, 32]. However, these mechanisms are often investigated independently or integrated primarily at the implementation level. The overarching research question is how a trust-oriented computing framework can establish and enforce trustworthy multi-party consent for decentralised healthcare data sharing under identity, authority, and policy constraints. The research objectives are operationalised through six corresponding sub-research questions</w:t>
      </w:r>
      <w:r>
        <w:rPr>
          <w:rFonts w:ascii="Times New Roman" w:cs="Times New Roman" w:eastAsia="Times New Roman" w:hAnsi="Times New Roman"/>
          <w:color w:val="FF0000"/>
          <w:sz w:val="22"/>
          <w:szCs w:val="22"/>
        </w:rPr>
        <w:t xml:space="preserve"> (SRQ1 to SRQ6, referred to as RQ1 to RQ6)</w:t>
      </w:r>
      <w:r>
        <w:rPr>
          <w:rFonts w:ascii="Times New Roman" w:cs="Times New Roman" w:eastAsia="Times New Roman" w:hAnsi="Times New Roman"/>
          <w:sz w:val="22"/>
          <w:szCs w:val="22"/>
        </w:rPr>
        <w:t xml:space="preserve">.</w:t>
      </w:r>
    </w:p>
    <w:p>
      <w:pPr>
        <w:pStyle w:val="Heading2"/>
        <w:keepNext/>
        <w:spacing w:after="120" w:before="240"/>
      </w:pPr>
      <w:r>
        <w:rPr>
          <w:rFonts w:ascii="Times New Roman" w:cs="Times New Roman" w:eastAsia="Times New Roman" w:hAnsi="Times New Roman"/>
          <w:b/>
          <w:bCs/>
          <w:sz w:val="26"/>
          <w:szCs w:val="26"/>
        </w:rPr>
        <w:t xml:space="preserve">1.3  </w:t>
      </w:r>
      <w:r>
        <w:rPr>
          <w:rFonts w:ascii="Times New Roman" w:cs="Times New Roman" w:eastAsia="Times New Roman" w:hAnsi="Times New Roman"/>
          <w:b/>
          <w:bCs/>
          <w:sz w:val="26"/>
          <w:szCs w:val="26"/>
        </w:rPr>
        <w:t xml:space="preserve">Research Motivation</w:t>
      </w:r>
    </w:p>
    <w:p>
      <w:pPr>
        <w:spacing w:after="110" w:line="264"/>
        <w:jc w:val="both"/>
      </w:pPr>
      <w:r>
        <w:rPr>
          <w:rFonts w:ascii="Times New Roman" w:cs="Times New Roman" w:eastAsia="Times New Roman" w:hAnsi="Times New Roman"/>
          <w:sz w:val="22"/>
          <w:szCs w:val="22"/>
        </w:rP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 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[33, 34]. Remote attestation mechanisms can further provide evidence concerning the integrity of the execution environment in which a security-sensitive process is performed. Nevertheless, Trusted Computing does not by itself determine the correctness of an authorisation policy. Consequently, secure execution and trustworthy authorisation address complementary rather than identical problems. Future work can therefore investigate how trusted execution and remote attestation can strengthen the enforcement and verification of decentralised consent decisions.</w:t>
      </w:r>
    </w:p>
    <w:p>
      <w:pPr>
        <w:spacing w:after="110" w:line="264"/>
        <w:jc w:val="both"/>
      </w:pPr>
      <w:r>
        <w:rPr>
          <w:rFonts w:ascii="Times New Roman" w:cs="Times New Roman" w:eastAsia="Times New Roman" w:hAnsi="Times New Roman"/>
          <w:sz w:val="22"/>
          <w:szCs w:val="22"/>
        </w:rPr>
        <w:t xml:space="preserve">Identity concerns whether a participant can be reliably identified. Authority concerns whether that participant possesses the relevant role or permission to participate in a particular decision. Multi-party authorisation concerns whether the required set of independently verified participants has satisfied a defined collective approval condition. Policy compliance concerns whether the requested access is consistent with the authorised purpose and data scope. Together, these conditions provide the foundation for determining not only whether access has been requested, but whether the resulting authorisation decision has a sufficient basis to be trusted. The proposed framework consequently conceptualises patient consent as more than a static permission or a historical blockchain record. Consent is instead treated as a structured and trust-aware authorisation object, C = (I, A, P, T, L, E), that connects the relevant participants, authority requirements, policy constraints, temporal and jurisdictional conditions, and evidence associated with an authorisation decision.</w:t>
      </w:r>
    </w:p>
    <w:p>
      <w:pPr>
        <w:spacing w:after="110" w:line="264"/>
        <w:jc w:val="both"/>
      </w:pPr>
      <w:r>
        <w:rPr>
          <w:rFonts w:ascii="Times New Roman" w:cs="Times New Roman" w:eastAsia="Times New Roman" w:hAnsi="Times New Roman"/>
          <w:sz w:val="22"/>
          <w:szCs w:val="22"/>
        </w:rPr>
        <w:t xml:space="preserve">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 These four dimensions, RO1 to RO4, collectively define the foundational scope of Multi-Party Patient Consent. RO1 to RO4 are completed with validation and evaluation at the current stage. RO5 adds temporal validity and lifecycle trust, because trust cannot be regarded as permanently established at the moment a consent is created. A consent that was valid when initially approved may subsequently become invalid due to expiration, revocation, or a change in its authorised lifecycle state. RO6 concerns formal security assurance and empirical validation. RO5 and RO6 are in progress, and part of each has already been delivered. RO6 is partially completed through the implementation and initial scenario-based validation of the HALAH (History Access Link for Authorised Healthcare) prototype. For RO5, this prototype provides a lifecycle-aware consent mechanism capable of rejecting access after expiration or revocation. The remaining formal security assurance and comprehensive empirical evaluation will be conducted in the next stage.</w:t>
      </w:r>
    </w:p>
    <w:p>
      <w:pPr>
        <w:spacing w:after="110" w:line="264"/>
        <w:jc w:val="both"/>
      </w:pPr>
      <w:r>
        <w:rPr>
          <w:rFonts w:ascii="Times New Roman" w:cs="Times New Roman" w:eastAsia="Times New Roman" w:hAnsi="Times New Roman"/>
          <w:sz w:val="22"/>
          <w:szCs w:val="22"/>
        </w:rPr>
        <w:t xml:space="preserve">HALAH runs on the Ethereum Sepolia testnet, and the guardian approval rule is currently implemented as N-of-N over the guardian set G. Synthetic healthcare records derived from the Synthea dataset [35] are used to construct representative consent workflows. Security properties are demonstrated through adversarial and negative testing, as well as empirical evaluation using the HALAH prototype and representative healthcare data-sharing scenarios, rather than formal proof. </w:t>
      </w:r>
      <w:r>
        <w:rPr>
          <w:rFonts w:ascii="Times New Roman" w:cs="Times New Roman" w:eastAsia="Times New Roman" w:hAnsi="Times New Roman"/>
          <w:sz w:val="22"/>
          <w:szCs w:val="22"/>
        </w:rPr>
        <w:t xml:space="preserve">The current stage covers the work delivered so far,</w:t>
      </w:r>
      <w:r>
        <w:rPr>
          <w:rFonts w:ascii="Times New Roman" w:cs="Times New Roman" w:eastAsia="Times New Roman" w:hAnsi="Times New Roman"/>
          <w:sz w:val="22"/>
          <w:szCs w:val="22"/>
        </w:rPr>
        <w:t xml:space="preserve"> while temporal and lifecycle trust, formal security assurance, and comprehensive empirical validation </w:t>
      </w:r>
      <w:r>
        <w:rPr>
          <w:rFonts w:ascii="Times New Roman" w:cs="Times New Roman" w:eastAsia="Times New Roman" w:hAnsi="Times New Roman"/>
          <w:sz w:val="22"/>
          <w:szCs w:val="22"/>
        </w:rPr>
        <w:t xml:space="preserve">will be developed further in the next stage.</w:t>
      </w:r>
    </w:p>
    <w:p>
      <w:pPr>
        <w:spacing w:after="110" w:line="264"/>
        <w:jc w:val="both"/>
      </w:pPr>
      <w:r>
        <w:rPr>
          <w:rFonts w:ascii="Times New Roman" w:cs="Times New Roman" w:eastAsia="Times New Roman" w:hAnsi="Times New Roman"/>
          <w:sz w:val="22"/>
          <w:szCs w:val="22"/>
        </w:rPr>
        <w:t xml:space="preserve">Section 2 presents the systematic literature review, Section 3 the research gaps and questions, Section 4 the research objectives, and Section 5 the MVC-based research architecture. Sections 6 to 11 present the solution and status for RQ1 to RQ6, Section 12 the publications, and Section 13 the research plan.</w:t>
      </w:r>
    </w:p>
    <w:p>
      <w:pPr>
        <w:pStyle w:val="Heading1"/>
        <w:pageBreakBefore/>
        <w:spacing w:after="200" w:before="120"/>
      </w:pPr>
      <w:r>
        <w:rPr>
          <w:rFonts w:ascii="Times New Roman" w:cs="Times New Roman" w:eastAsia="Times New Roman" w:hAnsi="Times New Roman"/>
          <w:b/>
          <w:bCs/>
          <w:sz w:val="32"/>
          <w:szCs w:val="32"/>
        </w:rPr>
        <w:t xml:space="preserve">2.  Systematic Literature Review</w:t>
      </w:r>
    </w:p>
    <w:p>
      <w:pPr>
        <w:spacing w:after="110" w:line="264"/>
        <w:jc w:val="both"/>
      </w:pPr>
      <w:r>
        <w:rPr>
          <w:rFonts w:ascii="Times New Roman" w:cs="Times New Roman" w:eastAsia="Times New Roman" w:hAnsi="Times New Roman"/>
          <w:sz w:val="22"/>
          <w:szCs w:val="22"/>
        </w:rPr>
        <w:t xml:space="preserve">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 Healthcare research has emphasised the importance of patient autonomy, privacy, informed consent, and controlled data sharing [4, 6–8, 36]. Multi-party trust research has investigated immutable data governance, distributed auditability, and decentralised consent management [3, 18, 37–39]. Research on decentralised identity and verifiable credentials has developed mechanisms for self-controlled identity representation, credential verification, selective disclosure, and privacy-preserving authentication [16, 17, 40–43]. Access-control research has further investigated role-based, attribute-based, risk-aware, and usage-control approaches for protecting sensitive healthcare information [9, 10, 44, 45]. However, the literature also indicates that these mechanisms are commonly developed and evaluated as separate technological components. This fragmentation creates an important distinction between the availability of security mechanisms and the ability to construct a unified and trustworthy authorisation decision.</w:t>
      </w:r>
    </w:p>
    <w:p>
      <w:pPr>
        <w:pStyle w:val="Heading2"/>
        <w:keepNext/>
        <w:spacing w:after="120" w:before="240"/>
      </w:pPr>
      <w:r>
        <w:rPr>
          <w:rFonts w:ascii="Times New Roman" w:cs="Times New Roman" w:eastAsia="Times New Roman" w:hAnsi="Times New Roman"/>
          <w:b/>
          <w:bCs/>
          <w:sz w:val="26"/>
          <w:szCs w:val="26"/>
        </w:rPr>
        <w:t xml:space="preserve">2.1  </w:t>
      </w:r>
      <w:r>
        <w:rPr>
          <w:rFonts w:ascii="Times New Roman" w:cs="Times New Roman" w:eastAsia="Times New Roman" w:hAnsi="Times New Roman"/>
          <w:b/>
          <w:bCs/>
          <w:sz w:val="26"/>
          <w:szCs w:val="26"/>
        </w:rPr>
        <w:t xml:space="preserve">Key Requirements for Trustworthy Multi-Party Consent Authorisation</w:t>
      </w:r>
    </w:p>
    <w:p>
      <w:pPr>
        <w:spacing w:after="110" w:line="264"/>
        <w:jc w:val="both"/>
      </w:pPr>
      <w:r>
        <w:rPr>
          <w:rFonts w:ascii="Times New Roman" w:cs="Times New Roman" w:eastAsia="Times New Roman" w:hAnsi="Times New Roman"/>
          <w:sz w:val="22"/>
          <w:szCs w:val="22"/>
        </w:rPr>
        <w:t xml:space="preserve">Trustworthy access should be understood as an outcome of the coordinated satisfaction of multiple independently verifiable conditions. The six requirements below collectively establish a progression from consent modelling and participant trust to collective authorisation, policy enforcement, temporal and lifecycle control, and finally formal security assurance and empirical validation. Each matches one sub-research question (Section 3), and each sub-research question addresses a distinct dimension of the proposed trust-oriented healthcare authorisation framework.</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1: Representation of consent as an evaluable authorisation object.</w:t>
      </w:r>
      <w:r>
        <w:rPr>
          <w:rFonts w:ascii="Times New Roman" w:cs="Times New Roman" w:eastAsia="Times New Roman" w:hAnsi="Times New Roman"/>
          <w:sz w:val="22"/>
          <w:szCs w:val="22"/>
        </w:rPr>
        <w:t xml:space="preserve"> Rather than representing consent as a simple association between a patient, a requester, and a permission, consent should be represented as a structured and evaluable authorisation object. The object should incorporate identity information, authority requirements, policy constraints on purpose, data scope, and jurisdiction, temporal validity, and authorisation evidence so that a consent decision can be evaluated when a subsequent data-access request is made.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2: Decentralised verification of identity and authority.</w:t>
      </w:r>
      <w:r>
        <w:rPr>
          <w:rFonts w:ascii="Times New Roman" w:cs="Times New Roman" w:eastAsia="Times New Roman" w:hAnsi="Times New Roman"/>
          <w:sz w:val="22"/>
          <w:szCs w:val="22"/>
        </w:rPr>
        <w:t xml:space="preserve"> Decentralised </w:t>
      </w:r>
      <w:r>
        <w:rPr>
          <w:rFonts w:ascii="Times New Roman" w:cs="Times New Roman" w:eastAsia="Times New Roman" w:hAnsi="Times New Roman"/>
          <w:strike/>
          <w:color w:val="FF0000"/>
          <w:sz w:val="22"/>
          <w:szCs w:val="22"/>
        </w:rPr>
        <w:t xml:space="preserve">Identity (DID)</w:t>
      </w:r>
      <w:r>
        <w:rPr>
          <w:rFonts w:ascii="Times New Roman" w:cs="Times New Roman" w:eastAsia="Times New Roman" w:hAnsi="Times New Roman"/>
          <w:color w:val="FF0000"/>
          <w:sz w:val="22"/>
          <w:szCs w:val="22"/>
        </w:rPr>
        <w:t xml:space="preserve">Identifiers (DIDs)</w:t>
      </w:r>
      <w:r>
        <w:rPr>
          <w:rFonts w:ascii="Times New Roman" w:cs="Times New Roman" w:eastAsia="Times New Roman" w:hAnsi="Times New Roman"/>
          <w:sz w:val="22"/>
          <w:szCs w:val="22"/>
        </w:rPr>
        <w:t xml:space="preserve"> and Verifiable Credentials (VCs) provide an alternative to conventional identity architectures based exclusively on centralised identity providers. Participants should establish persistent and cryptographically verifiable identifiers without dependence on a single identity provider. Identity verification establishes who is participating, while authority verification determines whether that entity satisfies the requirements associated with a particular consent. This separation prevents successful authentication from being interpreted as automatic authorisation.</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3: Multi-party authorisation through a verifiable threshold.</w:t>
      </w:r>
      <w:r>
        <w:rPr>
          <w:rFonts w:ascii="Times New Roman" w:cs="Times New Roman" w:eastAsia="Times New Roman" w:hAnsi="Times New Roman"/>
          <w:sz w:val="22"/>
          <w:szCs w:val="22"/>
        </w:rPr>
        <w:t xml:space="preserve"> Multiple independently verified participants can jointly establish a trustworthy consent decision without allowing a single participant to unilaterally authorise sensitive healthcare data access. A predefined threshold of independent approvals from designated parties should be modelled as an explicit and independently verifiable security condition within the consent object.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4: Policy- and context-aware enforcement at the time of access.</w:t>
      </w:r>
      <w:r>
        <w:rPr>
          <w:rFonts w:ascii="Times New Roman" w:cs="Times New Roman" w:eastAsia="Times New Roman" w:hAnsi="Times New Roman"/>
          <w:sz w:val="22"/>
          <w:szCs w:val="22"/>
        </w:rPr>
        <w:t xml:space="preserve"> A requester may possess a valid identity, valid credentials, and even the required multi-party approval while still requesting information outside the scope authorised by the patient. The access decision must also be evaluated against the purpose and data-scope constraints explicitly associated with the consent. Every request should be evaluated against contextual constraints such as jurisdiction, because many unauthorised disclosures are caused by legitimate requesters who exceed their scope [45].</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5: Temporal validity and lifecycle control of consent.</w:t>
      </w:r>
      <w:r>
        <w:rPr>
          <w:rFonts w:ascii="Times New Roman" w:cs="Times New Roman" w:eastAsia="Times New Roman" w:hAnsi="Times New Roman"/>
          <w:sz w:val="22"/>
          <w:szCs w:val="22"/>
        </w:rPr>
        <w:t xml:space="preserve"> A consent that has expired, has been revoked, or has entered an invalid state must not be treated as an active authorisation even when its original identity, authority, and approval conditions were valid. The requirement is to ensure that an authorisation remains valid only within its permitted time interval and lifecycle state, and that expiration, immediate and verifiable revocation, and unauthorised state transitions are correctly enforced at every request.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6: Verifiable auditability and security assurance.</w:t>
      </w:r>
      <w:r>
        <w:rPr>
          <w:rFonts w:ascii="Times New Roman" w:cs="Times New Roman" w:eastAsia="Times New Roman" w:hAnsi="Times New Roman"/>
          <w:sz w:val="22"/>
          <w:szCs w:val="22"/>
        </w:rPr>
        <w:t xml:space="preserve"> A system may execute valid authorisation scenarios without demonstrating that invalid identities, insufficient approvals, or policy violations cannot produce an unintended access decision. Every decision should preserve verifiable evidence to explain the reason for that decision. Formal analysis or systematic adversarial testing should provide a complementary layer through which the expected security properties of the authorisation model can be explicitly defined and examined.</w:t>
      </w:r>
    </w:p>
    <w:p>
      <w:pPr>
        <w:pStyle w:val="Heading2"/>
        <w:keepNext/>
        <w:spacing w:after="120" w:before="240"/>
      </w:pPr>
      <w:r>
        <w:rPr>
          <w:rFonts w:ascii="Times New Roman" w:cs="Times New Roman" w:eastAsia="Times New Roman" w:hAnsi="Times New Roman"/>
          <w:b/>
          <w:bCs/>
          <w:sz w:val="26"/>
          <w:szCs w:val="26"/>
        </w:rPr>
        <w:t xml:space="preserve">2.2  </w:t>
      </w:r>
      <w:r>
        <w:rPr>
          <w:rFonts w:ascii="Times New Roman" w:cs="Times New Roman" w:eastAsia="Times New Roman" w:hAnsi="Times New Roman"/>
          <w:b/>
          <w:bCs/>
          <w:sz w:val="26"/>
          <w:szCs w:val="26"/>
        </w:rPr>
        <w:t xml:space="preserve">Review Methodology</w:t>
      </w:r>
    </w:p>
    <w:p>
      <w:pPr>
        <w:spacing w:after="110" w:line="264"/>
        <w:jc w:val="both"/>
      </w:pPr>
      <w:r>
        <w:rPr>
          <w:rFonts w:ascii="Times New Roman" w:cs="Times New Roman" w:eastAsia="Times New Roman" w:hAnsi="Times New Roman"/>
          <w:sz w:val="22"/>
          <w:szCs w:val="22"/>
        </w:rPr>
        <w:t xml:space="preserve">The review process was structured according to the Preferred Reporting Items for Systematic Reviews and Meta-Analyses (PRISMA) 2020 statement [46]. PRISMA was adopted to improve the transparency, reproducibility, and traceability of the literature identification and selection process. A written protocol (Protocol v1.1) fixed the review questions, databases, master query, eligibility criteria, codebook, and quality items before screening. </w:t>
      </w:r>
      <w:r>
        <w:rPr>
          <w:rFonts w:ascii="Times New Roman" w:cs="Times New Roman" w:eastAsia="Times New Roman" w:hAnsi="Times New Roman"/>
          <w:sz w:val="22"/>
          <w:szCs w:val="22"/>
        </w:rPr>
        <w:t xml:space="preserve">We </w:t>
      </w:r>
      <w:r>
        <w:rPr>
          <w:rFonts w:ascii="Times New Roman" w:cs="Times New Roman" w:eastAsia="Times New Roman" w:hAnsi="Times New Roman"/>
          <w:strike/>
          <w:color w:val="FF0000"/>
          <w:sz w:val="22"/>
          <w:szCs w:val="22"/>
        </w:rPr>
        <w:t xml:space="preserve">screened, coded, and assessed every record,</w:t>
      </w:r>
      <w:r>
        <w:rPr>
          <w:rFonts w:ascii="Times New Roman" w:cs="Times New Roman" w:eastAsia="Times New Roman" w:hAnsi="Times New Roman"/>
          <w:color w:val="FF0000"/>
          <w:sz w:val="22"/>
          <w:szCs w:val="22"/>
        </w:rPr>
        <w:t xml:space="preserve">carried out all screening, coding, and quality assessment up to the reporting checkpoint,</w:t>
      </w:r>
      <w:r>
        <w:rPr>
          <w:rFonts w:ascii="Times New Roman" w:cs="Times New Roman" w:eastAsia="Times New Roman" w:hAnsi="Times New Roman"/>
          <w:sz w:val="22"/>
          <w:szCs w:val="22"/>
        </w:rPr>
        <w:t xml:space="preserve"> and all counts are those recorded on 10 September 2026.</w:t>
      </w:r>
      <w:r>
        <w:rPr>
          <w:rFonts w:ascii="Times New Roman" w:cs="Times New Roman" w:eastAsia="Times New Roman" w:hAnsi="Times New Roman"/>
          <w:sz w:val="22"/>
          <w:szCs w:val="22"/>
        </w:rPr>
        <w:t xml:space="preserve"> This systematic literature review (SLR) is guided by seven review questions. Questions 1 to 5 correspond to Req 1 to Req 5, and Questions 6 and 7 together to Req 6. These questions were formulated to ensure that the review remained directly aligned with the technical objectives of the proposed system.</w:t>
      </w:r>
    </w:p>
    <w:p>
      <w:pPr>
        <w:spacing w:after="110" w:line="264"/>
        <w:jc w:val="both"/>
      </w:pPr>
      <w:r>
        <w:rPr>
          <w:rFonts w:ascii="Times New Roman" w:cs="Times New Roman" w:eastAsia="Times New Roman" w:hAnsi="Times New Roman"/>
          <w:sz w:val="22"/>
          <w:szCs w:val="22"/>
        </w:rPr>
        <w:t xml:space="preserve">The literature search was conducted using the following academic databases including 1) IEEE Xplore, 2) ACM Digital Library, 3) ScienceDirect, 4) SpringerLink, 5) ProQuest Science and Technology, 6) Scopus, and 7) Web of Science, with Google Scholar as a discovery arm reported separately. These databases were selected because they provide complementary coverage of computer science, cybersecurity, healthcare informatics, distributed systems, and information management research. ScienceDirect and SpringerLink were used to identify research on healthcare information systems, privacy, interoperability, and data governance. Scopus and Web of Science were used to improve the coverage of multidisciplinary studies. One master query of three concept blocks joined by AND covered healthcare data, consent and authorisation, and trust and multi-party concepts. The search strings were constructed using Boolean operators and were adapted only to the syntax requirements of each database.</w:t>
      </w:r>
    </w:p>
    <w:p>
      <w:pPr>
        <w:spacing w:after="110" w:line="264"/>
        <w:jc w:val="both"/>
      </w:pPr>
      <w:r>
        <w:rPr>
          <w:rFonts w:ascii="Times New Roman" w:cs="Times New Roman" w:eastAsia="Times New Roman" w:hAnsi="Times New Roman"/>
          <w:sz w:val="22"/>
          <w:szCs w:val="22"/>
        </w:rPr>
        <w:t xml:space="preserve">The main searches were performed in August 2026. IEEE Xplore, Scopus, Web of Science, and ProQuest were searched on 24 August 2026, SpringerLink, ScienceDirect, and Google Scholar on 25 August 2026, and the ACM Digital Library on 5 September 2026 as a late arm, a declared limitation. Full-text coding began on 26 August 2026.</w:t>
      </w:r>
      <w:r>
        <w:rPr>
          <w:rFonts w:ascii="Times New Roman" w:cs="Times New Roman" w:eastAsia="Times New Roman" w:hAnsi="Times New Roman"/>
          <w:sz w:val="22"/>
          <w:szCs w:val="22"/>
        </w:rPr>
        <w:t xml:space="preserve"> A sentinel test of twelve predefined papers checked the recall of the master query, and all four healthcare-scoped sentinels [23, 24, 47, 48] were retrieved. Seven of the eight misses were attributed to scope, missing trust terms, or the date range, and the cause of the eighth was recorded as an open item. The search results from all databases were exported into a reference management system. Duplicate records were identified using bibliographic metadata, including title, author, DOI, and publication year. </w:t>
      </w:r>
      <w:r>
        <w:rPr>
          <w:rFonts w:ascii="Times New Roman" w:cs="Times New Roman" w:eastAsia="Times New Roman" w:hAnsi="Times New Roman"/>
          <w:sz w:val="22"/>
          <w:szCs w:val="22"/>
        </w:rPr>
        <w:t xml:space="preserve">Where duplicate records were identified, the most complete bibliographic record was retained for subsequent screening. Each study is cited by the year of the journal issue or proceedings volume in which it appeared, not the year it was first published online.</w:t>
      </w:r>
    </w:p>
    <w:p>
      <w:pPr>
        <w:spacing w:after="110" w:line="264"/>
        <w:jc w:val="both"/>
      </w:pPr>
      <w:r>
        <w:rPr>
          <w:rFonts w:ascii="Times New Roman" w:cs="Times New Roman" w:eastAsia="Times New Roman" w:hAnsi="Times New Roman"/>
          <w:sz w:val="22"/>
          <w:szCs w:val="22"/>
        </w:rPr>
        <w:t xml:space="preserve">The eligibility criteria were defined before the screening process to ensure consistency in the selection of studies. Inclusion required healthcare data (IC1), consent, authorisation, access control, trust, or governance relevant to data access (IC2), and a mechanism, model, system, or evaluation relevant to a review question (IC3). Studies also had to be peer-reviewed English papers with full text (IC4 to IC7). The search was restricted to studies published between January 2020 and 2026. Nine exclusion criteria (EC1 to EC9) removed, among others, non-healthcare studies, secondary reviews, and superficial mentions of consent, although no study was excluded for failing to support the proposed research gap. The inclusion and exclusion criteria were applied consistently throughout the screening process. Where a study addressed multiple topics, its eligibility was determined according to the relevance of its contribution to the review questions rather than by the presence of a single keyword.</w:t>
      </w:r>
    </w:p>
    <w:p>
      <w:pPr>
        <w:spacing w:after="110" w:line="264"/>
        <w:jc w:val="both"/>
      </w:pPr>
      <w:r>
        <w:rPr>
          <w:rFonts w:ascii="Times New Roman" w:cs="Times New Roman" w:eastAsia="Times New Roman" w:hAnsi="Times New Roman"/>
          <w:sz w:val="22"/>
          <w:szCs w:val="22"/>
        </w:rPr>
        <w:t xml:space="preserve">Figure 1 presents the PRISMA flow diagram for this review which summarises the identification, screening, eligibility, and inclusion stages of the SLR. Its counts are internally consistent. The seven database searches returned 9,256 records, or 6,039 unique records after deduplication, and after title and abstract screening, </w:t>
      </w:r>
      <w:r>
        <w:rPr>
          <w:rFonts w:ascii="Times New Roman" w:cs="Times New Roman" w:eastAsia="Times New Roman" w:hAnsi="Times New Roman"/>
          <w:sz w:val="22"/>
          <w:szCs w:val="22"/>
        </w:rPr>
        <w:t xml:space="preserve">1,800 records advanced to full text and were prioritised into Tiers A, B, and C of 39, 1,066, and 695 records.</w:t>
      </w:r>
      <w:r>
        <w:rPr>
          <w:rFonts w:ascii="Times New Roman" w:cs="Times New Roman" w:eastAsia="Times New Roman" w:hAnsi="Times New Roman"/>
          <w:sz w:val="22"/>
          <w:szCs w:val="22"/>
        </w:rPr>
        <w:t xml:space="preserve"> Records that were clearly unrelated to the review scope were excluded at that stage. </w:t>
      </w:r>
      <w:r>
        <w:rPr>
          <w:rFonts w:ascii="Times New Roman" w:cs="Times New Roman" w:eastAsia="Times New Roman" w:hAnsi="Times New Roman"/>
          <w:sz w:val="22"/>
          <w:szCs w:val="22"/>
        </w:rPr>
        <w:t xml:space="preserve">A saturation rule was also defined, under which saturation is declared when eight consecutively coded studies with a positive signal for a dimension yield no new mechanism class. At the checkpoint, all 39 Tier A records and 25 further records had been assessed, and 44 reports had been fully coded and passed the quality gate. </w:t>
      </w:r>
      <w:r>
        <w:rPr>
          <w:rFonts w:ascii="Times New Roman" w:cs="Times New Roman" w:eastAsia="Times New Roman" w:hAnsi="Times New Roman"/>
          <w:color w:val="FF0000"/>
          <w:sz w:val="22"/>
          <w:szCs w:val="22"/>
        </w:rPr>
        <w:t xml:space="preserve">One full-text report could not be retrieved, and the</w:t>
      </w:r>
      <w:r>
        <w:rPr>
          <w:rFonts w:ascii="Times New Roman" w:cs="Times New Roman" w:eastAsia="Times New Roman" w:hAnsi="Times New Roman"/>
          <w:strike/>
          <w:color w:val="FF0000"/>
          <w:sz w:val="22"/>
          <w:szCs w:val="22"/>
        </w:rPr>
        <w:t xml:space="preserve">The</w:t>
      </w:r>
      <w:r>
        <w:rPr>
          <w:rFonts w:ascii="Times New Roman" w:cs="Times New Roman" w:eastAsia="Times New Roman" w:hAnsi="Times New Roman"/>
          <w:sz w:val="22"/>
          <w:szCs w:val="22"/>
        </w:rPr>
        <w:t xml:space="preserve"> remaining 1,735 records had not yet been assessed, and the coding of Tiers B and C continues, so corpus completeness is bounded by the reporting checkpoint rather than by exhaustive reading.</w:t>
      </w:r>
      <w:r>
        <w:rPr>
          <w:rFonts w:ascii="Times New Roman" w:cs="Times New Roman" w:eastAsia="Times New Roman" w:hAnsi="Times New Roman"/>
          <w:sz w:val="22"/>
          <w:szCs w:val="22"/>
        </w:rPr>
        <w:t xml:space="preserve"> The reasons for exclusion at the full-text stage were recorded to improve the transparency of the review.</w:t>
      </w:r>
    </w:p>
    <w:p>
      <w:pPr>
        <w:spacing w:after="110" w:line="264"/>
        <w:jc w:val="both"/>
      </w:pPr>
      <w:r>
        <w:rPr>
          <w:rFonts w:ascii="Times New Roman" w:cs="Times New Roman" w:eastAsia="Times New Roman" w:hAnsi="Times New Roman"/>
          <w:sz w:val="22"/>
          <w:szCs w:val="22"/>
        </w:rPr>
        <w:t xml:space="preserve">The included studies were systematically analysed using a predefined data extraction framework. Each study was coded as Yes, Partial, or No against seven trust dimensions, T1 (identity), T2 (authority), T3 (multi-party), T4 (policy), T5 (temporal), T6 (lifecycle), and T7 (audit), and against the requirements, with a page reference for every positive coding. A study passed when its score on QA1 to QA4 of the eight quality items was at least 3.0. </w:t>
      </w:r>
      <w:r>
        <w:rPr>
          <w:rFonts w:ascii="Times New Roman" w:cs="Times New Roman" w:eastAsia="Times New Roman" w:hAnsi="Times New Roman"/>
          <w:sz w:val="22"/>
          <w:szCs w:val="22"/>
        </w:rPr>
        <w:t xml:space="preserve">Table 1 shows the quality items, how each one was scored, and the rule used for inclusion.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 study is core</w:t>
      </w:r>
      <w:r>
        <w:rPr>
          <w:rFonts w:ascii="Times New Roman" w:cs="Times New Roman" w:eastAsia="Times New Roman" w:hAnsi="Times New Roman"/>
          <w:sz w:val="22"/>
          <w:szCs w:val="22"/>
        </w:rPr>
        <w:t xml:space="preserve"> if its gap-impact verdict is contradicts, weakens, or narrows, or if its T3 coding is Yes or Partial, which gives 23 core studies of the 44. With the two supporting studies of highest quality score 7.0 [48, 49], they form the 25 primary studies, S1 to S25. </w:t>
      </w:r>
      <w:r>
        <w:rPr>
          <w:rFonts w:ascii="Times New Roman" w:cs="Times New Roman" w:eastAsia="Times New Roman" w:hAnsi="Times New Roman"/>
          <w:sz w:val="22"/>
          <w:szCs w:val="22"/>
        </w:rPr>
        <w:t xml:space="preserve">Table 2 lists the 25 primary studies with their year, title, and category.</w:t>
      </w:r>
    </w:p>
    <w:p>
      <w:pPr>
        <w:keepNext/>
        <w:spacing w:after="80" w:before="200"/>
        <w:jc w:val="center"/>
      </w:pPr>
      <w:r>
        <w:rPr>
          <w:rFonts w:ascii="Times New Roman" w:cs="Times New Roman" w:eastAsia="Times New Roman" w:hAnsi="Times New Roman"/>
          <w:b/>
          <w:bCs/>
          <w:sz w:val="18"/>
          <w:szCs w:val="18"/>
        </w:rPr>
        <w:t xml:space="preserve">Table 1: </w:t>
      </w:r>
      <w:r>
        <w:rPr>
          <w:rFonts w:ascii="Times New Roman" w:cs="Times New Roman" w:eastAsia="Times New Roman" w:hAnsi="Times New Roman"/>
          <w:sz w:val="18"/>
          <w:szCs w:val="18"/>
        </w:rPr>
        <w:t xml:space="preserve">Quality assessment items and inclusion rule</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300"/>
        <w:gridCol w:w="5428"/>
        <w:gridCol w:w="2400"/>
      </w:tblGrid>
      <w:tr>
        <w:trPr>
          <w:cantSplit/>
          <w:tblHeader/>
        </w:trPr>
        <w:tc>
          <w:tcPr>
            <w:tcW w:type="dxa" w:w="13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Item</w:t>
            </w:r>
          </w:p>
        </w:tc>
        <w:tc>
          <w:tcPr>
            <w:tcW w:type="dxa" w:w="542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Question</w:t>
            </w:r>
          </w:p>
        </w:tc>
        <w:tc>
          <w:tcPr>
            <w:tcW w:type="dxa" w:w="24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Used for</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QA1</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Does the study deal with patient consent or consent-governed data access at the healthcare level?</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QA2</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Does it deal with an authorisation or access-decision mechanism, not storage or recording only?</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QA3</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Does it introduce a proper framework, model, protocol or architecture to address its aim?</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QA4</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Is the proposed methodology validated by a proof of concept or an implementation?</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QA5 to QA8</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Further quality items scored for every included study.</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Evidence tier only (A, B, C, Background), not 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Scoring</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 = 1, Partial = 0.5, No = 0.</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Rule</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study is included when QA1 + QA2 + QA3 + QA4 ≥ 3.0.</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w:t>
            </w:r>
          </w:p>
        </w:tc>
      </w:tr>
    </w:tbl>
    <w:p>
      <w:pPr>
        <w:spacing w:after="160"/>
      </w:pPr>
    </w:p>
    <w:p>
      <w:pPr>
        <w:keepNext/>
        <w:spacing w:after="60" w:before="160"/>
        <w:jc w:val="center"/>
      </w:pPr>
      <w:r>
        <w:drawing>
          <wp:inline distT="0" distB="0" distL="0" distR="0">
            <wp:extent cx="4695825" cy="4286250"/>
            <wp:effectExtent t="0" r="0" b="0" l="0"/>
            <wp:docPr id="1" name="F2.png" descr="PRISMA 2020 flow diagram of the study identification, screening, eligibility and inclusion stages, with the audited counts at the reporting checkpoint" title="PRISMA 2020 flow diagram of the study identification, screening, eligibility and inclusion stages, with the audited counts at the reporting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95825" cy="4286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 </w:t>
      </w:r>
      <w:r>
        <w:rPr>
          <w:rFonts w:ascii="Times New Roman" w:cs="Times New Roman" w:eastAsia="Times New Roman" w:hAnsi="Times New Roman"/>
          <w:sz w:val="18"/>
          <w:szCs w:val="18"/>
        </w:rPr>
        <w:t xml:space="preserve">PRISMA 2020 flow diagram of the study identification, screening, eligibility and inclusion stages, with the audited counts at the reporting checkpoint</w:t>
      </w:r>
      <w:r>
        <w:rPr>
          <w:rFonts w:ascii="Times New Roman" w:cs="Times New Roman" w:eastAsia="Times New Roman" w:hAnsi="Times New Roman"/>
          <w:sz w:val="18"/>
          <w:szCs w:val="18"/>
        </w:rPr>
        <w:t xml:space="preserve">.</w:t>
      </w:r>
    </w:p>
    <w:p>
      <w:pPr>
        <w:keepNext/>
        <w:spacing w:after="80" w:before="200"/>
        <w:jc w:val="center"/>
      </w:pPr>
      <w:r>
        <w:rPr>
          <w:rFonts w:ascii="Times New Roman" w:cs="Times New Roman" w:eastAsia="Times New Roman" w:hAnsi="Times New Roman"/>
          <w:b/>
          <w:bCs/>
          <w:sz w:val="18"/>
          <w:szCs w:val="18"/>
        </w:rPr>
        <w:t xml:space="preserve">Table 2: </w:t>
      </w:r>
      <w:r>
        <w:rPr>
          <w:rFonts w:ascii="Times New Roman" w:cs="Times New Roman" w:eastAsia="Times New Roman" w:hAnsi="Times New Roman"/>
          <w:sz w:val="18"/>
          <w:szCs w:val="18"/>
        </w:rPr>
        <w:t xml:space="preserve">Listing of the 25 primary studies identified after the selection process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600"/>
        <w:gridCol w:w="3978"/>
        <w:gridCol w:w="2100"/>
      </w:tblGrid>
      <w:tr>
        <w:trPr>
          <w:cantSplit/>
          <w:tblHeader/>
        </w:trPr>
        <w:tc>
          <w:tcPr>
            <w:tcW w:type="dxa" w:w="7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Study</w:t>
            </w:r>
          </w:p>
        </w:tc>
        <w:tc>
          <w:tcPr>
            <w:tcW w:type="dxa" w:w="175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Author(s)</w:t>
            </w:r>
          </w:p>
        </w:tc>
        <w:tc>
          <w:tcPr>
            <w:tcW w:type="dxa" w:w="6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Year</w:t>
            </w:r>
          </w:p>
        </w:tc>
        <w:tc>
          <w:tcPr>
            <w:tcW w:type="dxa" w:w="397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Title</w:t>
            </w:r>
          </w:p>
        </w:tc>
        <w:tc>
          <w:tcPr>
            <w:tcW w:type="dxa" w:w="21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Category</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Abbasi et al. [50]</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Nexa: Enabling Secure, Scalable, and Decentralized Management of Electronic Health Records Using Threshold Cryptography and Public Blockchains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Albalwy et al. [48]</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2021</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Blockchain-based dynamic consent architecture to support clinical genomic data sharing (ConsentChain): Proof-of-concept study</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Policy and context (Req 4)</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S3</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 Amin et al. [51]</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2023</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Informed Consent as Patient Driven Policy for Clinical Diagnosis and Treatment: A Smart Contract Based Approach</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representation (Req 1)</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S4</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Ekholm et al. [27]</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Implementing electronic informed consent in rare disease genomics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S5</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Eneh et al. [28]</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Demo: EdgeConsent: On-Chain Attribute-Based Access Control for Data Consent Management</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Temporal and lifecycle (Req 5)</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S6</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Hagström et al. [52]</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2024</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Minors’ and guardian access to and use of a national patient portal: A retrospective comparative case study of Sweden and Finland</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S7</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Jaiman and Urovi [47]</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2020</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Consent Model for Blockchain-Based Health Data Sharing Platforms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Policy and context (Req 4)</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S8</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Zhao and Su [53]</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2024</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threshold traceable delegation authorization scheme for data sharing in healthcare</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Security assurance (Req 6)</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S9</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Li et al. [49]</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Privacy-Preserving Fine-Grained EMR Access Control for IoMT: A Hybrid RBAC-Smart Contract Scheme With Attribute-Based Authorization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Temporal and lifecycle (Req 5)</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S10</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Madine et al. [23]</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2020</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Fully Decentralized Multi-Party Consent Management for Secure Sharing of Patient Health Records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S11</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Maruthi and Singh [54]</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Enhancing Security and Privacy of IoMT Data for Unconscious Patient With Blockchain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Security assurance (Req 6)</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S12</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Mei et al. [55]</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Efficient Dual-Revocation CP-ABE for Secure and Fine-Grained Data Sharing in IoMT</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Security assurance (Req 6)</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S13</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Panagoulias et al. [29]</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Blockchain-Enabled Trust and Compliance for Clinical AI: Decentralized Governance Without Decentralized Data Storage</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Temporal and lifecycle (Req 5)</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S14</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Phuyal et al. [21]</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Enabling Cross-Institution Health Data Sharing in Norway: EUDI Wallets, On-Chain Consent, and openEHR↔FHIR Translation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Identity and authority (Req 2)</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S15</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Phuyal et al. [56]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Blockchain-Based Architecture for Dynamic and Auditable Patient Consent in Secondary Use of Health Data</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Identity and authority (Req 2)</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S16</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Punia et al. [25]</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An access control system for cloud-based healthcare systems driven by blockchain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S17</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Román-Martínez et al. [30]</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2023</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Blockchain-Based Service-Oriented Architecture for Consent Management, Access Control, and Auditing</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Policy and context (Req 4)</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S18</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Hema et al. [57]</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Patient Centric Cryptographic Protection of Cloud Electronic Health Records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Temporal and lifecycle (Req 5)</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S19</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SooHoo</w:t>
            </w:r>
            <w:r>
              <w:rPr>
                <w:rFonts w:ascii="Times New Roman" w:cs="Times New Roman" w:eastAsia="Times New Roman" w:hAnsi="Times New Roman"/>
                <w:b w:val="false"/>
                <w:bCs w:val="false"/>
                <w:sz w:val="17"/>
                <w:szCs w:val="17"/>
              </w:rPr>
              <w:t xml:space="preserve"> et al. [58]</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Development of the authentication and authorization processes for the iAgree portal, a platform for patient-controlled data sharing across health systems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representation (Req 1)</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S20</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Tan et al. [26]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2024</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Secure and privacy-preserving sharing of personal health records with multi-party pre-authorization verification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S21</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Tith et al. [24]</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2020</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Patient consent management by a purpose-based consent model for electronic health record based on blockchain technology</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Policy and context (Req 4)</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S22</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Tremper et al. [59]</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Mainzelliste: Ten years of pseudonymization, record linkage, and informed consent management</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representation (Req 1)</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S23</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Tseng et al. [60]</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EMR-Chain: Decentralized Electronic Medical Record Exchange System</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Identity and authority (Req 2)</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S24</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Wu et al. [61]</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2022</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Apply Trust Computing and Privacy Preserving Smart Contracts to Manage, Share, and Analyze Multi-site Clinical Trial Data</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S25</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Wu and Zhang [22]</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HealthDID: An efficient and authorizable multi-party privacy-preserving EMR sharing system based on DID</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Security assurance (Req 6)</w:t>
            </w:r>
          </w:p>
        </w:tc>
      </w:tr>
    </w:tbl>
    <w:p>
      <w:pPr>
        <w:spacing w:after="160"/>
      </w:pPr>
    </w:p>
    <w:p>
      <w:pPr>
        <w:pStyle w:val="Heading2"/>
        <w:keepNext/>
        <w:spacing w:after="120" w:before="240"/>
      </w:pPr>
      <w:r>
        <w:rPr>
          <w:rFonts w:ascii="Times New Roman" w:cs="Times New Roman" w:eastAsia="Times New Roman" w:hAnsi="Times New Roman"/>
          <w:b/>
          <w:bCs/>
          <w:sz w:val="26"/>
          <w:szCs w:val="26"/>
        </w:rPr>
        <w:t xml:space="preserve">2.3  </w:t>
      </w:r>
      <w:r>
        <w:rPr>
          <w:rFonts w:ascii="Times New Roman" w:cs="Times New Roman" w:eastAsia="Times New Roman" w:hAnsi="Times New Roman"/>
          <w:b/>
          <w:bCs/>
          <w:sz w:val="26"/>
          <w:szCs w:val="26"/>
        </w:rPr>
        <w:t xml:space="preserve">Review of the Six Streams</w:t>
      </w:r>
    </w:p>
    <w:p>
      <w:pPr>
        <w:spacing w:after="110" w:line="264"/>
        <w:jc w:val="both"/>
      </w:pPr>
      <w:r>
        <w:rPr>
          <w:rFonts w:ascii="Times New Roman" w:cs="Times New Roman" w:eastAsia="Times New Roman" w:hAnsi="Times New Roman"/>
          <w:sz w:val="22"/>
          <w:szCs w:val="22"/>
        </w:rPr>
        <w:t xml:space="preserve">The extracted data were organised into thematic categories corresponding to the research questions. </w:t>
      </w:r>
      <w:r>
        <w:rPr>
          <w:rFonts w:ascii="Times New Roman" w:cs="Times New Roman" w:eastAsia="Times New Roman" w:hAnsi="Times New Roman"/>
          <w:sz w:val="22"/>
          <w:szCs w:val="22"/>
        </w:rPr>
        <w:t xml:space="preserve">Each included study was assigned to one stream, normally the one on which it is coded most strongly</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S6 [52] is placed in the multi-party stream for its guardian access gate, although it is graded Partial on Req 3.</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Consent representation and blockchain-based consent governance (Req 1).</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Two of the three studies of this stream are deployed platforms graded Partial.</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SooHoo</w:t>
      </w:r>
      <w:r>
        <w:rPr>
          <w:rFonts w:ascii="Times New Roman" w:cs="Times New Roman" w:eastAsia="Times New Roman" w:hAnsi="Times New Roman"/>
          <w:sz w:val="22"/>
          <w:szCs w:val="22"/>
        </w:rPr>
        <w:t xml:space="preserve"> et al. [58] describe the iAgree portal across three United States health systems with a permissioned Ethereum audit contract, but consent enforcement is outside its scope. Tremper et al. [59] report ten years of the Mainzelliste service with FHIR consent directives, but specify no check semantics and no demonstrated enforcement of withdrawal. </w:t>
      </w:r>
      <w:r>
        <w:rPr>
          <w:rFonts w:ascii="Times New Roman" w:cs="Times New Roman" w:eastAsia="Times New Roman" w:hAnsi="Times New Roman"/>
          <w:sz w:val="22"/>
          <w:szCs w:val="22"/>
        </w:rPr>
        <w:t xml:space="preserve">The two platforms are single-party systems. Al Amin et al. [51] model informed consent as a patient-driven policy object with hash integrity, but specify no purpose condition and report no measured results.</w:t>
      </w:r>
      <w:r>
        <w:rPr>
          <w:rFonts w:ascii="Times New Roman" w:cs="Times New Roman" w:eastAsia="Times New Roman" w:hAnsi="Times New Roman"/>
          <w:sz w:val="22"/>
          <w:szCs w:val="22"/>
        </w:rPr>
        <w:t xml:space="preserve"> The supporting references represent consent as a permission indicating whether a particular party is allowed to perform a specified </w:t>
      </w:r>
      <w:r>
        <w:rPr>
          <w:rFonts w:ascii="Times New Roman" w:cs="Times New Roman" w:eastAsia="Times New Roman" w:hAnsi="Times New Roman"/>
          <w:sz w:val="22"/>
          <w:szCs w:val="22"/>
        </w:rPr>
        <w:t xml:space="preserve">operation [62, 63], as conditions fixed at encryption time [64], or as a key issued by the patient for each request [65].</w:t>
      </w:r>
      <w:r>
        <w:rPr>
          <w:rFonts w:ascii="Times New Roman" w:cs="Times New Roman" w:eastAsia="Times New Roman" w:hAnsi="Times New Roman"/>
          <w:sz w:val="22"/>
          <w:szCs w:val="22"/>
        </w:rPr>
        <w:t xml:space="preserve"> The existence of a consent record does not necessarily explain whether the conditions required for a subsequent access request are still satisfied.</w:t>
      </w:r>
      <w:r>
        <w:rPr>
          <w:rFonts w:ascii="Times New Roman" w:cs="Times New Roman" w:eastAsia="Times New Roman" w:hAnsi="Times New Roman"/>
          <w:color w:val="FF0000"/>
          <w:sz w:val="22"/>
          <w:szCs w:val="22"/>
        </w:rPr>
        <w:t xml:space="preserve"> Table 3 summarises the description and the issues and limitations of each primary study.</w:t>
      </w:r>
    </w:p>
    <w:p>
      <w:pPr>
        <w:spacing w:after="110" w:line="264"/>
        <w:jc w:val="both"/>
      </w:pPr>
      <w:r>
        <w:rPr>
          <w:rFonts w:ascii="Times New Roman" w:cs="Times New Roman" w:eastAsia="Times New Roman" w:hAnsi="Times New Roman"/>
          <w:b/>
          <w:bCs/>
          <w:sz w:val="22"/>
          <w:szCs w:val="22"/>
        </w:rPr>
        <w:t xml:space="preserve">Decentralised identity and authority trust (Req 2).</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trust dimension T2 was graded Yes in only 10 of the 25 studies and Partial in 15, and the stricter Req 2 grade in Table 4, which needs both identity and authority, is Yes in only 7.</w:t>
      </w:r>
      <w:r>
        <w:rPr>
          <w:rFonts w:ascii="Times New Roman" w:cs="Times New Roman" w:eastAsia="Times New Roman" w:hAnsi="Times New Roman"/>
          <w:sz w:val="22"/>
          <w:szCs w:val="22"/>
        </w:rPr>
        <w:t xml:space="preserve"> Phuyal et al. [21] present the most integrated system, with EUDI-compatible wallets, W3C decentralised identifiers, verifiable credentials, an on-chain consent object on Hyperledger Besu, and Groth16 access proofs. Its licensing-body credential asserts role and scope of practice separately from authentication, </w:t>
      </w:r>
      <w:r>
        <w:rPr>
          <w:rFonts w:ascii="Times New Roman" w:cs="Times New Roman" w:eastAsia="Times New Roman" w:hAnsi="Times New Roman"/>
          <w:sz w:val="22"/>
          <w:szCs w:val="22"/>
        </w:rPr>
        <w:t xml:space="preserve">which is among the strongest Req 2 evidence in the corpus.</w:t>
      </w:r>
      <w:r>
        <w:rPr>
          <w:rFonts w:ascii="Times New Roman" w:cs="Times New Roman" w:eastAsia="Times New Roman" w:hAnsi="Times New Roman"/>
          <w:sz w:val="22"/>
          <w:szCs w:val="22"/>
        </w:rPr>
        <w:t xml:space="preserve"> However, a single patient grants consent, the stored expiry is not checked, there is no threat model, and the companion architecture [56] is design-only. Tseng et al. [60] verify authority-issued roles separately from X.509 identities, although without W3C identifiers and with purpose logged but never evaluated. Neither identity verification nor credential possession automatically establishes that the participant should be granted access to a particular patient's information.</w:t>
      </w:r>
    </w:p>
    <w:p>
      <w:pPr>
        <w:spacing w:after="110" w:line="264"/>
        <w:jc w:val="both"/>
      </w:pPr>
      <w:r>
        <w:rPr>
          <w:rFonts w:ascii="Times New Roman" w:cs="Times New Roman" w:eastAsia="Times New Roman" w:hAnsi="Times New Roman"/>
          <w:b/>
          <w:bCs/>
          <w:sz w:val="22"/>
          <w:szCs w:val="22"/>
        </w:rPr>
        <w:t xml:space="preserve">Multi-party authorisation and collaborative consent (Req 3).</w:t>
      </w:r>
      <w:r>
        <w:rPr>
          <w:rFonts w:ascii="Times New Roman" w:cs="Times New Roman" w:eastAsia="Times New Roman" w:hAnsi="Times New Roman"/>
          <w:sz w:val="22"/>
          <w:szCs w:val="22"/>
        </w:rPr>
        <w:t xml:space="preserve"> T3 was graded Yes in 6 of the 25 studies, Partial in 4, and No in 15, across six ratified mechanism classes. Madine et al. [23] require a regulator and a guardian threshold on the incapacitated path, but a single patient key suffices on the normal path. Wu et al. [61] apply a (t, n) investigator threshold to record admission and revocation, and Abbasi et al. [50] use a Shamir (5, 3) threshold for key custody. Punia et al. [25] conjoin an M-of-N multi-signature with an attribute and role policy, but a single emergency officer can bypass the threshold. Tan et al. [26] use patient-appointed verifiers as a contingency, </w:t>
      </w:r>
      <w:r>
        <w:rPr>
          <w:rFonts w:ascii="Times New Roman" w:cs="Times New Roman" w:eastAsia="Times New Roman" w:hAnsi="Times New Roman"/>
          <w:sz w:val="22"/>
          <w:szCs w:val="22"/>
        </w:rPr>
        <w:t xml:space="preserve">[27] reports guardian co-consent at registration time, and [52] gates guardian access by the minor's consent and a clinician's capacity assessment.</w:t>
      </w:r>
      <w:r>
        <w:rPr>
          <w:rFonts w:ascii="Times New Roman" w:cs="Times New Roman" w:eastAsia="Times New Roman" w:hAnsi="Times New Roman"/>
          <w:sz w:val="22"/>
          <w:szCs w:val="22"/>
        </w:rPr>
        <w:t xml:space="preserve"> No reviewed study evaluates a threshold predicate over a patient-designated guardian set on every request, and none does so together with the policy, temporal, and jurisdictional conditions. This represents an important area addressed by the proposed framework. Multi-party verification of identity should not be considered equivalent to multi-party authorisation of data access.</w:t>
      </w:r>
    </w:p>
    <w:p>
      <w:pPr>
        <w:spacing w:after="110" w:line="264"/>
        <w:jc w:val="both"/>
      </w:pPr>
      <w:r>
        <w:rPr>
          <w:rFonts w:ascii="Times New Roman" w:cs="Times New Roman" w:eastAsia="Times New Roman" w:hAnsi="Times New Roman"/>
          <w:b/>
          <w:bCs/>
          <w:sz w:val="22"/>
          <w:szCs w:val="22"/>
        </w:rPr>
        <w:t xml:space="preserve">Policy- and context-aware access control (Req 4).</w:t>
      </w:r>
      <w:r>
        <w:rPr>
          <w:rFonts w:ascii="Times New Roman" w:cs="Times New Roman" w:eastAsia="Times New Roman" w:hAnsi="Times New Roman"/>
          <w:sz w:val="22"/>
          <w:szCs w:val="22"/>
        </w:rPr>
        <w:t xml:space="preserve"> Access control becomes more complex when policies must be connected directly to a decentralised consent process. Tith et al. [24] match a purpose tree in chaincode, and Jaiman and Urovi [47] match ontology terms against the patient's consent. Albalwy et al. [48] evaluate a hashed policy tree of data type, role, and purpose, and Román-Martínez et al. [30] evaluate the FHIR purpose-of-use through XACML. </w:t>
      </w:r>
      <w:r>
        <w:rPr>
          <w:rFonts w:ascii="Times New Roman" w:cs="Times New Roman" w:eastAsia="Times New Roman" w:hAnsi="Times New Roman"/>
          <w:sz w:val="22"/>
          <w:szCs w:val="22"/>
        </w:rPr>
        <w:t xml:space="preserve">The trust dimension T4 is coded Yes in 11 studies, Partial in 10, and No in 4, and the Req 4 grade in Table 4 is Yes in 10, Partial in 11, and No in 4.</w:t>
      </w:r>
      <w:r>
        <w:rPr>
          <w:rFonts w:ascii="Times New Roman" w:cs="Times New Roman" w:eastAsia="Times New Roman" w:hAnsi="Times New Roman"/>
          <w:sz w:val="22"/>
          <w:szCs w:val="22"/>
        </w:rPr>
        <w:t xml:space="preserve"> However, purpose-of-use enters the decision in only six studies [24, 28–30, 47, 48], and every one is coded T3 No. Consequently, purpose and data-scope constraints are not carried by the consent object C and evaluated together with the identity, authority, and multi-party conditions.</w:t>
      </w:r>
    </w:p>
    <w:p>
      <w:pPr>
        <w:spacing w:after="110" w:line="264"/>
        <w:jc w:val="both"/>
      </w:pPr>
      <w:r>
        <w:rPr>
          <w:rFonts w:ascii="Times New Roman" w:cs="Times New Roman" w:eastAsia="Times New Roman" w:hAnsi="Times New Roman"/>
          <w:b/>
          <w:bCs/>
          <w:sz w:val="22"/>
          <w:szCs w:val="22"/>
        </w:rPr>
        <w:t xml:space="preserve">Temporal validity and consent lifecycle (Req 5).</w:t>
      </w:r>
      <w:r>
        <w:rPr>
          <w:rFonts w:ascii="Times New Roman" w:cs="Times New Roman" w:eastAsia="Times New Roman" w:hAnsi="Times New Roman"/>
          <w:sz w:val="22"/>
          <w:szCs w:val="22"/>
        </w:rPr>
        <w:t xml:space="preserve"> A consent that is valid at one point in time cannot necessarily be assumed to remain valid indefinitely. Eneh et al. [28] present EdgeConsent, </w:t>
      </w:r>
      <w:r>
        <w:rPr>
          <w:rFonts w:ascii="Times New Roman" w:cs="Times New Roman" w:eastAsia="Times New Roman" w:hAnsi="Times New Roman"/>
          <w:sz w:val="22"/>
          <w:szCs w:val="22"/>
        </w:rPr>
        <w:t xml:space="preserve">which enforces</w:t>
      </w:r>
      <w:r>
        <w:rPr>
          <w:rFonts w:ascii="Times New Roman" w:cs="Times New Roman" w:eastAsia="Times New Roman" w:hAnsi="Times New Roman"/>
          <w:sz w:val="22"/>
          <w:szCs w:val="22"/>
        </w:rPr>
        <w:t xml:space="preserve"> temporal validity inside the decision predicate, although its lifecycle is only an active flag. Temporal validity must also be evaluated together with the lifecycle state of the consent. Hema et al. [57] bind the expiry into key derivation, and Panagoulias et al. [29] enforce revocation at decision time across 43,500 simulated attempts in a single-node ledger. </w:t>
      </w:r>
      <w:r>
        <w:rPr>
          <w:rFonts w:ascii="Times New Roman" w:cs="Times New Roman" w:eastAsia="Times New Roman" w:hAnsi="Times New Roman"/>
          <w:strike/>
          <w:color w:val="FF0000"/>
          <w:sz w:val="22"/>
          <w:szCs w:val="22"/>
        </w:rPr>
        <w:t xml:space="preserve">Li et al. [49] enforce time on a credential rather than on the consent. </w:t>
      </w:r>
      <w:r>
        <w:rPr>
          <w:rFonts w:ascii="Times New Roman" w:cs="Times New Roman" w:eastAsia="Times New Roman" w:hAnsi="Times New Roman"/>
          <w:sz w:val="22"/>
          <w:szCs w:val="22"/>
        </w:rPr>
        <w:t xml:space="preserve">T5 is coded Yes in 8 studies and T6 in 7, a post-revocation denial </w:t>
      </w:r>
      <w:r>
        <w:rPr>
          <w:rFonts w:ascii="Times New Roman" w:cs="Times New Roman" w:eastAsia="Times New Roman" w:hAnsi="Times New Roman"/>
          <w:sz w:val="22"/>
          <w:szCs w:val="22"/>
        </w:rPr>
        <w:t xml:space="preserve">is demonstrated only by [21, 28, 29],</w:t>
      </w:r>
      <w:r>
        <w:rPr>
          <w:rFonts w:ascii="Times New Roman" w:cs="Times New Roman" w:eastAsia="Times New Roman" w:hAnsi="Times New Roman"/>
          <w:sz w:val="22"/>
          <w:szCs w:val="22"/>
        </w:rPr>
        <w:t xml:space="preserve"> and the </w:t>
      </w:r>
      <w:r>
        <w:rPr>
          <w:rFonts w:ascii="Times New Roman" w:cs="Times New Roman" w:eastAsia="Times New Roman" w:hAnsi="Times New Roman"/>
          <w:strike/>
          <w:color w:val="FF0000"/>
          <w:sz w:val="22"/>
          <w:szCs w:val="22"/>
        </w:rPr>
        <w:t xml:space="preserve">three</w:t>
      </w:r>
      <w:r>
        <w:rPr>
          <w:rFonts w:ascii="Times New Roman" w:cs="Times New Roman" w:eastAsia="Times New Roman" w:hAnsi="Times New Roman"/>
          <w:color w:val="FF0000"/>
          <w:sz w:val="22"/>
          <w:szCs w:val="22"/>
        </w:rPr>
        <w:t xml:space="preserve">four</w:t>
      </w:r>
      <w:r>
        <w:rPr>
          <w:rFonts w:ascii="Times New Roman" w:cs="Times New Roman" w:eastAsia="Times New Roman" w:hAnsi="Times New Roman"/>
          <w:sz w:val="22"/>
          <w:szCs w:val="22"/>
        </w:rPr>
        <w:t xml:space="preserve"> stream-5 systems that enforce time inside the decision are all single-party</w:t>
      </w:r>
      <w:r>
        <w:rPr>
          <w:rFonts w:ascii="Times New Roman" w:cs="Times New Roman" w:eastAsia="Times New Roman" w:hAnsi="Times New Roman"/>
          <w:color w:val="FF0000"/>
          <w:sz w:val="22"/>
          <w:szCs w:val="22"/>
        </w:rPr>
        <w:t xml:space="preserve">, with [49] doing so through the credential rather than the consent</w:t>
      </w:r>
      <w:r>
        <w:rPr>
          <w:rFonts w:ascii="Times New Roman" w:cs="Times New Roman" w:eastAsia="Times New Roman" w:hAnsi="Times New Roman"/>
          <w:sz w:val="22"/>
          <w:szCs w:val="22"/>
        </w:rPr>
        <w:t xml:space="preserve">.</w:t>
      </w:r>
    </w:p>
    <w:p>
      <w:pPr>
        <w:spacing w:after="110" w:line="264"/>
        <w:jc w:val="both"/>
      </w:pPr>
      <w:r>
        <w:rPr>
          <w:rFonts w:ascii="Times New Roman" w:cs="Times New Roman" w:eastAsia="Times New Roman" w:hAnsi="Times New Roman"/>
          <w:b/>
          <w:bCs/>
          <w:sz w:val="22"/>
          <w:szCs w:val="22"/>
        </w:rPr>
        <w:t xml:space="preserve">Formal security assurance and empirical validation (Req 6).</w:t>
      </w:r>
      <w:r>
        <w:rPr>
          <w:rFonts w:ascii="Times New Roman" w:cs="Times New Roman" w:eastAsia="Times New Roman" w:hAnsi="Times New Roman"/>
          <w:sz w:val="22"/>
          <w:szCs w:val="22"/>
        </w:rPr>
        <w:t xml:space="preserv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 Wu and Zhang [22] present HealthDID, with three game-based definitions and three theorems proved by reduction, although </w:t>
      </w:r>
      <w:r>
        <w:rPr>
          <w:rFonts w:ascii="Times New Roman" w:cs="Times New Roman" w:eastAsia="Times New Roman" w:hAnsi="Times New Roman"/>
          <w:sz w:val="22"/>
          <w:szCs w:val="22"/>
        </w:rPr>
        <w:t xml:space="preserve">the proofs cover</w:t>
      </w:r>
      <w:r>
        <w:rPr>
          <w:rFonts w:ascii="Times New Roman" w:cs="Times New Roman" w:eastAsia="Times New Roman" w:hAnsi="Times New Roman"/>
          <w:sz w:val="22"/>
          <w:szCs w:val="22"/>
        </w:rPr>
        <w:t xml:space="preserve"> only the identity and authority fragment. Zhao and Su [53] and Maruthi and Singh [54] prove threshold gates in isolation, and Mei et al. [55] prove a static encryption predicate. Formal assurance is coded Yes in only 4 of the 25 studies, and empirical validation Yes in 5, Partial in 19, and No in 1. </w:t>
      </w:r>
      <w:r>
        <w:rPr>
          <w:rFonts w:ascii="Times New Roman" w:cs="Times New Roman" w:eastAsia="Times New Roman" w:hAnsi="Times New Roman"/>
          <w:sz w:val="22"/>
          <w:szCs w:val="22"/>
        </w:rPr>
        <w:t xml:space="preserve">We observed an inverse relation between predicate breadth and assurance strength.</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Few studies</w:t>
      </w:r>
      <w:r>
        <w:rPr>
          <w:rFonts w:ascii="Times New Roman" w:cs="Times New Roman" w:eastAsia="Times New Roman" w:hAnsi="Times New Roman"/>
          <w:sz w:val="22"/>
          <w:szCs w:val="22"/>
        </w:rPr>
        <w:t xml:space="preserve"> execute adversarial scenarios that examine whether security controls can resist deliberate attempts to circumvent the authorisation process.</w:t>
      </w:r>
      <w:r>
        <w:rPr>
          <w:rFonts w:ascii="Times New Roman" w:cs="Times New Roman" w:eastAsia="Times New Roman" w:hAnsi="Times New Roman"/>
          <w:strike/>
          <w:color w:val="FF0000"/>
          <w:sz w:val="22"/>
          <w:szCs w:val="22"/>
        </w:rPr>
        <w:t xml:space="preserve"> Table 3 summarises the description and the issues and limitations of each primary study.</w:t>
      </w:r>
    </w:p>
    <w:p>
      <w:pPr>
        <w:keepNext/>
        <w:spacing w:after="80" w:before="200"/>
        <w:jc w:val="center"/>
      </w:pPr>
      <w:r>
        <w:rPr>
          <w:rFonts w:ascii="Times New Roman" w:cs="Times New Roman" w:eastAsia="Times New Roman" w:hAnsi="Times New Roman"/>
          <w:b/>
          <w:bCs/>
          <w:sz w:val="18"/>
          <w:szCs w:val="18"/>
        </w:rPr>
        <w:t xml:space="preserve">Table 3: </w:t>
      </w:r>
      <w:r>
        <w:rPr>
          <w:rFonts w:ascii="Times New Roman" w:cs="Times New Roman" w:eastAsia="Times New Roman" w:hAnsi="Times New Roman"/>
          <w:sz w:val="18"/>
          <w:szCs w:val="18"/>
        </w:rPr>
        <w:t xml:space="preserve">Descriptions, issues and limitations of the 25 primary studies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200"/>
        <w:gridCol w:w="3964"/>
        <w:gridCol w:w="3964"/>
      </w:tblGrid>
      <w:tr>
        <w:trPr>
          <w:cantSplit/>
          <w:tblHeader/>
        </w:trPr>
        <w:tc>
          <w:tcPr>
            <w:tcW w:type="dxa" w:w="12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Study</w:t>
            </w:r>
          </w:p>
        </w:tc>
        <w:tc>
          <w:tcPr>
            <w:tcW w:type="dxa" w:w="396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Description of the study</w:t>
            </w:r>
          </w:p>
        </w:tc>
        <w:tc>
          <w:tcPr>
            <w:tcW w:type="dxa" w:w="396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Issues/Limitations</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 Abbasi et al. [50]</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Decentralised EHR management in which a Shamir (5, 3) threshold reconstructs a symmetric key, and automated oracles release their shares according to the requester's on-chain role.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threshold is over key custodians rather than authorisers, the patient share is not required, purpose is not evaluated, and no authorisation decision is verified despite extensive performance measurement.</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 Albalwy et al. [48]</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blockchain-based dynamic consent proof of concept for clinical genomic data, in which a hashed policy tree of data type, role, and purpose is evaluated by the smart contract.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single patient sets and cancels consent, the requester's role and credentials are not verified, time is applied only at the delivery layer, and there is no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S3 Al Amin et al. [51]</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Informed consent is modelled as a patient-driven policy object with hash integrity, which an authorisation module conjoins with other policies inside a smart contract.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Purpose is not a condition, the time and expiry conditions are specified but not enforced, the only multi-party element is a 2-of-2 co-signature at registration, and the Goerli evaluation reports no measured results.</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S4 Ekholm et al. [27]</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deployed electronic informed consent platform for rare disease genomics, in which a minor's consent is valid only when all legal guardians sign, and guardianship is verified against the Swedish Population Register.</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guardian co-consent applies at registration rather than at each access request, the platform is centralised and described with little technical detail, and there is no temporal, purpose, or formal assurance condition.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S5 Eneh et al. [28]</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EdgeConsent, a demonstration of on-chain attribute-based access control in which consent rules with purpose, data category, and notBefore and notAfter bounds are evaluated at decision time.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two-page demonstration with weak identity and authority trust and no DID or VC, no multi-party approval, a lifecycle that is only an active flag, and preliminary local evaluation without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S6 Hagström et al. [52]</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comparative case study of national patient portals, in which a clinician's capacity assessment and the minor's consent jointly gate guardian access, with register-verified guardianship and enforced age windows.</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mechanism is centralised and applied at documentation time, and the guardian is the party whose proxy access is gated rather than a co-authoriser of the patient's access decision.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S7 Jaiman and Urovi [47]</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consent model in which ontology terms requested by a data requester are matched against the patient's consent inside the smart contract, with denial tested across requester profiles.</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Security assurance is explicitly outside its scope, and there is no multi-party approval.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S8 Zhao and Su [53]</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threshold traceable delegation scheme in which the patient delegates a threshold of l already-authorised users, who must jointly authorise an out-of-policy requester, with unforgeability argued under DBDH.</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authorisers are consumer-side delegates rather than patient-side stakeholders, the patient's own decision is unilateral, a trusted authority escrows keys, and there is no temporal, lifecycle, or purpose condition.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S9 Li et al. [49]</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hybrid RBAC and smart contract scheme with attribute-based authentication for fine-grained EMR access in IoMT, which enforces credential expiry at every sharing interaction.</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Time is enforced in the decision through the credential rather than the consent, which is why Req 5 is graded Yes, but the consent itself carries no enforced validity window, and there is no multi-party approval.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S10 Madine et al. [23]</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Fully decentralised multi-party consent management in which, on the incapacitated path, approvals from a regulator and a guardian threshold are required on one access request, and stale attestations stop counting.</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On the normal path a single patient key authorises, so multi-party approval is a contingency</w:t>
            </w:r>
            <w:r>
              <w:rPr>
                <w:rFonts w:ascii="Times New Roman" w:cs="Times New Roman" w:eastAsia="Times New Roman" w:hAnsi="Times New Roman"/>
                <w:b w:val="false"/>
                <w:bCs w:val="false"/>
                <w:sz w:val="17"/>
                <w:szCs w:val="17"/>
              </w:rPr>
              <w:t xml:space="preserve">;</w:t>
            </w:r>
            <w:r>
              <w:rPr>
                <w:rFonts w:ascii="Times New Roman" w:cs="Times New Roman" w:eastAsia="Times New Roman" w:hAnsi="Times New Roman"/>
                <w:b w:val="false"/>
                <w:bCs w:val="false"/>
                <w:sz w:val="17"/>
                <w:szCs w:val="17"/>
              </w:rPr>
              <w:t xml:space="preserve"> purpose and data-category policy are absent, revocation after delivery is not possible, and there is no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S11 Maruthi and Singh [54]</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Protection of IoMT data for unconscious patients, in which t-of-n patient-designated relatives release access through threshold proxy re-encryption, and the hospital and relatives are authenticated on chain.</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Policy and temporal conditions are not evaluated, and the proofs cover the threshold gate in isolation rather than the complete decision.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S12 Mei et al. [55]</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An efficient dual-revocation CP-ABE scheme for IoMT that terminates access immediately through ciphertext update, motivated by consent withdrawal, with a security reduction under q-BDHE.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proof covers a static encryption predicate, revocation operates at scheme level rather than on a consent object, and there is no multi-party approval.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S13 Panagoulias et al. [29]</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Blockchain-enabled trust and compliance for clinical AI, in which an Allow predicate over time, revocation, role, and purpose is evaluated before execution and denials are recorded, verified across simulated attempts with zero consent drift.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simulated single-node prototype with set-membership policy and aggregate deny attribution, without multi-party approval or identity depth, and the authors declare no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S14 Phuyal et al. [21]</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Cross-institution health data sharing with EUDI-compatible wallets, W3C decentralised identifiers, verifiable credentials, an on-chain consent object on Hyperledger Besu, and Groth16 access proofs, where a licensing-body credential asserts role separately from authentication.</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single patient grants consent, the stored expiry is not checked, purpose is handled only at the interface, and there is no threat model.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S15 Phuyal et al. [56]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design-science architecture for dynamic and auditable patient consent in secondary use, using FHIR Consent with purpose, scope, actors, and validity period, anchored on chain, with conceptual VC validation at a gateway.</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architecture is design-only and is neither implemented nor evaluated, and delegation through VCs is not joint multi-party approval.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S16 Punia et al. [25]</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MedXBlock, a blockchain-driven access control system for cloud healthcare that combines an institutional M-of-N multi-signature with a conjunctive role and attribute policy evaluated with deny-by-default.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signers are doctors and administrators rather than patient-side parties, the threshold sits outside the decision predicate and a single emergency officer can bypass it, there is no purpose term, and no authorisation decision is verified.</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S17 Román-Martínez et al. [30]</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blockchain-based service-oriented architecture on Hyperledger Fabric for consent management, access control, and auditing, in which FHIR purpose-of-use limits are evaluated per resource through XACML.</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There is no withdrawal or expiry path, and the experiments validate only the blockchain component.</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S18 Hema et al. [57]</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Patient-centric cryptographic protection of cloud EHRs, in which a signed consent token, role, and expiry are inputs to key derivation, so that access becomes a cryptographic precondition and role-scoped keys separate authority from identity.</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is issued from a single patient key, identity relies on a cloud authentication service without DID or VC, and assurance is limited to an adversary model.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S19 </w:t>
            </w:r>
            <w:r>
              <w:rPr>
                <w:rFonts w:ascii="Times New Roman" w:cs="Times New Roman" w:eastAsia="Times New Roman" w:hAnsi="Times New Roman"/>
                <w:b w:val="false"/>
                <w:bCs w:val="false"/>
                <w:sz w:val="17"/>
                <w:szCs w:val="17"/>
              </w:rPr>
              <w:t xml:space="preserve">SooHoo</w:t>
            </w:r>
            <w:r>
              <w:rPr>
                <w:rFonts w:ascii="Times New Roman" w:cs="Times New Roman" w:eastAsia="Times New Roman" w:hAnsi="Times New Roman"/>
                <w:b w:val="false"/>
                <w:bCs w:val="false"/>
                <w:sz w:val="17"/>
                <w:szCs w:val="17"/>
              </w:rPr>
              <w:t xml:space="preserve"> et al. [58]</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authentication and authorisation processes of the iAgree portal across three United States health systems, using OAuth2, SMART on FHIR, and one-time passwords, with a permissioned Ethereum audit contract.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enforcement is outside its scope, a single patient decides, identity and authority are not separated, revocation is claimed but not tested, and there are no formal methods.</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S20 Tan et al. [26]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Sharing of personal health records with multi-party pre-authorisation verification, in which a (t, n) threshold of patient-appointed verifiers each validate the grant, its expiry, and the revocation list before releasing a key share.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joint approval is a pre-delegated contingency for an unconscious patient rather than a standing condition, purpose and data scope are not evaluated, and the gate is not evaluated empirically as an authorisation decision.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S21 Tith et al. [24]</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purpose-based consent model on Hyperledger Fabric, in which a consent tuple of role, doctor identifiers, action, and intended purpose is matched against a purpose tree in chaincode at request time.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is given by a single patient, the tuple has no temporal element, the effect of withdrawal is not tested, identity uses Fabric certificates without DID or VC, and there is no formal verification.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S22 Tremper et al. [59]</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Ten years of the Mainzelliste production service for pseudonymisation, record linkage, and informed consent management, with purpose-scoped FHIR consent directives and automated consent checks.</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consent checks have no specified semantics and no demonstrated enforcement of withdrawal, its multi-party computation parties are linkage units rather than authorisers, and no consent decision is verified.</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S23 Tseng et al. [60]</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EMR-Chain, a decentralised electronic medical record exchange that verifies authority-issued roles separately from X.509 identities and enforces token expiry at the validator.</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It has no W3C identifiers, purpose is logged but never evaluated, scope is hospital-level only, the patient and requester signatures authenticate the request rather than add an independent authoriser, and revocation does not invalidate issued tokens.</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S24 Wu et al. [61]</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Trust computing and privacy-preserving smart contracts for multi-site clinical trial data, in which a (t, n) investigator threshold signature governs trial admission to the ledger and consent revocation.</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consent grant is unilateral, the voters are institution-side investigators, the vote reduces to a hash-integrity check, there is no policy engine, and there is no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S25 Wu and Zhang [22]</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HealthDID, a DID-based privacy-preserving EMR sharing system with three game-based definitions and three theorems proved by reduction, in which a zero-knowledge proof binds the authorisation to a specific requester.</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proofs cover only the identity and authority fragment, multi-party refers to the privacy requirements of several stakeholders rather than joint approval, and there are no policy, temporal, or lifecycle conditions.</w:t>
            </w:r>
          </w:p>
        </w:tc>
      </w:tr>
    </w:tbl>
    <w:p>
      <w:pPr>
        <w:spacing w:after="160"/>
      </w:pPr>
    </w:p>
    <w:p>
      <w:pPr>
        <w:pStyle w:val="Heading2"/>
        <w:keepNext/>
        <w:spacing w:after="120" w:before="240"/>
      </w:pPr>
      <w:r>
        <w:rPr>
          <w:rFonts w:ascii="Times New Roman" w:cs="Times New Roman" w:eastAsia="Times New Roman" w:hAnsi="Times New Roman"/>
          <w:b/>
          <w:bCs/>
          <w:sz w:val="26"/>
          <w:szCs w:val="26"/>
        </w:rPr>
        <w:t xml:space="preserve">2.4  </w:t>
      </w:r>
      <w:r>
        <w:rPr>
          <w:rFonts w:ascii="Times New Roman" w:cs="Times New Roman" w:eastAsia="Times New Roman" w:hAnsi="Times New Roman"/>
          <w:b/>
          <w:bCs/>
          <w:sz w:val="26"/>
          <w:szCs w:val="26"/>
        </w:rPr>
        <w:t xml:space="preserve">Comparative Analysis of Existing Approaches</w:t>
      </w:r>
    </w:p>
    <w:p>
      <w:pPr>
        <w:spacing w:after="110" w:line="264"/>
        <w:jc w:val="both"/>
      </w:pPr>
      <w:r>
        <w:rPr>
          <w:rFonts w:ascii="Times New Roman" w:cs="Times New Roman" w:eastAsia="Times New Roman" w:hAnsi="Times New Roman"/>
          <w:sz w:val="22"/>
          <w:szCs w:val="22"/>
        </w:rPr>
        <w:t xml:space="preserve">The reviewed literature demonstrates that existing approaches provide strong solutions for individual dimensions of trustworthy data sharing. These contributions address different layers of the security problem. No individual mechanism can independently establish that a healthcare data-access decision is trustworthy. The systems that enforce purpose and time are authored by a single patient and lack a formal argument. </w:t>
      </w:r>
      <w:r>
        <w:rPr>
          <w:rFonts w:ascii="Times New Roman" w:cs="Times New Roman" w:eastAsia="Times New Roman" w:hAnsi="Times New Roman"/>
          <w:sz w:val="22"/>
          <w:szCs w:val="22"/>
        </w:rPr>
        <w:t xml:space="preserve">The multi-party systems carry no purpose condition, whereas the proved schemes either omit policy, temporal validity, and lifecycle or, as in [55], prove only a static encryption predicate.</w:t>
      </w:r>
      <w:r>
        <w:rPr>
          <w:rFonts w:ascii="Times New Roman" w:cs="Times New Roman" w:eastAsia="Times New Roman" w:hAnsi="Times New Roman"/>
          <w:sz w:val="22"/>
          <w:szCs w:val="22"/>
        </w:rPr>
        <w:t xml:space="preserve"> Table 4 summarises the 25 studies against the six requirements, </w:t>
      </w:r>
      <w:r>
        <w:rPr>
          <w:rFonts w:ascii="Times New Roman" w:cs="Times New Roman" w:eastAsia="Times New Roman" w:hAnsi="Times New Roman"/>
          <w:sz w:val="22"/>
          <w:szCs w:val="22"/>
        </w:rPr>
        <w:t xml:space="preserve">where Yes denotes satisfied, Partial partially satisfied, and No not satisfied.</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Req 6 combines review questions 6 and 7, so in that column each study takes the higher of its formal assurance grade and its empirical validation grade.</w:t>
      </w:r>
    </w:p>
    <w:p>
      <w:pPr>
        <w:keepNext/>
        <w:spacing w:after="80" w:before="200"/>
        <w:jc w:val="center"/>
      </w:pPr>
      <w:r>
        <w:rPr>
          <w:rFonts w:ascii="Times New Roman" w:cs="Times New Roman" w:eastAsia="Times New Roman" w:hAnsi="Times New Roman"/>
          <w:b/>
          <w:bCs/>
          <w:sz w:val="18"/>
          <w:szCs w:val="18"/>
        </w:rPr>
        <w:t xml:space="preserve">Table 4: </w:t>
      </w:r>
      <w:r>
        <w:rPr>
          <w:rFonts w:ascii="Times New Roman" w:cs="Times New Roman" w:eastAsia="Times New Roman" w:hAnsi="Times New Roman"/>
          <w:sz w:val="18"/>
          <w:szCs w:val="18"/>
        </w:rPr>
        <w:t xml:space="preserve">Comparison of the included studies against the key requirements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2340"/>
        <w:gridCol w:w="1131"/>
        <w:gridCol w:w="1131"/>
        <w:gridCol w:w="1131"/>
        <w:gridCol w:w="1131"/>
        <w:gridCol w:w="1131"/>
        <w:gridCol w:w="1133"/>
      </w:tblGrid>
      <w:tr>
        <w:trPr>
          <w:cantSplit/>
          <w:tblHeader/>
        </w:trPr>
        <w:tc>
          <w:tcPr>
            <w:tcW w:type="dxa" w:w="234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Study</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1</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2</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3</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4</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5</w:t>
            </w:r>
          </w:p>
        </w:tc>
        <w:tc>
          <w:tcPr>
            <w:tcW w:type="dxa" w:w="11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6</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 [50] Abbasi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 [48] Albalwy et al. (2021)</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S3 [51] Al Amin et al. (2023)</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S4 [27] Ekholm et al.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S5 [28] Eneh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S6 [52] Hagström et al. (2024)</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S7 [47] Jaiman and Urovi (2020)</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S8 [53] Zhao and Su (2024)</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S9 [49] Li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S10 [23] Madine et al. (2020)</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S11 [54] Maruthi and Singh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S12 [55] Mei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S13 [29] Panagoulias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S14 [21] Phuyal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S15 [56] Phuyal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S16 [25] Punia et al.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S17 [30] Román-Martínez et al. (2023)</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S18 [57] Hema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S19 [58] </w:t>
            </w:r>
            <w:r>
              <w:rPr>
                <w:rFonts w:ascii="Times New Roman" w:cs="Times New Roman" w:eastAsia="Times New Roman" w:hAnsi="Times New Roman"/>
                <w:b w:val="false"/>
                <w:bCs w:val="false"/>
                <w:sz w:val="17"/>
                <w:szCs w:val="17"/>
              </w:rPr>
              <w:t xml:space="preserve">SooHoo</w:t>
            </w:r>
            <w:r>
              <w:rPr>
                <w:rFonts w:ascii="Times New Roman" w:cs="Times New Roman" w:eastAsia="Times New Roman" w:hAnsi="Times New Roman"/>
                <w:b w:val="false"/>
                <w:bCs w:val="false"/>
                <w:sz w:val="17"/>
                <w:szCs w:val="17"/>
              </w:rPr>
              <w:t xml:space="preserve">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S20 [26] Tan et al. (2024)</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S21 [24] Tith et al. (2020)</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S22 [59] Tremper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S23 [60] Tseng et al.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S24 [61] </w:t>
            </w:r>
            <w:r>
              <w:rPr>
                <w:rFonts w:ascii="Times New Roman" w:cs="Times New Roman" w:eastAsia="Times New Roman" w:hAnsi="Times New Roman"/>
                <w:b w:val="false"/>
                <w:bCs w:val="false"/>
                <w:sz w:val="17"/>
                <w:szCs w:val="17"/>
              </w:rPr>
              <w:t xml:space="preserve">Wu et al. (2022)</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S25 [22] Wu and Zhang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bl>
    <w:p>
      <w:pPr>
        <w:spacing w:after="160"/>
      </w:pPr>
    </w:p>
    <w:p>
      <w:pPr>
        <w:spacing w:after="110" w:line="264"/>
        <w:jc w:val="both"/>
      </w:pPr>
      <w:r>
        <w:rPr>
          <w:rFonts w:ascii="Times New Roman" w:cs="Times New Roman" w:eastAsia="Times New Roman" w:hAnsi="Times New Roman"/>
          <w:sz w:val="22"/>
          <w:szCs w:val="22"/>
        </w:rPr>
        <w:t xml:space="preserve">The matrix supports four observations. First, counting only full satisfaction, Req 1 is met by 12 of the 25 studies, Req 2 by 7, Req 3 by 6, Req 4 by 10, Req 5 by 8, and Req 6 by 9. Second, no study satisfies all six, the maximum of four is reached by [23] and [29], and five studies fully satisfy none. Third, Req 1 with Req 4 is the most frequent pair, in seven studies, whereas Req 2 and Req 4 never co-occur in full. Req 3 co-occurs with Req 4 only in [25], whose threshold lies outside the policy predicate and whose policy carries no purpose term. Similarly, Req 3 co-occurs with Req 6 only in [53, 54]. Fourth, the two quadruples are complementary, since [23] lacks policy and assurance, whereas [29] lacks multi-party approval and identity depth.</w:t>
      </w:r>
    </w:p>
    <w:p>
      <w:pPr>
        <w:spacing w:after="110" w:line="264"/>
        <w:jc w:val="both"/>
      </w:pPr>
      <w:r>
        <w:rPr>
          <w:rFonts w:ascii="Times New Roman" w:cs="Times New Roman" w:eastAsia="Times New Roman" w:hAnsi="Times New Roman"/>
          <w:sz w:val="22"/>
          <w:szCs w:val="22"/>
        </w:rPr>
        <w:t xml:space="preserve">The comparison indicates that the principal contribution of the proposed research is not the replacement of existing technologies. Rather, it lies in establishing an explicit conceptual relationship among them. The consent object C carries the identity, authority, threshold, policy, temporal, and lifecycle conditions together, so that their relationship is verifiable. </w:t>
      </w:r>
      <w:r>
        <w:rPr>
          <w:rFonts w:ascii="Times New Roman" w:cs="Times New Roman" w:eastAsia="Times New Roman" w:hAnsi="Times New Roman"/>
          <w:sz w:val="22"/>
          <w:szCs w:val="22"/>
        </w:rPr>
        <w:t xml:space="preserve">Table 5 in Section 2.6 positions the proposed framework relative to these requirements.</w:t>
      </w:r>
      <w:r>
        <w:rPr>
          <w:rFonts w:ascii="Times New Roman" w:cs="Times New Roman" w:eastAsia="Times New Roman" w:hAnsi="Times New Roman"/>
          <w:sz w:val="22"/>
          <w:szCs w:val="22"/>
        </w:rPr>
        <w:t xml:space="preserve"> The conjunction is formally specified and validated through allow-and-deny test cases and attack cases, whereas its formal verification and the remaining lifecycle extensions of RQ5 </w:t>
      </w:r>
      <w:r>
        <w:rPr>
          <w:rFonts w:ascii="Times New Roman" w:cs="Times New Roman" w:eastAsia="Times New Roman" w:hAnsi="Times New Roman"/>
          <w:sz w:val="22"/>
          <w:szCs w:val="22"/>
        </w:rPr>
        <w:t xml:space="preserve">are left for the next stage (Sections 10 and 11)</w:t>
      </w:r>
      <w:r>
        <w:rPr>
          <w:rFonts w:ascii="Times New Roman" w:cs="Times New Roman" w:eastAsia="Times New Roman" w:hAnsi="Times New Roman"/>
          <w:sz w:val="22"/>
          <w:szCs w:val="22"/>
        </w:rPr>
        <w:t xml:space="preserve">.</w:t>
      </w:r>
    </w:p>
    <w:p>
      <w:pPr>
        <w:pStyle w:val="Heading2"/>
        <w:keepNext/>
        <w:spacing w:after="120" w:before="240"/>
      </w:pPr>
      <w:r>
        <w:rPr>
          <w:rFonts w:ascii="Times New Roman" w:cs="Times New Roman" w:eastAsia="Times New Roman" w:hAnsi="Times New Roman"/>
          <w:b/>
          <w:bCs/>
          <w:sz w:val="26"/>
          <w:szCs w:val="26"/>
        </w:rPr>
        <w:t xml:space="preserve">2.5  </w:t>
      </w:r>
      <w:r>
        <w:rPr>
          <w:rFonts w:ascii="Times New Roman" w:cs="Times New Roman" w:eastAsia="Times New Roman" w:hAnsi="Times New Roman"/>
          <w:b/>
          <w:bCs/>
          <w:sz w:val="26"/>
          <w:szCs w:val="26"/>
        </w:rPr>
        <w:t xml:space="preserve">Synthesis and Research Gap</w:t>
      </w:r>
    </w:p>
    <w:p>
      <w:pPr>
        <w:spacing w:after="110" w:line="264"/>
        <w:jc w:val="both"/>
      </w:pPr>
      <w:r>
        <w:rPr>
          <w:rFonts w:ascii="Times New Roman" w:cs="Times New Roman" w:eastAsia="Times New Roman" w:hAnsi="Times New Roman"/>
          <w:sz w:val="22"/>
          <w:szCs w:val="22"/>
        </w:rPr>
        <w:t xml:space="preserve">The literature review identifies a consistent pattern of fragmentation across existing research. Across the corpus, Req 3 is the least satisfied requirement, </w:t>
      </w:r>
      <w:r>
        <w:rPr>
          <w:rFonts w:ascii="Times New Roman" w:cs="Times New Roman" w:eastAsia="Times New Roman" w:hAnsi="Times New Roman"/>
          <w:sz w:val="22"/>
          <w:szCs w:val="22"/>
        </w:rPr>
        <w:t xml:space="preserve">while within Req 6, formal assurance alone is provided by 4 studies, argued informally by 9, and absent in 12. The other five Yes grades for Req 6 in Table 4 rest on empirical validation.</w:t>
      </w:r>
      <w:r>
        <w:rPr>
          <w:rFonts w:ascii="Times New Roman" w:cs="Times New Roman" w:eastAsia="Times New Roman" w:hAnsi="Times New Roman"/>
          <w:sz w:val="22"/>
          <w:szCs w:val="22"/>
        </w:rPr>
        <w:t xml:space="preserve"> </w:t>
      </w:r>
      <w:r>
        <w:rPr>
          <w:rFonts w:ascii="Times New Roman" w:cs="Times New Roman" w:eastAsia="Times New Roman" w:hAnsi="Times New Roman"/>
          <w:strike/>
          <w:color w:val="FF0000"/>
          <w:sz w:val="22"/>
          <w:szCs w:val="22"/>
        </w:rPr>
        <w:t xml:space="preserve">These proportions match</w:t>
      </w:r>
      <w:r>
        <w:rPr>
          <w:rFonts w:ascii="Times New Roman" w:cs="Times New Roman" w:eastAsia="Times New Roman" w:hAnsi="Times New Roman"/>
          <w:color w:val="FF0000"/>
          <w:sz w:val="22"/>
          <w:szCs w:val="22"/>
        </w:rPr>
        <w:t xml:space="preserve">The rarity of formal verification is also seen in</w:t>
      </w:r>
      <w:r>
        <w:rPr>
          <w:rFonts w:ascii="Times New Roman" w:cs="Times New Roman" w:eastAsia="Times New Roman" w:hAnsi="Times New Roman"/>
          <w:sz w:val="22"/>
          <w:szCs w:val="22"/>
        </w:rPr>
        <w:t xml:space="preserve"> the wider pool of 1,800 records, in which only 8% carry a multi-party signal, 2% a temporal-validity signal, and 1% a formal-verification signal, compared with 74% for audit or evidence and 69% for a prototype or experiment.</w:t>
      </w:r>
    </w:p>
    <w:p>
      <w:pPr>
        <w:spacing w:after="110" w:line="264"/>
        <w:jc w:val="both"/>
      </w:pPr>
      <w:r>
        <w:rPr>
          <w:rFonts w:ascii="Times New Roman" w:cs="Times New Roman" w:eastAsia="Times New Roman" w:hAnsi="Times New Roman"/>
          <w:sz w:val="22"/>
          <w:szCs w:val="22"/>
        </w:rPr>
        <w:t xml:space="preserve">The review corrects one framing. Multi-party authorisation of patient consent is not absent from the literature, since the full-text coding shows it in six forms.</w:t>
      </w:r>
      <w:r>
        <w:rPr>
          <w:rFonts w:ascii="Times New Roman" w:cs="Times New Roman" w:eastAsia="Times New Roman" w:hAnsi="Times New Roman"/>
          <w:sz w:val="22"/>
          <w:szCs w:val="22"/>
        </w:rPr>
        <w:t xml:space="preserve"> These range from contingency-path joint approval and admission gates to delegated, witness, and custodial thresholds and guardian co-consent at registration, but no reviewed study treats it as a constitutive predicate that every access decision must satisfy together with the identity, policy, and temporal conditions. Existing literature provides useful foundations for collaborative governance and multi-party verification. The gap is therefore not the absence of technologies for recording consent, verifying identity, or restricting data access. Rather, it is the absence of a sufficiently integrated model explaining how these mechanisms collectively establish a trustworthy authorisation decision.</w:t>
      </w:r>
    </w:p>
    <w:p>
      <w:pPr>
        <w:spacing w:after="110" w:line="264"/>
        <w:jc w:val="both"/>
      </w:pPr>
      <w:r>
        <w:rPr>
          <w:rFonts w:ascii="Times New Roman" w:cs="Times New Roman" w:eastAsia="Times New Roman" w:hAnsi="Times New Roman"/>
          <w:sz w:val="22"/>
          <w:szCs w:val="22"/>
        </w:rPr>
        <w:t xml:space="preserve">The review establishes two gaps. The first is a </w:t>
      </w:r>
      <w:r>
        <w:rPr>
          <w:rFonts w:ascii="Times New Roman" w:cs="Times New Roman" w:eastAsia="Times New Roman" w:hAnsi="Times New Roman"/>
          <w:b/>
          <w:bCs/>
          <w:sz w:val="22"/>
          <w:szCs w:val="22"/>
        </w:rPr>
        <w:t xml:space="preserve">conjunction gap</w:t>
      </w:r>
      <w:r>
        <w:rPr>
          <w:rFonts w:ascii="Times New Roman" w:cs="Times New Roman" w:eastAsia="Times New Roman" w:hAnsi="Times New Roman"/>
          <w:sz w:val="22"/>
          <w:szCs w:val="22"/>
        </w:rPr>
        <w:t xml:space="preserve">, since no study conjoins identity, authority, threshold, policy, temporal, jurisdictional, and lifecycle conditions in one decision predicate in which multi-party approval is a standing condition and the patient defines the approving set. The second is an </w:t>
      </w:r>
      <w:r>
        <w:rPr>
          <w:rFonts w:ascii="Times New Roman" w:cs="Times New Roman" w:eastAsia="Times New Roman" w:hAnsi="Times New Roman"/>
          <w:b/>
          <w:bCs/>
          <w:sz w:val="22"/>
          <w:szCs w:val="22"/>
        </w:rPr>
        <w:t xml:space="preserve">assurance gap</w:t>
      </w:r>
      <w:r>
        <w:rPr>
          <w:rFonts w:ascii="Times New Roman" w:cs="Times New Roman" w:eastAsia="Times New Roman" w:hAnsi="Times New Roman"/>
          <w:sz w:val="22"/>
          <w:szCs w:val="22"/>
        </w:rPr>
        <w:t xml:space="preserve">, since co-existing conditions are neither proved nor tested as an authorisation decision, and any proof covers only a fragment of the predicate. As shown in Figure 2, the proposed research addresses both gaps by developing a trusted multi-party consent governance framework in which consent is represented as an evaluable authorisation object. Each of Req 1 to Req 6 also leaves a requirement-level gap, termed Gap 1 to Gap 6 and stated in Section 3.1, and each gap corresponds to the research question and objective of the same number in Sections 3 and 4.</w:t>
      </w:r>
    </w:p>
    <w:p>
      <w:pPr>
        <w:keepNext/>
        <w:spacing w:after="60" w:before="160"/>
        <w:jc w:val="center"/>
      </w:pPr>
      <w:r>
        <w:drawing>
          <wp:inline distT="0" distB="0" distL="0" distR="0">
            <wp:extent cx="5715000" cy="2867025"/>
            <wp:effectExtent t="0" r="0" b="0" l="0"/>
            <wp:docPr id="1" name="F5.png" descr="Synthesis of the review: the conjunction gap and the assurance gap addressed by the proposed framework, with the number of the 25 analysed studies graded Yes for each requirement in Table 4" title="Synthesis of the review: the conjunction gap and the assurance gap addressed by the proposed framework, with the number of the 25 analysed studies graded Yes for each requirement in Tabl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6702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2: </w:t>
      </w:r>
      <w:r>
        <w:rPr>
          <w:rFonts w:ascii="Times New Roman" w:cs="Times New Roman" w:eastAsia="Times New Roman" w:hAnsi="Times New Roman"/>
          <w:sz w:val="18"/>
          <w:szCs w:val="18"/>
        </w:rPr>
        <w:t xml:space="preserve">Synthesis of the review: the conjunction gap and the assurance gap addressed by the proposed framework, with the number of the 25 analysed studies </w:t>
      </w:r>
      <w:r>
        <w:rPr>
          <w:rFonts w:ascii="Times New Roman" w:cs="Times New Roman" w:eastAsia="Times New Roman" w:hAnsi="Times New Roman"/>
          <w:sz w:val="18"/>
          <w:szCs w:val="18"/>
        </w:rPr>
        <w:t xml:space="preserve">graded Yes for each requirement in Table 4</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review has limitations. A further 588 records, mostly from SpringerLink, could not be screened at the abstract stage because the export contained no abstracts. </w:t>
      </w:r>
      <w:r>
        <w:rPr>
          <w:rFonts w:ascii="Times New Roman" w:cs="Times New Roman" w:eastAsia="Times New Roman" w:hAnsi="Times New Roman"/>
          <w:sz w:val="22"/>
          <w:szCs w:val="22"/>
        </w:rPr>
        <w:t xml:space="preserve">The reporting checkpoint and a single round of coding mean that a small number of relevant studies may have been missed.</w:t>
      </w:r>
      <w:r>
        <w:rPr>
          <w:rFonts w:ascii="Times New Roman" w:cs="Times New Roman" w:eastAsia="Times New Roman" w:hAnsi="Times New Roman"/>
          <w:sz w:val="22"/>
          <w:szCs w:val="22"/>
        </w:rPr>
        <w:t xml:space="preserve"> The consistency between the coding of the included studies and the signal prevalence of the wider pool limits, but does not remove, this risk.</w:t>
      </w:r>
    </w:p>
    <w:p>
      <w:pPr>
        <w:pStyle w:val="Heading2"/>
        <w:keepNext/>
        <w:spacing w:after="120" w:before="240"/>
      </w:pPr>
      <w:r>
        <w:rPr>
          <w:rFonts w:ascii="Times New Roman" w:cs="Times New Roman" w:eastAsia="Times New Roman" w:hAnsi="Times New Roman"/>
          <w:b/>
          <w:bCs/>
          <w:sz w:val="26"/>
          <w:szCs w:val="26"/>
        </w:rPr>
        <w:t xml:space="preserve">2.6  </w:t>
      </w:r>
      <w:r>
        <w:rPr>
          <w:rFonts w:ascii="Times New Roman" w:cs="Times New Roman" w:eastAsia="Times New Roman" w:hAnsi="Times New Roman"/>
          <w:b/>
          <w:bCs/>
          <w:sz w:val="26"/>
          <w:szCs w:val="26"/>
        </w:rPr>
        <w:t xml:space="preserve">The Proposed Framework and the Key Requirements</w:t>
      </w:r>
    </w:p>
    <w:p>
      <w:pPr>
        <w:spacing w:after="110" w:line="264"/>
        <w:jc w:val="both"/>
      </w:pPr>
      <w:r>
        <w:rPr>
          <w:rFonts w:ascii="Times New Roman" w:cs="Times New Roman" w:eastAsia="Times New Roman" w:hAnsi="Times New Roman"/>
          <w:sz w:val="22"/>
          <w:szCs w:val="22"/>
        </w:rP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 Table 5 summarises how the proposed framework, implemented in the HALAH prototype, addresses each requirement, the research objective that delivers it, and its current status. A requirement with the status Done is addressed and validated at the current stage, whereas a requirement that is partially completed will be completed in the next stage.</w:t>
      </w:r>
    </w:p>
    <w:p>
      <w:pPr>
        <w:keepNext/>
        <w:spacing w:after="80" w:before="200"/>
        <w:jc w:val="center"/>
      </w:pPr>
      <w:r>
        <w:rPr>
          <w:rFonts w:ascii="Times New Roman" w:cs="Times New Roman" w:eastAsia="Times New Roman" w:hAnsi="Times New Roman"/>
          <w:b/>
          <w:bCs/>
          <w:sz w:val="18"/>
          <w:szCs w:val="18"/>
        </w:rPr>
        <w:t xml:space="preserve">Table 5: </w:t>
      </w:r>
      <w:r>
        <w:rPr>
          <w:rFonts w:ascii="Times New Roman" w:cs="Times New Roman" w:eastAsia="Times New Roman" w:hAnsi="Times New Roman"/>
          <w:sz w:val="18"/>
          <w:szCs w:val="18"/>
        </w:rPr>
        <w:t xml:space="preserve">How the proposed framework addresses the key requirements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350"/>
        <w:gridCol w:w="4478"/>
        <w:gridCol w:w="1500"/>
        <w:gridCol w:w="1800"/>
      </w:tblGrid>
      <w:tr>
        <w:trPr>
          <w:cantSplit/>
          <w:tblHeader/>
        </w:trPr>
        <w:tc>
          <w:tcPr>
            <w:tcW w:type="dxa" w:w="135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Requirement</w:t>
            </w:r>
          </w:p>
        </w:tc>
        <w:tc>
          <w:tcPr>
            <w:tcW w:type="dxa" w:w="447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How the proposed framework (HALAH) addresses it</w:t>
            </w:r>
          </w:p>
        </w:tc>
        <w:tc>
          <w:tcPr>
            <w:tcW w:type="dxa" w:w="15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Objective</w:t>
            </w:r>
          </w:p>
        </w:tc>
        <w:tc>
          <w:tcPr>
            <w:tcW w:type="dxa" w:w="18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Status</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1</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is represented as the evaluable object C = (I, A, P, T, L, E), created through Algorithm 1 and evaluated at every access request.</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RO1 (Section 6)</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Done</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2</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DID and VC verification separates identity from authority and is evaluated as V</w:t>
            </w:r>
            <w:r>
              <w:rPr>
                <w:rFonts w:ascii="Times New Roman" w:cs="Times New Roman" w:eastAsia="Times New Roman" w:hAnsi="Times New Roman"/>
                <w:b w:val="false"/>
                <w:bCs w:val="false"/>
                <w:sz w:val="17"/>
                <w:szCs w:val="17"/>
                <w:vertAlign w:val="subscript"/>
              </w:rPr>
              <w:t xml:space="preserve">I</w:t>
            </w:r>
            <w:r>
              <w:rPr>
                <w:rFonts w:ascii="Times New Roman" w:cs="Times New Roman" w:eastAsia="Times New Roman" w:hAnsi="Times New Roman"/>
                <w:b w:val="false"/>
                <w:bCs w:val="false"/>
                <w:sz w:val="17"/>
                <w:szCs w:val="17"/>
              </w:rPr>
              <w:t xml:space="preserve"> through Algorithm 2.</w:t>
            </w:r>
            <w:r>
              <w:rPr>
                <w:rFonts w:ascii="Times New Roman" w:cs="Times New Roman" w:eastAsia="Times New Roman" w:hAnsi="Times New Roman"/>
                <w:b w:val="false"/>
                <w:bCs w:val="false"/>
                <w:sz w:val="17"/>
                <w:szCs w:val="17"/>
              </w:rPr>
              <w:t xml:space="preserve"> The prototype checks the DID format, and full DID resolution and VC validation are planned for the next stage.</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RO2 (Section 7)</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Done</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3</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N-of-N approval by the guardian set G with EIP-712 guardian signatures [66],</w:t>
            </w:r>
            <w:r>
              <w:rPr>
                <w:rFonts w:ascii="Times New Roman" w:cs="Times New Roman" w:eastAsia="Times New Roman" w:hAnsi="Times New Roman"/>
                <w:b w:val="false"/>
                <w:bCs w:val="false"/>
                <w:sz w:val="17"/>
                <w:szCs w:val="17"/>
              </w:rPr>
              <w:t xml:space="preserve"> evaluated as V</w:t>
            </w:r>
            <w:r>
              <w:rPr>
                <w:rFonts w:ascii="Times New Roman" w:cs="Times New Roman" w:eastAsia="Times New Roman" w:hAnsi="Times New Roman"/>
                <w:b w:val="false"/>
                <w:bCs w:val="false"/>
                <w:sz w:val="17"/>
                <w:szCs w:val="17"/>
                <w:vertAlign w:val="subscript"/>
              </w:rPr>
              <w:t xml:space="preserve">A</w:t>
            </w:r>
            <w:r>
              <w:rPr>
                <w:rFonts w:ascii="Times New Roman" w:cs="Times New Roman" w:eastAsia="Times New Roman" w:hAnsi="Times New Roman"/>
                <w:b w:val="false"/>
                <w:bCs w:val="false"/>
                <w:sz w:val="17"/>
                <w:szCs w:val="17"/>
              </w:rPr>
              <w:t xml:space="preserve"> through Algorithm 3.</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RO3 (Section 8)</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Done</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4</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Purpose and a non-empty data scope within the consent are evaluated as V</w:t>
            </w:r>
            <w:r>
              <w:rPr>
                <w:rFonts w:ascii="Times New Roman" w:cs="Times New Roman" w:eastAsia="Times New Roman" w:hAnsi="Times New Roman"/>
                <w:b w:val="false"/>
                <w:bCs w:val="false"/>
                <w:sz w:val="17"/>
                <w:szCs w:val="17"/>
                <w:vertAlign w:val="subscript"/>
              </w:rPr>
              <w:t xml:space="preserve">P</w:t>
            </w:r>
            <w:r>
              <w:rPr>
                <w:rFonts w:ascii="Times New Roman" w:cs="Times New Roman" w:eastAsia="Times New Roman" w:hAnsi="Times New Roman"/>
                <w:b w:val="false"/>
                <w:bCs w:val="false"/>
                <w:sz w:val="17"/>
                <w:szCs w:val="17"/>
              </w:rPr>
              <w:t xml:space="preserve"> through Algorithm 4, together with the jurisdiction condition V</w:t>
            </w:r>
            <w:r>
              <w:rPr>
                <w:rFonts w:ascii="Times New Roman" w:cs="Times New Roman" w:eastAsia="Times New Roman" w:hAnsi="Times New Roman"/>
                <w:b w:val="false"/>
                <w:bCs w:val="false"/>
                <w:sz w:val="17"/>
                <w:szCs w:val="17"/>
                <w:vertAlign w:val="subscript"/>
              </w:rPr>
              <w:t xml:space="preserve">L</w:t>
            </w:r>
            <w:r>
              <w:rPr>
                <w:rFonts w:ascii="Times New Roman" w:cs="Times New Roman" w:eastAsia="Times New Roman" w:hAnsi="Times New Roman"/>
                <w:b w:val="false"/>
                <w:bCs w:val="false"/>
                <w:sz w:val="17"/>
                <w:szCs w:val="17"/>
              </w:rPr>
              <w:t xml:space="preserve">(C, R).</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RO4 (Section 9)</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Done</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5</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validity window V</w:t>
            </w:r>
            <w:r>
              <w:rPr>
                <w:rFonts w:ascii="Times New Roman" w:cs="Times New Roman" w:eastAsia="Times New Roman" w:hAnsi="Times New Roman"/>
                <w:b w:val="false"/>
                <w:bCs w:val="false"/>
                <w:sz w:val="17"/>
                <w:szCs w:val="17"/>
                <w:vertAlign w:val="subscript"/>
              </w:rPr>
              <w:t xml:space="preserve">T</w:t>
            </w:r>
            <w:r>
              <w:rPr>
                <w:rFonts w:ascii="Times New Roman" w:cs="Times New Roman" w:eastAsia="Times New Roman" w:hAnsi="Times New Roman"/>
                <w:b w:val="false"/>
                <w:bCs w:val="false"/>
                <w:sz w:val="17"/>
                <w:szCs w:val="17"/>
              </w:rPr>
              <w:t xml:space="preserve">, revocation, the lifecycle states, and the on-chain revocation on Sepolia are implemented. The lifecycle transition check is not yet implemented.</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RO5 (Section 10)</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 Progress (partially completed)</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6</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Audit ledger evidence, 36 automated tests, and twelve unit-level attack scenarios. Formal analysis is left for the next stage.</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RO6 (Section 11)</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Partially completed (for RQ1 to RQ4)</w:t>
            </w:r>
          </w:p>
        </w:tc>
      </w:tr>
    </w:tbl>
    <w:p>
      <w:pPr>
        <w:spacing w:after="160"/>
      </w:pPr>
    </w:p>
    <w:p>
      <w:pPr>
        <w:pStyle w:val="Heading1"/>
        <w:pageBreakBefore/>
        <w:spacing w:after="200" w:before="120"/>
      </w:pPr>
      <w:r>
        <w:rPr>
          <w:rFonts w:ascii="Times New Roman" w:cs="Times New Roman" w:eastAsia="Times New Roman" w:hAnsi="Times New Roman"/>
          <w:b/>
          <w:bCs/>
          <w:sz w:val="32"/>
          <w:szCs w:val="32"/>
        </w:rPr>
        <w:t xml:space="preserve">3.  Research Gaps &amp; Questions</w:t>
      </w:r>
    </w:p>
    <w:p>
      <w:pPr>
        <w:pStyle w:val="Heading2"/>
        <w:keepNext/>
        <w:spacing w:after="120" w:before="240"/>
      </w:pPr>
      <w:r>
        <w:rPr>
          <w:rFonts w:ascii="Times New Roman" w:cs="Times New Roman" w:eastAsia="Times New Roman" w:hAnsi="Times New Roman"/>
          <w:b/>
          <w:bCs/>
          <w:sz w:val="26"/>
          <w:szCs w:val="26"/>
        </w:rPr>
        <w:t xml:space="preserve">3.1  </w:t>
      </w:r>
      <w:r>
        <w:rPr>
          <w:rFonts w:ascii="Times New Roman" w:cs="Times New Roman" w:eastAsia="Times New Roman" w:hAnsi="Times New Roman"/>
          <w:b/>
          <w:bCs/>
          <w:sz w:val="26"/>
          <w:szCs w:val="26"/>
        </w:rPr>
        <w:t xml:space="preserve">Research Gap</w:t>
      </w:r>
    </w:p>
    <w:p>
      <w:pPr>
        <w:spacing w:after="110" w:line="264"/>
        <w:jc w:val="both"/>
      </w:pPr>
      <w:r>
        <w:rPr>
          <w:rFonts w:ascii="Times New Roman" w:cs="Times New Roman" w:eastAsia="Times New Roman" w:hAnsi="Times New Roman"/>
          <w:sz w:val="22"/>
          <w:szCs w:val="22"/>
        </w:rPr>
        <w:t xml:space="preserve">The systematic literature review indicates that substantial research has been conducted on individual mechanisms for securing healthcare data sharing. However, the literature also reveals a significant conceptual and architectural fragmentation among these mechanisms. They are commonly investigated as independent technical solutions rather than as coordinated components of a unified trust-oriented authorisation model. The few studies that coordinate several of them in one decision [21, 25, 29, 32, 67] </w:t>
      </w:r>
      <w:r>
        <w:rPr>
          <w:rFonts w:ascii="Times New Roman" w:cs="Times New Roman" w:eastAsia="Times New Roman" w:hAnsi="Times New Roman"/>
          <w:sz w:val="22"/>
          <w:szCs w:val="22"/>
        </w:rPr>
        <w:t xml:space="preserve">do not make multi-party approval a standing condition of that decision. Some of them test their own decisions empirically [21, 29], but none proves or tests a conjunction that includes multi-party approval.</w:t>
      </w:r>
    </w:p>
    <w:p>
      <w:pPr>
        <w:spacing w:after="110" w:line="264"/>
        <w:jc w:val="both"/>
      </w:pPr>
      <w:r>
        <w:rPr>
          <w:rFonts w:ascii="Times New Roman" w:cs="Times New Roman" w:eastAsia="Times New Roman" w:hAnsi="Times New Roman"/>
          <w:sz w:val="22"/>
          <w:szCs w:val="22"/>
        </w:rPr>
        <w:t xml:space="preserve">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Existing consent-oriented approaches tend to </w:t>
      </w:r>
      <w:r>
        <w:rPr>
          <w:rFonts w:ascii="Times New Roman" w:cs="Times New Roman" w:eastAsia="Times New Roman" w:hAnsi="Times New Roman"/>
          <w:sz w:val="22"/>
          <w:szCs w:val="22"/>
        </w:rPr>
        <w:t xml:space="preserve">treat consent primarily as a record of a patient’s permission [62, 63], and some claim consent but leave it out of the access decision [68].</w:t>
      </w:r>
      <w:r>
        <w:rPr>
          <w:rFonts w:ascii="Times New Roman" w:cs="Times New Roman" w:eastAsia="Times New Roman" w:hAnsi="Times New Roman"/>
          <w:sz w:val="22"/>
          <w:szCs w:val="22"/>
        </w:rPr>
        <w:t xml:space="preserve"> Once the permission has been created and stored, subsequent access control may depend predominantly on the existence of the consent record and the successful authentication of the requester. Even the evaluable consent objects reported since 2020 [21, 24, 28, 48, 67] carry only a subset of the conditions and are issued by a single party.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authorised by the patient.</w:t>
      </w:r>
    </w:p>
    <w:p>
      <w:pPr>
        <w:spacing w:after="110" w:line="264"/>
        <w:jc w:val="both"/>
      </w:pPr>
      <w:r>
        <w:rPr>
          <w:rFonts w:ascii="Times New Roman" w:cs="Times New Roman" w:eastAsia="Times New Roman" w:hAnsi="Times New Roman"/>
          <w:sz w:val="22"/>
          <w:szCs w:val="22"/>
        </w:rPr>
        <w:t xml:space="preserve">Recording consent and enforcing trustworthy authorisation represent fundamentally different security problems. A blockchain may provide an immutable representation of a consent event [10, 18], but immutability does not establish the legitimacy of the entities involved in that event. Similarly, a valid decentralised identity can establish who a participant is [16], but it does not necessarily establish what that participant is authorised to do. Multi-party approval can strengthen collective decision-making, but approval alone does not guarantee that the resulting access request conforms to the patient’s authorised purpose or data scope. In the reviewed studies, </w:t>
      </w:r>
      <w:r>
        <w:rPr>
          <w:rFonts w:ascii="Times New Roman" w:cs="Times New Roman" w:eastAsia="Times New Roman" w:hAnsi="Times New Roman"/>
          <w:sz w:val="22"/>
          <w:szCs w:val="22"/>
        </w:rPr>
        <w:t xml:space="preserve">multi-party approval is never conjoined with a purpose condition [23, 25, 26].</w:t>
      </w:r>
      <w:r>
        <w:rPr>
          <w:rFonts w:ascii="Times New Roman" w:cs="Times New Roman" w:eastAsia="Times New Roman" w:hAnsi="Times New Roman"/>
          <w:sz w:val="22"/>
          <w:szCs w:val="22"/>
        </w:rPr>
        <w:t xml:space="preserve"> Consequently, trust cannot be attributed to any individual mechanism in isolation. From a Trust Computing perspective, trustworthy access should be understood as an outcome of the coordinated satisfaction of multiple independently verifiable conditions. The research therefore conceptualises trust not as a static attribute possessed by a particular entity or technology, but as an emergent property of a verifiable authorisation process.</w:t>
      </w:r>
    </w:p>
    <w:p>
      <w:pPr>
        <w:spacing w:after="110" w:line="264"/>
        <w:jc w:val="both"/>
      </w:pPr>
      <w:r>
        <w:rPr>
          <w:rFonts w:ascii="Times New Roman" w:cs="Times New Roman" w:eastAsia="Times New Roman" w:hAnsi="Times New Roman"/>
          <w:sz w:val="22"/>
          <w:szCs w:val="22"/>
        </w:rPr>
        <w:t xml:space="preserve">Existing healthcare consent and access-control research provides many of the necessary technological building blocks, but there remains a need for an integrated Trust Computing framework that treats patient consent as a security-bearing and evaluable authorisation object. Such a framework should be capable of representing the relevant trust conditions, verifying the participating entities and their authority, establishing collective authorisation, and enforcing the policy and data-scope constraints associated with the consent. In this framework, the consent object carries identity, authority, threshold, policy, temporal, jurisdictional, and lifecycle conditions, multi-party approval must be a standing condition of every access decision, and the conjunction of these conditions must be formally and empirically assured. These two requirements correspond to the </w:t>
      </w:r>
      <w:r>
        <w:rPr>
          <w:rFonts w:ascii="Times New Roman" w:cs="Times New Roman" w:eastAsia="Times New Roman" w:hAnsi="Times New Roman"/>
          <w:b/>
          <w:bCs/>
          <w:sz w:val="22"/>
          <w:szCs w:val="22"/>
        </w:rPr>
        <w:t xml:space="preserve">conjunction gap</w:t>
      </w:r>
      <w:r>
        <w:rPr>
          <w:rFonts w:ascii="Times New Roman" w:cs="Times New Roman" w:eastAsia="Times New Roman" w:hAnsi="Times New Roman"/>
          <w:sz w:val="22"/>
          <w:szCs w:val="22"/>
        </w:rPr>
        <w:t xml:space="preserve"> and the </w:t>
      </w:r>
      <w:r>
        <w:rPr>
          <w:rFonts w:ascii="Times New Roman" w:cs="Times New Roman" w:eastAsia="Times New Roman" w:hAnsi="Times New Roman"/>
          <w:b/>
          <w:bCs/>
          <w:sz w:val="22"/>
          <w:szCs w:val="22"/>
        </w:rPr>
        <w:t xml:space="preserve">assurance gap</w:t>
      </w:r>
      <w:r>
        <w:rPr>
          <w:rFonts w:ascii="Times New Roman" w:cs="Times New Roman" w:eastAsia="Times New Roman" w:hAnsi="Times New Roman"/>
          <w:sz w:val="22"/>
          <w:szCs w:val="22"/>
        </w:rPr>
        <w:t xml:space="preserve"> identified in Section 2. The approving set must be defined by the patient rather than by an institution, whereas in the reviewed studies, the approving set is either defined on the institutional or delegate side [25, 53, 61], or appointed by the patient [26, 54] but evaluated only as a contingency path or as a key-custody threshold.</w:t>
      </w:r>
    </w:p>
    <w:p>
      <w:pPr>
        <w:spacing w:after="110" w:line="264"/>
        <w:jc w:val="both"/>
      </w:pPr>
      <w:r>
        <w:rPr>
          <w:rFonts w:ascii="Times New Roman" w:cs="Times New Roman" w:eastAsia="Times New Roman" w:hAnsi="Times New Roman"/>
          <w:sz w:val="22"/>
          <w:szCs w:val="22"/>
        </w:rPr>
        <w:t xml:space="preserve">The requirement-level gaps identified in Section 2 can be stated as follows.</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1 (consent representation).</w:t>
      </w:r>
      <w:r>
        <w:rPr>
          <w:rFonts w:ascii="Times New Roman" w:cs="Times New Roman" w:eastAsia="Times New Roman" w:hAnsi="Times New Roman"/>
          <w:sz w:val="22"/>
          <w:szCs w:val="22"/>
        </w:rPr>
        <w:t xml:space="preserve"> Existing approaches tend to treat consent primarily as a record of a patient’s permission, and the evaluable consent objects reported carry only a subset of the conditions and are issued by a single party.</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2 (identity and authority).</w:t>
      </w:r>
      <w:r>
        <w:rPr>
          <w:rFonts w:ascii="Times New Roman" w:cs="Times New Roman" w:eastAsia="Times New Roman" w:hAnsi="Times New Roman"/>
          <w:sz w:val="22"/>
          <w:szCs w:val="22"/>
        </w:rPr>
        <w:t xml:space="preserve"> A valid decentralised identity can establish who a participant is, but it does not necessarily establish what that participant is authorised to do, </w:t>
      </w:r>
      <w:r>
        <w:rPr>
          <w:rFonts w:ascii="Times New Roman" w:cs="Times New Roman" w:eastAsia="Times New Roman" w:hAnsi="Times New Roman"/>
          <w:sz w:val="22"/>
          <w:szCs w:val="22"/>
        </w:rPr>
        <w:t xml:space="preserve">and authority is verified separately from authentication in only 10 of the 25 studies.</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3 (multi-party authorisation).</w:t>
      </w:r>
      <w:r>
        <w:rPr>
          <w:rFonts w:ascii="Times New Roman" w:cs="Times New Roman" w:eastAsia="Times New Roman" w:hAnsi="Times New Roman"/>
          <w:sz w:val="22"/>
          <w:szCs w:val="22"/>
        </w:rPr>
        <w:t xml:space="preserve"> Multi-party approval appears as a contingency path, an admission gate, or a registration-time co-consent, but not as a standing condition of every access decision with an approving set defined by the patient.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4 (policy and context).</w:t>
      </w:r>
      <w:r>
        <w:rPr>
          <w:rFonts w:ascii="Times New Roman" w:cs="Times New Roman" w:eastAsia="Times New Roman" w:hAnsi="Times New Roman"/>
          <w:sz w:val="22"/>
          <w:szCs w:val="22"/>
        </w:rPr>
        <w:t xml:space="preserve"> Purpose, data-scope, and jurisdictional constraints are rarely bound to the same access decision as identity, authority, and multi-party approval.</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5 (temporal and lifecycle trust).</w:t>
      </w:r>
      <w:r>
        <w:rPr>
          <w:rFonts w:ascii="Times New Roman" w:cs="Times New Roman" w:eastAsia="Times New Roman" w:hAnsi="Times New Roman"/>
          <w:sz w:val="22"/>
          <w:szCs w:val="22"/>
        </w:rPr>
        <w:t xml:space="preserve"> Temporal validity, lifecycle state, and revocation are often enforced on a credential or at registration rather than evaluated at the time of each access request.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6 (security assurance).</w:t>
      </w:r>
      <w:r>
        <w:rPr>
          <w:rFonts w:ascii="Times New Roman" w:cs="Times New Roman" w:eastAsia="Times New Roman" w:hAnsi="Times New Roman"/>
          <w:sz w:val="22"/>
          <w:szCs w:val="22"/>
        </w:rPr>
        <w:t xml:space="preserve"> The authorisation decision as a whole is neither formally proved nor systematically tested, and any proof covers only a fragment of the predicate.</w:t>
      </w:r>
    </w:p>
    <w:p>
      <w:pPr>
        <w:spacing w:after="110" w:line="264"/>
        <w:jc w:val="both"/>
      </w:pPr>
      <w:r>
        <w:rPr>
          <w:rFonts w:ascii="Times New Roman" w:cs="Times New Roman" w:eastAsia="Times New Roman" w:hAnsi="Times New Roman"/>
          <w:sz w:val="22"/>
          <w:szCs w:val="22"/>
        </w:rPr>
        <w:t xml:space="preserve">Gap 1 to Gap 5 together form the conjunction gap, whereas Gap 6 corresponds to the assurance gap, and each gap is addressed by the research question and objective of the same number.</w:t>
      </w:r>
    </w:p>
    <w:p>
      <w:pPr>
        <w:spacing w:after="110" w:line="264"/>
        <w:jc w:val="both"/>
      </w:pPr>
      <w:r>
        <w:rPr>
          <w:rFonts w:ascii="Times New Roman" w:cs="Times New Roman" w:eastAsia="Times New Roman" w:hAnsi="Times New Roman"/>
          <w:sz w:val="22"/>
          <w:szCs w:val="22"/>
        </w:rPr>
        <w:t xml:space="preserve">The patient, as the data subject, may create a consent specification and identify the relevant healthcare participant, authorised purpose, permitted data categories, and required approval conditions. The guardian set G is the set of designated participants whose independent approval is required. Each guardian is checked to determine whether the individual or entity possesses the required authority to participate in consent-related decisions. The threshold N is the number of valid guardian approvals needed for activation. If the number of valid approvals is below the required threshold N, the consent cannot produce an effective authorisation decision. The authorised doctor D is the requester whose access request R is evaluated against the consent object C.</w:t>
      </w:r>
    </w:p>
    <w:p>
      <w:pPr>
        <w:pStyle w:val="Heading2"/>
        <w:keepNext/>
        <w:spacing w:after="120" w:before="240"/>
      </w:pPr>
      <w:r>
        <w:rPr>
          <w:rFonts w:ascii="Times New Roman" w:cs="Times New Roman" w:eastAsia="Times New Roman" w:hAnsi="Times New Roman"/>
          <w:b/>
          <w:bCs/>
          <w:sz w:val="26"/>
          <w:szCs w:val="26"/>
        </w:rPr>
        <w:t xml:space="preserve">3.2  </w:t>
      </w:r>
      <w:r>
        <w:rPr>
          <w:rFonts w:ascii="Times New Roman" w:cs="Times New Roman" w:eastAsia="Times New Roman" w:hAnsi="Times New Roman"/>
          <w:b/>
          <w:bCs/>
          <w:sz w:val="26"/>
          <w:szCs w:val="26"/>
        </w:rPr>
        <w:t xml:space="preserve">Main Research Question</w:t>
      </w:r>
    </w:p>
    <w:p>
      <w:pPr>
        <w:spacing w:after="110" w:line="264"/>
        <w:jc w:val="both"/>
      </w:pPr>
      <w:r>
        <w:rPr>
          <w:rFonts w:ascii="Times New Roman" w:cs="Times New Roman" w:eastAsia="Times New Roman" w:hAnsi="Times New Roman"/>
          <w:sz w:val="22"/>
          <w:szCs w:val="22"/>
        </w:rPr>
        <w:t xml:space="preserve">Based on the identified research gap, the overarching research question is formulated as follows: </w:t>
      </w:r>
      <w:r>
        <w:rPr>
          <w:rFonts w:ascii="Times New Roman" w:cs="Times New Roman" w:eastAsia="Times New Roman" w:hAnsi="Times New Roman"/>
          <w:b/>
          <w:bCs/>
          <w:sz w:val="22"/>
          <w:szCs w:val="22"/>
        </w:rPr>
        <w:t xml:space="preserve">"How can a trust-oriented computing framework establish and enforce trustworthy multi-party consent for decentralised healthcare data sharing under identity, authority, and policy constraints?"</w:t>
      </w:r>
      <w:r>
        <w:rPr>
          <w:rFonts w:ascii="Times New Roman" w:cs="Times New Roman" w:eastAsia="Times New Roman" w:hAnsi="Times New Roman"/>
          <w:sz w:val="22"/>
          <w:szCs w:val="22"/>
        </w:rPr>
        <w:t xml:space="preserve"> 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pPr>
        <w:pStyle w:val="Heading2"/>
        <w:keepNext/>
        <w:spacing w:after="120" w:before="240"/>
      </w:pPr>
      <w:r>
        <w:rPr>
          <w:rFonts w:ascii="Times New Roman" w:cs="Times New Roman" w:eastAsia="Times New Roman" w:hAnsi="Times New Roman"/>
          <w:b/>
          <w:bCs/>
          <w:sz w:val="26"/>
          <w:szCs w:val="26"/>
        </w:rPr>
        <w:t xml:space="preserve">3.3  </w:t>
      </w:r>
      <w:r>
        <w:rPr>
          <w:rFonts w:ascii="Times New Roman" w:cs="Times New Roman" w:eastAsia="Times New Roman" w:hAnsi="Times New Roman"/>
          <w:b/>
          <w:bCs/>
          <w:sz w:val="26"/>
          <w:szCs w:val="26"/>
        </w:rPr>
        <w:t xml:space="preserve">Sub-Research Questions</w:t>
      </w:r>
    </w:p>
    <w:p>
      <w:pPr>
        <w:spacing w:after="110" w:line="264"/>
        <w:jc w:val="both"/>
      </w:pPr>
      <w:r>
        <w:rPr>
          <w:rFonts w:ascii="Times New Roman" w:cs="Times New Roman" w:eastAsia="Times New Roman" w:hAnsi="Times New Roman"/>
          <w:sz w:val="22"/>
          <w:szCs w:val="22"/>
        </w:rPr>
        <w:t xml:space="preserve">The research objectives are operationalised through six corresponding sub-research questions. Each sub-research question addresses a distinct dimension of the proposed trust-oriented healthcare authorisation framework. The six questions collectively establish a progression from consent modelling to formal security assurance and empirical validation. For brevity, SRQ1 to SRQ6 are referred to as RQ1 to RQ6 </w:t>
      </w:r>
      <w:r>
        <w:rPr>
          <w:rFonts w:ascii="Times New Roman" w:cs="Times New Roman" w:eastAsia="Times New Roman" w:hAnsi="Times New Roman"/>
          <w:strike/>
          <w:color w:val="FF0000"/>
          <w:sz w:val="22"/>
          <w:szCs w:val="22"/>
        </w:rPr>
        <w:t xml:space="preserve">in the remaining sections</w:t>
      </w:r>
      <w:r>
        <w:rPr>
          <w:rFonts w:ascii="Times New Roman" w:cs="Times New Roman" w:eastAsia="Times New Roman" w:hAnsi="Times New Roman"/>
          <w:color w:val="FF0000"/>
          <w:sz w:val="22"/>
          <w:szCs w:val="22"/>
        </w:rPr>
        <w:t xml:space="preserve">throughout this report</w:t>
      </w:r>
      <w:r>
        <w:rPr>
          <w:rFonts w:ascii="Times New Roman" w:cs="Times New Roman" w:eastAsia="Times New Roman" w:hAnsi="Times New Roman"/>
          <w:sz w:val="22"/>
          <w:szCs w:val="22"/>
        </w:rPr>
        <w:t xml:space="preserv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SRQ1 (Trust-Centric Consent Modelling):</w:t>
      </w:r>
      <w:r>
        <w:rPr>
          <w:rFonts w:ascii="Times New Roman" w:cs="Times New Roman" w:eastAsia="Times New Roman" w:hAnsi="Times New Roman"/>
          <w:sz w:val="22"/>
          <w:szCs w:val="22"/>
        </w:rPr>
        <w:t xml:space="preserve"> How can patient consent be modelled as a trust-aware authorisation object that explicitly represents identity, authority requirements, policy constraints, and authorisation evidence?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SRQ2 (Decentralised Identity and Authority Trust):</w:t>
      </w:r>
      <w:r>
        <w:rPr>
          <w:rFonts w:ascii="Times New Roman" w:cs="Times New Roman" w:eastAsia="Times New Roman" w:hAnsi="Times New Roman"/>
          <w:sz w:val="22"/>
          <w:szCs w:val="22"/>
        </w:rPr>
        <w:t xml:space="preserve"> How can decentralised identities and verifiable credentials establish trustworthy participants while explicitly separating identity authentication from authorisation authority?</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SRQ3 (Trustworthy Multi-Party Authorisation):</w:t>
      </w:r>
      <w:r>
        <w:rPr>
          <w:rFonts w:ascii="Times New Roman" w:cs="Times New Roman" w:eastAsia="Times New Roman" w:hAnsi="Times New Roman"/>
          <w:sz w:val="22"/>
          <w:szCs w:val="22"/>
        </w:rPr>
        <w:t xml:space="preserve"> How can multiple independently verified participants jointly establish a trustworthy consent decision without allowing a single participant to unilaterally authorise sensitive healthcare data access?</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SRQ4 (Policy- and Context-Aware Access Control):</w:t>
      </w:r>
      <w:r>
        <w:rPr>
          <w:rFonts w:ascii="Times New Roman" w:cs="Times New Roman" w:eastAsia="Times New Roman" w:hAnsi="Times New Roman"/>
          <w:sz w:val="22"/>
          <w:szCs w:val="22"/>
        </w:rPr>
        <w:t xml:space="preserve"> How can policy, purpose, and data-scope constraints be incorporated into authorisation decisions so that valid identities and sufficient approvals cannot be used to obtain unauthorised healthcare data?</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SRQ5 (Temporal and Lifecycle Trust):</w:t>
      </w:r>
      <w:r>
        <w:rPr>
          <w:rFonts w:ascii="Times New Roman" w:cs="Times New Roman" w:eastAsia="Times New Roman" w:hAnsi="Times New Roman"/>
          <w:sz w:val="22"/>
          <w:szCs w:val="22"/>
        </w:rPr>
        <w:t xml:space="preserve"> How can temporal validity and consent lifecycle controls ensure that an authorisation remains valid only within its permitted time interval and lifecycle state, and is rejected after expiration, revocation, or an unauthorised state transition?</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SRQ6 (Formal Security Assurance and Empirical Validation):</w:t>
      </w:r>
      <w:r>
        <w:rPr>
          <w:rFonts w:ascii="Times New Roman" w:cs="Times New Roman" w:eastAsia="Times New Roman" w:hAnsi="Times New Roman"/>
          <w:sz w:val="22"/>
          <w:szCs w:val="22"/>
        </w:rPr>
        <w:t xml:space="preserve"> How can the security properties of the proposed trust-oriented authorisation mechanism be formally defined and empirically evaluated to demonstrate that the implemented framework correctly enforces authorised and unauthorised healthcare data-access decisions?</w:t>
      </w:r>
    </w:p>
    <w:p>
      <w:pPr>
        <w:spacing w:after="110" w:line="264"/>
        <w:jc w:val="both"/>
      </w:pPr>
      <w:r>
        <w:rPr>
          <w:rFonts w:ascii="Times New Roman" w:cs="Times New Roman" w:eastAsia="Times New Roman" w:hAnsi="Times New Roman"/>
          <w:sz w:val="22"/>
          <w:szCs w:val="22"/>
        </w:rPr>
        <w:t xml:space="preserve">The consent object against which these questions are evaluated is defined in Equation (1), where I represents identity information, A represents authority and authorisation requirements, P represents policy and data-scope constraints, and E represents authorisation evidence. Within A, the guardian set G and the threshold N define the required approvals, T is the temporal validity window, L is the jurisdictional constraint, and E also records whether the consent remains active or has been revoked. This formulation changes the role of consent from a passive record into an evaluable authorisation object.</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C = (I, A, P, T, L, E)</w:t>
      </w:r>
      <w:r>
        <w:rPr>
          <w:rFonts w:ascii="Times New Roman" w:cs="Times New Roman" w:eastAsia="Times New Roman" w:hAnsi="Times New Roman"/>
          <w:sz w:val="22"/>
          <w:szCs w:val="22"/>
        </w:rPr>
        <w:t xml:space="preserve">	(1)</w:t>
      </w:r>
    </w:p>
    <w:p>
      <w:pPr>
        <w:pStyle w:val="Heading2"/>
        <w:keepNext/>
        <w:spacing w:after="120" w:before="240"/>
      </w:pPr>
      <w:r>
        <w:rPr>
          <w:rFonts w:ascii="Times New Roman" w:cs="Times New Roman" w:eastAsia="Times New Roman" w:hAnsi="Times New Roman"/>
          <w:b/>
          <w:bCs/>
          <w:sz w:val="26"/>
          <w:szCs w:val="26"/>
        </w:rPr>
        <w:t xml:space="preserve">3.4  </w:t>
      </w:r>
      <w:r>
        <w:rPr>
          <w:rFonts w:ascii="Times New Roman" w:cs="Times New Roman" w:eastAsia="Times New Roman" w:hAnsi="Times New Roman"/>
          <w:b/>
          <w:bCs/>
          <w:sz w:val="26"/>
          <w:szCs w:val="26"/>
        </w:rPr>
        <w:t xml:space="preserve">Research Questions as an Integrated Problem</w:t>
      </w:r>
    </w:p>
    <w:p>
      <w:pPr>
        <w:spacing w:after="110" w:line="264"/>
        <w:jc w:val="both"/>
      </w:pPr>
      <w:r>
        <w:rPr>
          <w:rFonts w:ascii="Times New Roman" w:cs="Times New Roman" w:eastAsia="Times New Roman" w:hAnsi="Times New Roman"/>
          <w:sz w:val="22"/>
          <w:szCs w:val="22"/>
        </w:rPr>
        <w:t xml:space="preserve">The six sub-research questions are not independent technical questions. RQ1 establishes the conceptual object. RQ2 establishes the trustworthiness of the participants. RQ3 then extends this participant-level trust into a collective decision. RQ4 determines whether the resulting authorisation is applicable to the specific data-access request. RQ5 further introduces the dynamic dimension of trust by determining whether the authorisation remains valid with respect to its temporal conditions and lifecycle state. Finally, RQ6 establishes the assurance layer by formally defining the resulting security properties and empirically evaluating whether the implemented framework enforces them correctly. The integrated authorisation condition can therefore be expressed as Equation (2). Here,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represents identity and authority validity,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collective authorisation validity,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policy and contextual compliance,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temporal validity, and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jurisdictional compliance, while the revocation and token states of the lifecycle are evaluated within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and its time-based states within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Decision(C, R, t) = ALLOW ⟺ V</w:t>
      </w:r>
      <w:r>
        <w:rPr>
          <w:rFonts w:ascii="Cambria Math" w:cs="Cambria Math" w:eastAsia="Cambria Math" w:hAnsi="Cambria Math"/>
          <w:i w:val="false"/>
          <w:iCs w:val="false"/>
          <w:sz w:val="18"/>
          <w:szCs w:val="18"/>
          <w:vertAlign w:val="subscript"/>
        </w:rPr>
        <w:t xml:space="preserve">I</w:t>
      </w:r>
      <w:r>
        <w:rPr>
          <w:rFonts w:ascii="Cambria Math" w:cs="Cambria Math" w:eastAsia="Cambria Math" w:hAnsi="Cambria Math"/>
          <w:i w:val="false"/>
          <w:iCs w:val="false"/>
          <w:sz w:val="18"/>
          <w:szCs w:val="18"/>
        </w:rPr>
        <w:t xml:space="preserve">(u) ∧ V</w:t>
      </w:r>
      <w:r>
        <w:rPr>
          <w:rFonts w:ascii="Cambria Math" w:cs="Cambria Math" w:eastAsia="Cambria Math" w:hAnsi="Cambria Math"/>
          <w:i w:val="false"/>
          <w:iCs w:val="false"/>
          <w:sz w:val="18"/>
          <w:szCs w:val="18"/>
          <w:vertAlign w:val="subscript"/>
        </w:rPr>
        <w:t xml:space="preserve">A</w:t>
      </w:r>
      <w:r>
        <w:rPr>
          <w:rFonts w:ascii="Cambria Math" w:cs="Cambria Math" w:eastAsia="Cambria Math" w:hAnsi="Cambria Math"/>
          <w:i w:val="false"/>
          <w:iCs w:val="false"/>
          <w:sz w:val="18"/>
          <w:szCs w:val="18"/>
        </w:rPr>
        <w:t xml:space="preserve">(C) ∧ V</w:t>
      </w:r>
      <w:r>
        <w:rPr>
          <w:rFonts w:ascii="Cambria Math" w:cs="Cambria Math" w:eastAsia="Cambria Math" w:hAnsi="Cambria Math"/>
          <w:i w:val="false"/>
          <w:iCs w:val="false"/>
          <w:sz w:val="18"/>
          <w:szCs w:val="18"/>
          <w:vertAlign w:val="subscript"/>
        </w:rPr>
        <w:t xml:space="preserve">P</w:t>
      </w:r>
      <w:r>
        <w:rPr>
          <w:rFonts w:ascii="Cambria Math" w:cs="Cambria Math" w:eastAsia="Cambria Math" w:hAnsi="Cambria Math"/>
          <w:i w:val="false"/>
          <w:iCs w:val="false"/>
          <w:sz w:val="18"/>
          <w:szCs w:val="18"/>
        </w:rPr>
        <w:t xml:space="preserve">(C, R) ∧ V</w:t>
      </w:r>
      <w:r>
        <w:rPr>
          <w:rFonts w:ascii="Cambria Math" w:cs="Cambria Math" w:eastAsia="Cambria Math" w:hAnsi="Cambria Math"/>
          <w:i w:val="false"/>
          <w:iCs w:val="false"/>
          <w:sz w:val="18"/>
          <w:szCs w:val="18"/>
          <w:vertAlign w:val="subscript"/>
        </w:rPr>
        <w:t xml:space="preserve">T</w:t>
      </w:r>
      <w:r>
        <w:rPr>
          <w:rFonts w:ascii="Cambria Math" w:cs="Cambria Math" w:eastAsia="Cambria Math" w:hAnsi="Cambria Math"/>
          <w:i w:val="false"/>
          <w:iCs w:val="false"/>
          <w:sz w:val="18"/>
          <w:szCs w:val="18"/>
        </w:rPr>
        <w:t xml:space="preserve">(C, t) ∧ V</w:t>
      </w:r>
      <w:r>
        <w:rPr>
          <w:rFonts w:ascii="Cambria Math" w:cs="Cambria Math" w:eastAsia="Cambria Math" w:hAnsi="Cambria Math"/>
          <w:i w:val="false"/>
          <w:iCs w:val="false"/>
          <w:sz w:val="18"/>
          <w:szCs w:val="18"/>
          <w:vertAlign w:val="subscript"/>
        </w:rPr>
        <w:t xml:space="preserve">L</w:t>
      </w:r>
      <w:r>
        <w:rPr>
          <w:rFonts w:ascii="Cambria Math" w:cs="Cambria Math" w:eastAsia="Cambria Math" w:hAnsi="Cambria Math"/>
          <w:i w:val="false"/>
          <w:iCs w:val="false"/>
          <w:sz w:val="18"/>
          <w:szCs w:val="18"/>
        </w:rPr>
        <w:t xml:space="preserve">(C, R).</w:t>
      </w:r>
      <w:r>
        <w:rPr>
          <w:rFonts w:ascii="Times New Roman" w:cs="Times New Roman" w:eastAsia="Times New Roman" w:hAnsi="Times New Roman"/>
          <w:sz w:val="22"/>
          <w:szCs w:val="22"/>
        </w:rPr>
        <w:t xml:space="preserve">	(2)</w:t>
      </w:r>
    </w:p>
    <w:p>
      <w:pPr>
        <w:spacing w:after="110" w:line="264"/>
        <w:jc w:val="both"/>
      </w:pPr>
      <w:r>
        <w:rPr>
          <w:rFonts w:ascii="Times New Roman" w:cs="Times New Roman" w:eastAsia="Times New Roman" w:hAnsi="Times New Roman"/>
          <w:sz w:val="22"/>
          <w:szCs w:val="22"/>
        </w:rPr>
        <w:t xml:space="preserve">A valid authorisation decision requires the simultaneous satisfaction of all relevant trust conditions. Consequently, failure of any individual condition results in denial. In the prototype, an ALLOW decision additionally </w:t>
      </w:r>
      <w:r>
        <w:rPr>
          <w:rFonts w:ascii="Times New Roman" w:cs="Times New Roman" w:eastAsia="Times New Roman" w:hAnsi="Times New Roman"/>
          <w:sz w:val="22"/>
          <w:szCs w:val="22"/>
        </w:rPr>
        <w:t xml:space="preserve">requires the Groth16 ZK proof [69] to verify</w:t>
      </w:r>
      <w:r>
        <w:rPr>
          <w:rFonts w:ascii="Times New Roman" w:cs="Times New Roman" w:eastAsia="Times New Roman" w:hAnsi="Times New Roman"/>
          <w:sz w:val="22"/>
          <w:szCs w:val="22"/>
        </w:rPr>
        <w:t xml:space="preserve">, so a request that satisfies the five predicates is still denied when the proof fails, as in attack A9 (Section 11.4). Formal security assurance does not constitute another authorisation condition to be evaluated at runtime. Instead, it provides a means of specifying, analysing, and verifying the security properties of the integrated authorisation mechanism. Thus, RQ6 operates as an assurance layer over the mechanisms established by RQ1–RQ5.</w:t>
      </w:r>
    </w:p>
    <w:p>
      <w:pPr>
        <w:pStyle w:val="Heading1"/>
        <w:pageBreakBefore/>
        <w:spacing w:after="200" w:before="120"/>
      </w:pPr>
      <w:r>
        <w:rPr>
          <w:rFonts w:ascii="Times New Roman" w:cs="Times New Roman" w:eastAsia="Times New Roman" w:hAnsi="Times New Roman"/>
          <w:b/>
          <w:bCs/>
          <w:sz w:val="32"/>
          <w:szCs w:val="32"/>
        </w:rPr>
        <w:t xml:space="preserve">4.  Research Objectives</w:t>
      </w:r>
    </w:p>
    <w:p>
      <w:pPr>
        <w:spacing w:after="110" w:line="264"/>
        <w:jc w:val="both"/>
      </w:pPr>
      <w:r>
        <w:rPr>
          <w:rFonts w:ascii="Times New Roman" w:cs="Times New Roman" w:eastAsia="Times New Roman" w:hAnsi="Times New Roman"/>
          <w:sz w:val="22"/>
          <w:szCs w:val="22"/>
        </w:rPr>
        <w:t xml:space="preserve">The research objectives translate the identified research gap into concrete research and development activities. Each objective represents a research contribution that can be examined conceptually, technically, and, where appropriate, empirically. The complete research programme consists of six research objectives, corresponding to six research questions.</w:t>
      </w:r>
    </w:p>
    <w:p>
      <w:pPr>
        <w:pStyle w:val="Heading2"/>
        <w:keepNext/>
        <w:spacing w:after="120" w:before="240"/>
      </w:pPr>
      <w:r>
        <w:rPr>
          <w:rFonts w:ascii="Times New Roman" w:cs="Times New Roman" w:eastAsia="Times New Roman" w:hAnsi="Times New Roman"/>
          <w:b/>
          <w:bCs/>
          <w:sz w:val="26"/>
          <w:szCs w:val="26"/>
        </w:rPr>
        <w:t xml:space="preserve">4.1  </w:t>
      </w:r>
      <w:r>
        <w:rPr>
          <w:rFonts w:ascii="Times New Roman" w:cs="Times New Roman" w:eastAsia="Times New Roman" w:hAnsi="Times New Roman"/>
          <w:b/>
          <w:bCs/>
          <w:sz w:val="26"/>
          <w:szCs w:val="26"/>
        </w:rPr>
        <w:t xml:space="preserve">RO1: Trust-Centric Consent Model</w:t>
      </w:r>
    </w:p>
    <w:p>
      <w:pPr>
        <w:spacing w:after="110" w:line="264"/>
        <w:jc w:val="both"/>
      </w:pPr>
      <w:r>
        <w:rPr>
          <w:rFonts w:ascii="Times New Roman" w:cs="Times New Roman" w:eastAsia="Times New Roman" w:hAnsi="Times New Roman"/>
          <w:sz w:val="22"/>
          <w:szCs w:val="22"/>
        </w:rPr>
        <w:t xml:space="preserve">The first research objective is to develop a trust-aware consent model that represents patient consent as a structured and evaluable authorisation object. The model incorporates identity information, authority requirements, policy constraints, and authorisation evidence so that a consent decision can be evaluated when a subsequent data-access request is made. RO1 directly addresses RQ1 and establishes the conceptual foundation for the remaining objectives. It defines the information that must be represented before consent can be interpreted as an authorisation decision rather than merely as a static approval record.</w:t>
      </w:r>
    </w:p>
    <w:p>
      <w:pPr>
        <w:pStyle w:val="Heading2"/>
        <w:keepNext/>
        <w:spacing w:after="120" w:before="240"/>
      </w:pPr>
      <w:r>
        <w:rPr>
          <w:rFonts w:ascii="Times New Roman" w:cs="Times New Roman" w:eastAsia="Times New Roman" w:hAnsi="Times New Roman"/>
          <w:b/>
          <w:bCs/>
          <w:sz w:val="26"/>
          <w:szCs w:val="26"/>
        </w:rPr>
        <w:t xml:space="preserve">4.2  </w:t>
      </w:r>
      <w:r>
        <w:rPr>
          <w:rFonts w:ascii="Times New Roman" w:cs="Times New Roman" w:eastAsia="Times New Roman" w:hAnsi="Times New Roman"/>
          <w:b/>
          <w:bCs/>
          <w:sz w:val="26"/>
          <w:szCs w:val="26"/>
        </w:rPr>
        <w:t xml:space="preserve">RO2: Decentralised Identity and Authority Trust</w:t>
      </w:r>
    </w:p>
    <w:p>
      <w:pPr>
        <w:spacing w:after="110" w:line="264"/>
        <w:jc w:val="both"/>
      </w:pPr>
      <w:r>
        <w:rPr>
          <w:rFonts w:ascii="Times New Roman" w:cs="Times New Roman" w:eastAsia="Times New Roman" w:hAnsi="Times New Roman"/>
          <w:sz w:val="22"/>
          <w:szCs w:val="22"/>
        </w:rPr>
        <w:t xml:space="preserve">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 RO2 addresses RQ2 and provides the trust inputs required by the subsequent multi-party authorisation process. The objective is based on the principle that successful identity verification does not automatically imply permission to access healthcare data.</w:t>
      </w:r>
    </w:p>
    <w:p>
      <w:pPr>
        <w:pStyle w:val="Heading2"/>
        <w:keepNext/>
        <w:spacing w:after="120" w:before="240"/>
      </w:pPr>
      <w:r>
        <w:rPr>
          <w:rFonts w:ascii="Times New Roman" w:cs="Times New Roman" w:eastAsia="Times New Roman" w:hAnsi="Times New Roman"/>
          <w:b/>
          <w:bCs/>
          <w:sz w:val="26"/>
          <w:szCs w:val="26"/>
        </w:rPr>
        <w:t xml:space="preserve">4.3  </w:t>
      </w:r>
      <w:r>
        <w:rPr>
          <w:rFonts w:ascii="Times New Roman" w:cs="Times New Roman" w:eastAsia="Times New Roman" w:hAnsi="Times New Roman"/>
          <w:b/>
          <w:bCs/>
          <w:sz w:val="26"/>
          <w:szCs w:val="26"/>
        </w:rPr>
        <w:t xml:space="preserve">RO3: Trustworthy Multi-Party Authorisation</w:t>
      </w:r>
    </w:p>
    <w:p>
      <w:pPr>
        <w:spacing w:after="110" w:line="264"/>
        <w:jc w:val="both"/>
      </w:pPr>
      <w:r>
        <w:rPr>
          <w:rFonts w:ascii="Times New Roman" w:cs="Times New Roman" w:eastAsia="Times New Roman" w:hAnsi="Times New Roman"/>
          <w:sz w:val="22"/>
          <w:szCs w:val="22"/>
        </w:rPr>
        <w:t xml:space="preserve">The third research objective is to develop a threshold-based multi-party authorisation mechanism through which multiple independently verified participants can jointly establish a trustworthy consent decision. The objective is to prevent unilateral authorisation where collective approval is required. The guardian set G, fixed at consent creation, defines which participants are eligible to contribute an approval to the authorisation process. Each participant must submit an approval that can be independently verified through EIP-712 signature recovery. Invalid approvals are rejected and must not contribute to the threshold count. A valid signature is required from every listed guardian, so the threshold equals |G|, an N-of-N condition demonstrated in the 2-of-2 configuration. In this case, one valid approval is insufficient, whereas two valid approvals satisfy the threshold. RO3 addresses RQ3 and extends the consent model from an individual permission statement to a collective authorisation decision.</w:t>
      </w:r>
    </w:p>
    <w:p>
      <w:pPr>
        <w:pStyle w:val="Heading2"/>
        <w:keepNext/>
        <w:spacing w:after="120" w:before="240"/>
      </w:pPr>
      <w:r>
        <w:rPr>
          <w:rFonts w:ascii="Times New Roman" w:cs="Times New Roman" w:eastAsia="Times New Roman" w:hAnsi="Times New Roman"/>
          <w:b/>
          <w:bCs/>
          <w:sz w:val="26"/>
          <w:szCs w:val="26"/>
        </w:rPr>
        <w:t xml:space="preserve">4.4  </w:t>
      </w:r>
      <w:r>
        <w:rPr>
          <w:rFonts w:ascii="Times New Roman" w:cs="Times New Roman" w:eastAsia="Times New Roman" w:hAnsi="Times New Roman"/>
          <w:b/>
          <w:bCs/>
          <w:sz w:val="26"/>
          <w:szCs w:val="26"/>
        </w:rPr>
        <w:t xml:space="preserve">RO4: Policy- and Context-Aware Access Control</w:t>
      </w:r>
    </w:p>
    <w:p>
      <w:pPr>
        <w:spacing w:after="110" w:line="264"/>
        <w:jc w:val="both"/>
      </w:pPr>
      <w:r>
        <w:rPr>
          <w:rFonts w:ascii="Times New Roman" w:cs="Times New Roman" w:eastAsia="Times New Roman" w:hAnsi="Times New Roman"/>
          <w:sz w:val="22"/>
          <w:szCs w:val="22"/>
        </w:rPr>
        <w:t xml:space="preserve">The fourth research objective is to develop a policy-aware authorisation mechanism that evaluates the purpose and data scope of a requested operation against the constraints defined by the consent. The objective is to ensure that a valid identity and sufficient multi-party approval cannot be used to obtain healthcare information outside the authorised scope. A request is permitted only when the purpose is compatible with the consent and the requested data scope is a non-empty subset of the authorised EMR modules. In the current prototype, the request purpose is taken from the consent, so the purpose check confirms that the consent purpose is a supported healthcare use, while the comparison with a separately declared request purpose is left to the next stage. RO4 directly addresses RQ4 and completes the foundational authorisation model. Together, RO1–RO4 establish the representation, verification, collective authorisation, and policy-enforcement mechanisms required for a trust-oriented healthcare data-sharing decision.</w:t>
      </w:r>
    </w:p>
    <w:p>
      <w:pPr>
        <w:pStyle w:val="Heading2"/>
        <w:keepNext/>
        <w:spacing w:after="120" w:before="240"/>
      </w:pPr>
      <w:r>
        <w:rPr>
          <w:rFonts w:ascii="Times New Roman" w:cs="Times New Roman" w:eastAsia="Times New Roman" w:hAnsi="Times New Roman"/>
          <w:b/>
          <w:bCs/>
          <w:sz w:val="26"/>
          <w:szCs w:val="26"/>
        </w:rPr>
        <w:t xml:space="preserve">4.5  </w:t>
      </w:r>
      <w:r>
        <w:rPr>
          <w:rFonts w:ascii="Times New Roman" w:cs="Times New Roman" w:eastAsia="Times New Roman" w:hAnsi="Times New Roman"/>
          <w:b/>
          <w:bCs/>
          <w:sz w:val="26"/>
          <w:szCs w:val="26"/>
        </w:rPr>
        <w:t xml:space="preserve">RO5: Temporal and Lifecycle Trust</w:t>
      </w:r>
    </w:p>
    <w:p>
      <w:pPr>
        <w:spacing w:after="110" w:line="264"/>
        <w:jc w:val="both"/>
      </w:pPr>
      <w:r>
        <w:rPr>
          <w:rFonts w:ascii="Times New Roman" w:cs="Times New Roman" w:eastAsia="Times New Roman" w:hAnsi="Times New Roman"/>
          <w:sz w:val="22"/>
          <w:szCs w:val="22"/>
        </w:rP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 RO5 addresses RQ5 and extends the foundational authorisation model into a dynamic consent environment. The current HALAH code already collects a start time and expiry time during consent creation. The prototype records them on-chain as notBefore and expiry within the consent token, enforces the temporal validity window at every access decision through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implements end-to-end revocation, including an on-chain revoke transaction, and manages the consent through an explicit lifecycle state machine. A consent that has expired or been revoked must not remain usable merely because its original approval threshold was satisfied. The remaining work concerns </w:t>
      </w:r>
      <w:r>
        <w:rPr>
          <w:rFonts w:ascii="Times New Roman" w:cs="Times New Roman" w:eastAsia="Times New Roman" w:hAnsi="Times New Roman"/>
          <w:color w:val="FF0000"/>
          <w:sz w:val="22"/>
          <w:szCs w:val="22"/>
        </w:rPr>
        <w:t xml:space="preserve">the lifecycle transition check, a formal lifecycle model, and </w:t>
      </w:r>
      <w:r>
        <w:rPr>
          <w:rFonts w:ascii="Times New Roman" w:cs="Times New Roman" w:eastAsia="Times New Roman" w:hAnsi="Times New Roman"/>
          <w:sz w:val="22"/>
          <w:szCs w:val="22"/>
        </w:rPr>
        <w:t xml:space="preserve">hardening these controls and extending them to consent modification, delegation, and guardian-set changes.</w:t>
      </w:r>
    </w:p>
    <w:p>
      <w:pPr>
        <w:pStyle w:val="Heading2"/>
        <w:keepNext/>
        <w:spacing w:after="120" w:before="240"/>
      </w:pPr>
      <w:r>
        <w:rPr>
          <w:rFonts w:ascii="Times New Roman" w:cs="Times New Roman" w:eastAsia="Times New Roman" w:hAnsi="Times New Roman"/>
          <w:b/>
          <w:bCs/>
          <w:sz w:val="26"/>
          <w:szCs w:val="26"/>
        </w:rPr>
        <w:t xml:space="preserve">4.6  </w:t>
      </w:r>
      <w:r>
        <w:rPr>
          <w:rFonts w:ascii="Times New Roman" w:cs="Times New Roman" w:eastAsia="Times New Roman" w:hAnsi="Times New Roman"/>
          <w:b/>
          <w:bCs/>
          <w:sz w:val="26"/>
          <w:szCs w:val="26"/>
        </w:rPr>
        <w:t xml:space="preserve">RO6: Formal Security Assurance and Empirical Validation</w:t>
      </w:r>
    </w:p>
    <w:p>
      <w:pPr>
        <w:spacing w:after="110" w:line="264"/>
        <w:jc w:val="both"/>
      </w:pPr>
      <w:r>
        <w:rPr>
          <w:rFonts w:ascii="Times New Roman" w:cs="Times New Roman" w:eastAsia="Times New Roman" w:hAnsi="Times New Roman"/>
          <w:sz w:val="22"/>
          <w:szCs w:val="22"/>
        </w:rPr>
        <w:t xml:space="preserve">The sixth research objective is to formally analyse and empirically evaluate whether the implemented framework satisfies its defined trust and authorisation properties under representative healthcare data-sharing scenarios. RO6 addresses RQ6 and combines formal security assurance with empirical validation of the proposed framework. The objective is to establish not only that the prototype can execute valid consent workflows, but also that it behaves correctly when one or more trust conditions are violated. RO6 is partially completed through the implementation and initial scenario-based validation of the HALAH prototype. In particular, 36 automated tests cover signature rejection, proof tampering, and twelve attack scenarios against the components of C and the contract. Preliminary measurements of on-chain cost, confirmation latency, and processing time have been obtained, and a live out-of-jurisdiction request against a consent anchored on the deployed Sepolia contract was refused by the application. The formal component will specify and analyse the security properties, consistency requirements, and soundness conditions of the trust-oriented authorisation mechanism. Although preliminary implementation and scenario-based testing support the current stage findings, the complete formal analysis, through proofs or model checking, will be conducted as part of next stage works.</w:t>
      </w:r>
    </w:p>
    <w:p>
      <w:pPr>
        <w:pStyle w:val="Heading2"/>
        <w:keepNext/>
        <w:spacing w:after="120" w:before="240"/>
      </w:pPr>
      <w:r>
        <w:rPr>
          <w:rFonts w:ascii="Times New Roman" w:cs="Times New Roman" w:eastAsia="Times New Roman" w:hAnsi="Times New Roman"/>
          <w:b/>
          <w:bCs/>
          <w:sz w:val="26"/>
          <w:szCs w:val="26"/>
        </w:rPr>
        <w:t xml:space="preserve">4.7  </w:t>
      </w:r>
      <w:r>
        <w:rPr>
          <w:rFonts w:ascii="Times New Roman" w:cs="Times New Roman" w:eastAsia="Times New Roman" w:hAnsi="Times New Roman"/>
          <w:b/>
          <w:bCs/>
          <w:sz w:val="26"/>
          <w:szCs w:val="26"/>
        </w:rPr>
        <w:t xml:space="preserve">Relationship Between Research Questions and Objectives</w:t>
      </w:r>
    </w:p>
    <w:p>
      <w:pPr>
        <w:spacing w:after="110" w:line="264"/>
        <w:jc w:val="both"/>
      </w:pPr>
      <w:r>
        <w:rPr>
          <w:rFonts w:ascii="Times New Roman" w:cs="Times New Roman" w:eastAsia="Times New Roman" w:hAnsi="Times New Roman"/>
          <w:sz w:val="22"/>
          <w:szCs w:val="22"/>
        </w:rPr>
        <w:t xml:space="preserve">The mapping follows the structure of the research programme and maintains a direct correspondence between each research question and its associated objective. RO1 to RO6 are realised in Section 6 to Section 11 respectively, each in the section presenting the solution for the corresponding research question. Because each research question corresponds to one gap identified in Section 2, each objective addresses the gap of the same number, so that RO1 addresses Gap 1 and RO6 addresses Gap 6. This correspondence ensures that every research question is addressed by a clearly defined research activity and that each objective contributes to the overall development of the proposed trust-oriented authorisation framework. </w:t>
      </w:r>
      <w:r>
        <w:rPr>
          <w:rFonts w:ascii="Times New Roman" w:cs="Times New Roman" w:eastAsia="Times New Roman" w:hAnsi="Times New Roman"/>
          <w:sz w:val="22"/>
          <w:szCs w:val="22"/>
        </w:rPr>
        <w:t xml:space="preserve">RO1 to RO4 are delivered in this stage,</w:t>
      </w:r>
      <w:r>
        <w:rPr>
          <w:rFonts w:ascii="Times New Roman" w:cs="Times New Roman" w:eastAsia="Times New Roman" w:hAnsi="Times New Roman"/>
          <w:sz w:val="22"/>
          <w:szCs w:val="22"/>
        </w:rPr>
        <w:t xml:space="preserve"> together with their validation and evaluation through the implemented prototype, whereas, as stated in Section 1, RO5 and RO6 are partially completed. Their remaining work is detailed in Section 10 and Section 11, and its schedule is presented in Section 13. The distinction between current stage and next stage is therefore based on research scope and maturity rather than on a different set of research questions or objectives.</w:t>
      </w:r>
    </w:p>
    <w:p>
      <w:pPr>
        <w:pStyle w:val="Heading1"/>
        <w:pageBreakBefore/>
        <w:spacing w:after="200" w:before="120"/>
      </w:pPr>
      <w:r>
        <w:rPr>
          <w:rFonts w:ascii="Times New Roman" w:cs="Times New Roman" w:eastAsia="Times New Roman" w:hAnsi="Times New Roman"/>
          <w:b/>
          <w:bCs/>
          <w:sz w:val="32"/>
          <w:szCs w:val="32"/>
        </w:rPr>
        <w:t xml:space="preserve">5.  Research Architecture: MVC</w:t>
      </w:r>
    </w:p>
    <w:p>
      <w:pPr>
        <w:spacing w:after="110" w:line="264"/>
        <w:jc w:val="both"/>
      </w:pPr>
      <w:r>
        <w:rPr>
          <w:rFonts w:ascii="Times New Roman" w:cs="Times New Roman" w:eastAsia="Times New Roman" w:hAnsi="Times New Roman"/>
          <w:sz w:val="22"/>
          <w:szCs w:val="22"/>
        </w:rPr>
        <w:t xml:space="preserve">The proposed research architecture adopts a Model–View–Controller (MVC) design to provide a structured implementation foundation for the trusted multi-party consent management framework. However, the MVC architecture is not used merely as a conventional software engineering pattern for separating data, interfaces, and application logic. Within the proposed framework, MVC is extended to support a more fundamental separation between the representation of consent, the interaction of independent stakeholders, and the enforcement of security-critical authorisation decisions. This separation is particularly important in decentralised healthcare data-sharing environments. A healthcare consent decision may involve patients, guardians, healthcare professionals, and auditors, each of whom may possess different identities, authorities, and responsibilities. Consequently, the system cannot rely on a single user authentication event or a static permission entry to determine whether access should be granted. Instead, the authorisation decision must emerge from the coordinated evaluation of independently verifiable security conditions.</w:t>
      </w:r>
    </w:p>
    <w:p>
      <w:pPr>
        <w:pStyle w:val="Heading2"/>
        <w:keepNext/>
        <w:spacing w:after="120" w:before="240"/>
      </w:pPr>
      <w:r>
        <w:rPr>
          <w:rFonts w:ascii="Times New Roman" w:cs="Times New Roman" w:eastAsia="Times New Roman" w:hAnsi="Times New Roman"/>
          <w:b/>
          <w:bCs/>
          <w:sz w:val="26"/>
          <w:szCs w:val="26"/>
        </w:rPr>
        <w:t xml:space="preserve">5.1  </w:t>
      </w:r>
      <w:r>
        <w:rPr>
          <w:rFonts w:ascii="Times New Roman" w:cs="Times New Roman" w:eastAsia="Times New Roman" w:hAnsi="Times New Roman"/>
          <w:b/>
          <w:bCs/>
          <w:sz w:val="26"/>
          <w:szCs w:val="26"/>
        </w:rPr>
        <w:t xml:space="preserve">Layered Architecture and Component Decomposition</w:t>
      </w:r>
    </w:p>
    <w:p>
      <w:pPr>
        <w:spacing w:after="110" w:line="264"/>
        <w:jc w:val="both"/>
      </w:pPr>
      <w:r>
        <w:rPr>
          <w:rFonts w:ascii="Times New Roman" w:cs="Times New Roman" w:eastAsia="Times New Roman" w:hAnsi="Times New Roman"/>
          <w:sz w:val="22"/>
          <w:szCs w:val="22"/>
        </w:rPr>
        <w:t xml:space="preserve">At the highest level, the architecture consists of three complementary layers. The View Layer represents the interaction boundary with independent healthcare stakeholders. The Controller Layer represents the security decision and coordination boundary. The Model Layer represents the persistent trust, consent, policy, and authorisation state. Figure 3 illustrates the conceptual relationship among these layers. The protected healthcare data are deliberately positioned outside the three MVC layers as a protected resource whose access is mediated by the Controller rather than directly exposed to the View.</w:t>
      </w:r>
    </w:p>
    <w:p>
      <w:pPr>
        <w:keepNext/>
        <w:spacing w:after="60" w:before="160"/>
        <w:jc w:val="center"/>
      </w:pPr>
      <w:r>
        <w:drawing>
          <wp:inline distT="0" distB="0" distL="0" distR="0">
            <wp:extent cx="5715000" cy="3524250"/>
            <wp:effectExtent t="0" r="0" b="0" l="0"/>
            <wp:docPr id="1" name="F6.png" descr="Layered MVC architecture and component decomposition of the HALAH framework" title="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24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3: </w:t>
      </w:r>
      <w:r>
        <w:rPr>
          <w:rFonts w:ascii="Times New Roman" w:cs="Times New Roman" w:eastAsia="Times New Roman" w:hAnsi="Times New Roman"/>
          <w:sz w:val="18"/>
          <w:szCs w:val="18"/>
        </w:rPr>
        <w:t xml:space="preserve">Layered MVC architecture and component decomposition of the HALAH framework</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An action submitted through the View represents a request or claim rather than a trusted authorisation outcome. The Controller Layer constitutes the principal security enforcement boundary. It receives requests from the View and coordinates the evaluation of the relevant trust conditions. These include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 The Model therefore provides the information required for the Controller to evaluate an access request, but the existence of a Model object does not itself imply that access is permitted. MVC was selected in preference to a purely on-chain design for two reasons. First, the authorisation decision must combine the identity, threshold, policy, temporal, and jurisdictional evaluation performed by the Controller with the anchoring of consent state on the blockchain. Second, each stakeholder interface can be replaced without altering the enforcement logic, so the trust predicates are evaluated independently of any particular user interface.</w:t>
      </w:r>
    </w:p>
    <w:p>
      <w:pPr>
        <w:spacing w:after="110" w:line="264"/>
        <w:jc w:val="both"/>
      </w:pPr>
      <w:r>
        <w:rPr>
          <w:rFonts w:ascii="Times New Roman" w:cs="Times New Roman" w:eastAsia="Times New Roman" w:hAnsi="Times New Roman"/>
          <w:sz w:val="22"/>
          <w:szCs w:val="22"/>
        </w:rPr>
        <w:t xml:space="preserve">Figure 4 presents this decomposition. The View is decomposed according to the principal stakeholder 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 different interaction responsibilities but share the same architectural principle: none of them independently determines whether access should be granted. The Controller is decomposed into six principal security functions. Identity Verification establishes whether a participant can be identified through the relevant decentralised identity mechanism. Authority Verification evaluates whether the participant possesses appropriate evidence concerning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DID, VC, Consent, Approval, Policy, Evidence, and Lifecycle. This decomposition establishes an explicit distinction between state, interaction, and enforcement.</w:t>
      </w:r>
    </w:p>
    <w:p>
      <w:pPr>
        <w:keepNext/>
        <w:spacing w:after="60" w:before="160"/>
        <w:jc w:val="center"/>
      </w:pPr>
      <w:r>
        <w:drawing>
          <wp:inline distT="0" distB="0" distL="0" distR="0">
            <wp:extent cx="5715000" cy="2209800"/>
            <wp:effectExtent t="0" r="0" b="0" l="0"/>
            <wp:docPr id="1" name="F7.png" descr="Functional decomposition of the MVC components" title="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098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4: </w:t>
      </w:r>
      <w:r>
        <w:rPr>
          <w:rFonts w:ascii="Times New Roman" w:cs="Times New Roman" w:eastAsia="Times New Roman" w:hAnsi="Times New Roman"/>
          <w:sz w:val="18"/>
          <w:szCs w:val="18"/>
        </w:rPr>
        <w:t xml:space="preserve">Functional decomposition of the MVC components</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In the implemented prototype, the Controller comprises eight principal functions rather than six, since a zero-knowledge (ZK) Proof Service generates and verifies the Groth16 proof that feeds the Authorisation Decision, and an On-chain Anchor Service performs the Sepolia mint and revoke transactions as a background process. The Model correspondingly contains the ConsentSBTv3 soulbound contract deployed on Sepolia together with the application audit ledger, both of which an independent verification tool reads, as described in Section 11. It should be acknowledged that, in the present prototype, credential verification consists of a structural check that each DID is well formed, and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combines this check with the EIP-712 verification of each listed guardian's signature. The requester's role and jurisdiction are declared in the interface rather than authenticated, and wallet-held signing keys and authenticated verifiable credentials are deferred to the production design. However, each guardian approval is an EIP-712 typed-data signature bound to the consent identifier, so the multi-party threshold is enforced over signed approvals rather than over interface actions.</w:t>
      </w:r>
    </w:p>
    <w:p>
      <w:pPr>
        <w:pStyle w:val="Heading2"/>
        <w:keepNext/>
        <w:spacing w:after="120" w:before="240"/>
      </w:pPr>
      <w:r>
        <w:rPr>
          <w:rFonts w:ascii="Times New Roman" w:cs="Times New Roman" w:eastAsia="Times New Roman" w:hAnsi="Times New Roman"/>
          <w:b/>
          <w:bCs/>
          <w:sz w:val="26"/>
          <w:szCs w:val="26"/>
        </w:rPr>
        <w:t xml:space="preserve">5.2  </w:t>
      </w:r>
      <w:r>
        <w:rPr>
          <w:rFonts w:ascii="Times New Roman" w:cs="Times New Roman" w:eastAsia="Times New Roman" w:hAnsi="Times New Roman"/>
          <w:b/>
          <w:bCs/>
          <w:sz w:val="26"/>
          <w:szCs w:val="26"/>
        </w:rPr>
        <w:t xml:space="preserve">Trust Evaluation and Architectural Boundaries</w:t>
      </w:r>
    </w:p>
    <w:p>
      <w:pPr>
        <w:spacing w:after="110" w:line="264"/>
        <w:jc w:val="both"/>
      </w:pPr>
      <w:r>
        <w:rPr>
          <w:rFonts w:ascii="Times New Roman" w:cs="Times New Roman" w:eastAsia="Times New Roman" w:hAnsi="Times New Roman"/>
          <w:sz w:val="22"/>
          <w:szCs w:val="22"/>
        </w:rPr>
        <w:t xml:space="preserve">The architectural layers cooperate through a controlled authorisation sequence rather than through unrestricted direct communication. A healthcare data-access request is not evaluated according to a single authentication event. As illustrated in Figure 5, the Controller coordinates a sequence of trust predicates representing the conditions established by the sub-research questions. The first condition,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determines whether the requesting participant possesses valid identity and authority evidence. The second condition,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(C), determines whether the required independently verified participants have collectively satisfied the authorisation threshold N. The third condition,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(C, R), determines whether the requested operation complies with the consent policy, including purpose and data-scope restrictions. The fourth condition,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(C, t), determines whether the consent remains valid at the time of the request. The fifth condition,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(C, R), determines whether the jurisdiction of the request satisfies the recorded jurisdictional constraint of the consent. The revocation and token states of the lifecycle are evaluated within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and its time-based states within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rather than within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The integrated decision can therefore be expressed as Equation (2).</w:t>
      </w:r>
    </w:p>
    <w:p>
      <w:pPr>
        <w:keepNext/>
        <w:spacing w:after="60" w:before="160"/>
        <w:jc w:val="center"/>
      </w:pPr>
      <w:r>
        <w:drawing>
          <wp:inline distT="0" distB="0" distL="0" distR="0">
            <wp:extent cx="2952750" cy="4286250"/>
            <wp:effectExtent t="0" r="0" b="0" l="0"/>
            <wp:docPr id="1" name="F8.png" descr="Trust predicate evaluation and authorisation decision flow (in the current prototype, VI also checks the EIP-712 signature of each listed guardian, and a refusal for a consent that is not ACTIVE is not recorded)" title="Trust predicate evaluation and authorisation decision flow (in the current prototype, VI also checks the EIP-712 signature of each listed guardian, and a refusal for a consent that is not ACTIVE is not recor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52750" cy="4286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5: </w:t>
      </w:r>
      <w:r>
        <w:rPr>
          <w:rFonts w:ascii="Times New Roman" w:cs="Times New Roman" w:eastAsia="Times New Roman" w:hAnsi="Times New Roman"/>
          <w:sz w:val="18"/>
          <w:szCs w:val="18"/>
        </w:rPr>
        <w:t xml:space="preserve">Trust predicate evaluation and authorisation decision flow (in the current prototype, V</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 also checks the EIP-712 signature of each listed guardian, and a refusal for a consent that is not ACTIVE is not recorded)</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If any required predicate evaluates to false, the decision is DENY. The Controller does not itself create these trust conditions. Instead, it evaluates evidence represented by the Model and coordinates the resulting decision. This distinction is important for the interpretation of the architecture: the Controller is a decision-enforcement mechanism, whereas the Model is a representation of trust and governance state. Both successful and unsuccessful decisions are subsequently associated with authorisation evidence, which supports accountability and subsequent verification. The layered architecture also establishes explicit trust boundaries. The View is considered an interaction boundary and therefore cannot be treated as a trusted source of authorisation decisions. The Controller represents the security enforcement boundary. It is responsible for applying the authorisation rules consistently and for preventing direct access to protected healthcare data when the required trust conditions are not satisfied. 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 The protected healthcare data represent the final resource boundary, and access is permitted only through the authorisation path enforced by the Controller.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 In the present prototype, the Controller is a single trusted server that both evaluates the predicates and writes the audit ledger, and accordingly, the on-chain anchoring of consent state and the independent verification tool provide the external evidence against which the Controller's own records can be checked.</w:t>
      </w:r>
    </w:p>
    <w:p>
      <w:pPr>
        <w:pStyle w:val="Heading2"/>
        <w:keepNext/>
        <w:spacing w:after="120" w:before="240"/>
      </w:pPr>
      <w:r>
        <w:rPr>
          <w:rFonts w:ascii="Times New Roman" w:cs="Times New Roman" w:eastAsia="Times New Roman" w:hAnsi="Times New Roman"/>
          <w:b/>
          <w:bCs/>
          <w:sz w:val="26"/>
          <w:szCs w:val="26"/>
        </w:rPr>
        <w:t xml:space="preserve">5.3  </w:t>
      </w:r>
      <w:r>
        <w:rPr>
          <w:rFonts w:ascii="Times New Roman" w:cs="Times New Roman" w:eastAsia="Times New Roman" w:hAnsi="Times New Roman"/>
          <w:b/>
          <w:bCs/>
          <w:sz w:val="26"/>
          <w:szCs w:val="26"/>
        </w:rPr>
        <w:t xml:space="preserve">Trust-Oriented Consent Authorisation Workflow</w:t>
      </w:r>
    </w:p>
    <w:p>
      <w:pPr>
        <w:spacing w:after="110" w:line="264"/>
        <w:jc w:val="both"/>
      </w:pPr>
      <w:r>
        <w:rPr>
          <w:rFonts w:ascii="Times New Roman" w:cs="Times New Roman" w:eastAsia="Times New Roman" w:hAnsi="Times New Roman"/>
          <w:sz w:val="22"/>
          <w:szCs w:val="22"/>
        </w:rPr>
        <w:t xml:space="preserve">Figure 6 presents the end-to-end workflow of the proposed framework. The workflow begins when the patient creates a consent request. The consent specification defines the intended purpose, permitted data scope, and other authorisation conditions. This step establishes what the patient intends to authorise and provides the policy context against which subsequent access requests can be evaluated. The next step of the workflow applies a decentralised identity and authority verification mechanism using Decentralised Identifiers and Verifiable Credentials [16]. Importantly, the framework explicitly separates identity authentication from authorisation. A successfully verified DID or VC does not, by itself, grant permission to access patient data. The framework then collects </w:t>
      </w:r>
      <w:r>
        <w:rPr>
          <w:rFonts w:ascii="Times New Roman" w:cs="Times New Roman" w:eastAsia="Times New Roman" w:hAnsi="Times New Roman"/>
          <w:strike/>
          <w:color w:val="FF0000"/>
          <w:sz w:val="22"/>
          <w:szCs w:val="22"/>
        </w:rPr>
        <w:t xml:space="preserve">their</w:t>
      </w:r>
      <w:r>
        <w:rPr>
          <w:rFonts w:ascii="Times New Roman" w:cs="Times New Roman" w:eastAsia="Times New Roman" w:hAnsi="Times New Roman"/>
          <w:color w:val="FF0000"/>
          <w:sz w:val="22"/>
          <w:szCs w:val="22"/>
        </w:rPr>
        <w:t xml:space="preserve">the guardians'</w:t>
      </w:r>
      <w:r>
        <w:rPr>
          <w:rFonts w:ascii="Times New Roman" w:cs="Times New Roman" w:eastAsia="Times New Roman" w:hAnsi="Times New Roman"/>
          <w:sz w:val="22"/>
          <w:szCs w:val="22"/>
        </w:rPr>
        <w:t xml:space="preserve"> independent approvals and evaluates whether the predefined authorisation threshold has been satisfied. Let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denote the set of </w:t>
      </w:r>
      <w:r>
        <w:rPr>
          <w:rFonts w:ascii="Times New Roman" w:cs="Times New Roman" w:eastAsia="Times New Roman" w:hAnsi="Times New Roman"/>
          <w:strike/>
          <w:color w:val="FF0000"/>
          <w:sz w:val="22"/>
          <w:szCs w:val="22"/>
        </w:rPr>
        <w:t xml:space="preserve">successfully verified approvals</w:t>
      </w:r>
      <w:r>
        <w:rPr>
          <w:rFonts w:ascii="Times New Roman" w:cs="Times New Roman" w:eastAsia="Times New Roman" w:hAnsi="Times New Roman"/>
          <w:color w:val="FF0000"/>
          <w:sz w:val="22"/>
          <w:szCs w:val="22"/>
        </w:rPr>
        <w:t xml:space="preserve">guardians whose approvals have been verified</w:t>
      </w:r>
      <w:r>
        <w:rPr>
          <w:rFonts w:ascii="Times New Roman" w:cs="Times New Roman" w:eastAsia="Times New Roman" w:hAnsi="Times New Roman"/>
          <w:sz w:val="22"/>
          <w:szCs w:val="22"/>
        </w:rPr>
        <w:t xml:space="preserve"> and let N denote the required authorisation threshold, as in Equation (3). Here, Token(C) ≠ ∅ means that C has been assigned a token identifier, and Revoked(C) = 0 means that the consent has not been revoked.</w:t>
      </w:r>
    </w:p>
    <w:p>
      <w:pPr>
        <w:keepNext/>
        <w:spacing w:after="60" w:before="160"/>
        <w:jc w:val="center"/>
      </w:pPr>
      <w:r>
        <w:drawing>
          <wp:inline distT="0" distB="0" distL="0" distR="0">
            <wp:extent cx="2647950" cy="4286250"/>
            <wp:effectExtent t="0" r="0" b="0" l="0"/>
            <wp:docPr id="1" name="F9.png" descr="End-to-end workflow of the trust-oriented consent authorisation framework" title="End-to-end workflow of the trust-oriented consent authoris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47950" cy="4286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6: </w:t>
      </w:r>
      <w:r>
        <w:rPr>
          <w:rFonts w:ascii="Times New Roman" w:cs="Times New Roman" w:eastAsia="Times New Roman" w:hAnsi="Times New Roman"/>
          <w:sz w:val="18"/>
          <w:szCs w:val="18"/>
        </w:rPr>
        <w:t xml:space="preserve">End-to-end workflow of the trust-oriented consent authorisation framework</w:t>
      </w:r>
      <w:r>
        <w:rPr>
          <w:rFonts w:ascii="Times New Roman" w:cs="Times New Roman" w:eastAsia="Times New Roman" w:hAnsi="Times New Roman"/>
          <w:sz w:val="18"/>
          <w:szCs w:val="18"/>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V</w:t>
      </w:r>
      <w:r>
        <w:rPr>
          <w:rFonts w:ascii="Cambria Math" w:cs="Cambria Math" w:eastAsia="Cambria Math" w:hAnsi="Cambria Math"/>
          <w:i w:val="false"/>
          <w:iCs w:val="false"/>
          <w:sz w:val="18"/>
          <w:szCs w:val="18"/>
          <w:vertAlign w:val="subscript"/>
        </w:rPr>
        <w:t xml:space="preserve">A</w:t>
      </w:r>
      <w:r>
        <w:rPr>
          <w:rFonts w:ascii="Cambria Math" w:cs="Cambria Math" w:eastAsia="Cambria Math" w:hAnsi="Cambria Math"/>
          <w:i w:val="false"/>
          <w:iCs w:val="false"/>
          <w:sz w:val="18"/>
          <w:szCs w:val="18"/>
        </w:rPr>
        <w:t xml:space="preserve">(C) = 1 if |A</w:t>
      </w:r>
      <w:r>
        <w:rPr>
          <w:rFonts w:ascii="Cambria Math" w:cs="Cambria Math" w:eastAsia="Cambria Math" w:hAnsi="Cambria Math"/>
          <w:i w:val="false"/>
          <w:iCs w:val="false"/>
          <w:sz w:val="18"/>
          <w:szCs w:val="18"/>
          <w:vertAlign w:val="subscript"/>
        </w:rPr>
        <w:t xml:space="preserve">v</w:t>
      </w:r>
      <w:r>
        <w:rPr>
          <w:rFonts w:ascii="Cambria Math" w:cs="Cambria Math" w:eastAsia="Cambria Math" w:hAnsi="Cambria Math"/>
          <w:i w:val="false"/>
          <w:iCs w:val="false"/>
          <w:sz w:val="18"/>
          <w:szCs w:val="18"/>
        </w:rPr>
        <w:t xml:space="preserve">| ≥ N ∧ Token(C) ≠ ∅ ∧ Revoked(C) = 0, and 0 otherwise.</w:t>
      </w:r>
      <w:r>
        <w:rPr>
          <w:rFonts w:ascii="Times New Roman" w:cs="Times New Roman" w:eastAsia="Times New Roman" w:hAnsi="Times New Roman"/>
          <w:sz w:val="22"/>
          <w:szCs w:val="22"/>
        </w:rPr>
        <w:t xml:space="preserve">	(3)</w:t>
      </w:r>
    </w:p>
    <w:p>
      <w:pPr>
        <w:spacing w:after="110" w:line="264"/>
        <w:jc w:val="both"/>
      </w:pPr>
      <w:r>
        <w:rPr>
          <w:rFonts w:ascii="Times New Roman" w:cs="Times New Roman" w:eastAsia="Times New Roman" w:hAnsi="Times New Roman"/>
          <w:sz w:val="22"/>
          <w:szCs w:val="22"/>
        </w:rPr>
        <w:t xml:space="preserve">Only independently verified participants can contribute to the </w:t>
      </w:r>
      <w:r>
        <w:rPr>
          <w:rFonts w:ascii="Times New Roman" w:cs="Times New Roman" w:eastAsia="Times New Roman" w:hAnsi="Times New Roman"/>
          <w:strike/>
          <w:color w:val="FF0000"/>
          <w:sz w:val="22"/>
          <w:szCs w:val="22"/>
        </w:rPr>
        <w:t xml:space="preserve">authorisation evidence set</w:t>
      </w:r>
      <w:r>
        <w:rPr>
          <w:rFonts w:ascii="Times New Roman" w:cs="Times New Roman" w:eastAsia="Times New Roman" w:hAnsi="Times New Roman"/>
          <w:color w:val="FF0000"/>
          <w:sz w:val="22"/>
          <w:szCs w:val="22"/>
        </w:rPr>
        <w:t xml:space="preserve">set of verified approving guardians</w:t>
      </w:r>
      <w:r>
        <w:rPr>
          <w:rFonts w:ascii="Times New Roman" w:cs="Times New Roman" w:eastAsia="Times New Roman" w:hAnsi="Times New Roman"/>
          <w:sz w:val="22"/>
          <w:szCs w:val="22"/>
        </w:rPr>
        <w:t xml:space="preserve">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as defined in Equation (4), where A</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denotes the set of approvals submitted for C. </w:t>
      </w: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therefore contains each member of G at most once, and an approval from a signer outside G does not enter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Consequently, an arbitrary number of unverified or unauthorised approvals cannot satisfy the multi-party authorisation requirement. A compromised or unauthorised participant cannot independently activate access when the threshold has not been satisfied. This distinguishes the framework from reviewed systems in which joint approval is a contingency path [23], a witness or notary threshold [26], </w:t>
      </w:r>
      <w:r>
        <w:rPr>
          <w:rFonts w:ascii="Times New Roman" w:cs="Times New Roman" w:eastAsia="Times New Roman" w:hAnsi="Times New Roman"/>
          <w:sz w:val="22"/>
          <w:szCs w:val="22"/>
        </w:rPr>
        <w:t xml:space="preserve">a registration-time co-consent [27], a documentation-time gate on guardian access [52], an institution-side admission gate [61], a custodial M-of-N signature [25], a key-share reconstruction [50], or a threshold proxy re-encryption [54].</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A</w:t>
      </w:r>
      <w:r>
        <w:rPr>
          <w:rFonts w:ascii="Cambria Math" w:cs="Cambria Math" w:eastAsia="Cambria Math" w:hAnsi="Cambria Math"/>
          <w:i w:val="false"/>
          <w:iCs w:val="false"/>
          <w:sz w:val="18"/>
          <w:szCs w:val="18"/>
          <w:vertAlign w:val="subscript"/>
        </w:rPr>
        <w:t xml:space="preserve">v</w:t>
      </w:r>
      <w:r>
        <w:rPr>
          <w:rFonts w:ascii="Cambria Math" w:cs="Cambria Math" w:eastAsia="Cambria Math" w:hAnsi="Cambria Math"/>
          <w:i w:val="false"/>
          <w:iCs w:val="false"/>
          <w:sz w:val="18"/>
          <w:szCs w:val="18"/>
        </w:rPr>
        <w:t xml:space="preserve"> = {g ∈ G | ∃ a</w:t>
      </w:r>
      <w:r>
        <w:rPr>
          <w:rFonts w:ascii="Cambria Math" w:cs="Cambria Math" w:eastAsia="Cambria Math" w:hAnsi="Cambria Math"/>
          <w:i w:val="false"/>
          <w:iCs w:val="false"/>
          <w:sz w:val="18"/>
          <w:szCs w:val="18"/>
          <w:vertAlign w:val="subscript"/>
        </w:rPr>
        <w:t xml:space="preserve">i</w:t>
      </w:r>
      <w:r>
        <w:rPr>
          <w:rFonts w:ascii="Cambria Math" w:cs="Cambria Math" w:eastAsia="Cambria Math" w:hAnsi="Cambria Math"/>
          <w:i w:val="false"/>
          <w:iCs w:val="false"/>
          <w:sz w:val="18"/>
          <w:szCs w:val="18"/>
        </w:rPr>
        <w:t xml:space="preserve"> ∈ A</w:t>
      </w:r>
      <w:r>
        <w:rPr>
          <w:rFonts w:ascii="Cambria Math" w:cs="Cambria Math" w:eastAsia="Cambria Math" w:hAnsi="Cambria Math"/>
          <w:i w:val="false"/>
          <w:iCs w:val="false"/>
          <w:sz w:val="18"/>
          <w:szCs w:val="18"/>
          <w:vertAlign w:val="subscript"/>
        </w:rPr>
        <w:t xml:space="preserve">s</w:t>
      </w:r>
      <w:r>
        <w:rPr>
          <w:rFonts w:ascii="Cambria Math" w:cs="Cambria Math" w:eastAsia="Cambria Math" w:hAnsi="Cambria Math"/>
          <w:i w:val="false"/>
          <w:iCs w:val="false"/>
          <w:sz w:val="18"/>
          <w:szCs w:val="18"/>
        </w:rPr>
        <w:t xml:space="preserve"> submitted by g with V</w:t>
      </w:r>
      <w:r>
        <w:rPr>
          <w:rFonts w:ascii="Cambria Math" w:cs="Cambria Math" w:eastAsia="Cambria Math" w:hAnsi="Cambria Math"/>
          <w:i w:val="false"/>
          <w:iCs w:val="false"/>
          <w:sz w:val="18"/>
          <w:szCs w:val="18"/>
          <w:vertAlign w:val="subscript"/>
        </w:rPr>
        <w:t xml:space="preserve">I</w:t>
      </w:r>
      <w:r>
        <w:rPr>
          <w:rFonts w:ascii="Cambria Math" w:cs="Cambria Math" w:eastAsia="Cambria Math" w:hAnsi="Cambria Math"/>
          <w:i w:val="false"/>
          <w:iCs w:val="false"/>
          <w:sz w:val="18"/>
          <w:szCs w:val="18"/>
        </w:rPr>
        <w:t xml:space="preserve">(</w:t>
      </w:r>
      <w:r>
        <w:rPr>
          <w:rFonts w:ascii="Cambria Math" w:cs="Cambria Math" w:eastAsia="Cambria Math" w:hAnsi="Cambria Math"/>
          <w:i w:val="false"/>
          <w:iCs w:val="false"/>
          <w:strike/>
          <w:color w:val="FF0000"/>
          <w:sz w:val="18"/>
          <w:szCs w:val="18"/>
        </w:rPr>
        <w:t xml:space="preserve">a</w:t>
      </w:r>
      <w:r>
        <w:rPr>
          <w:rFonts w:ascii="Cambria Math" w:cs="Cambria Math" w:eastAsia="Cambria Math" w:hAnsi="Cambria Math"/>
          <w:i w:val="false"/>
          <w:iCs w:val="false"/>
          <w:strike/>
          <w:color w:val="FF0000"/>
          <w:sz w:val="18"/>
          <w:szCs w:val="18"/>
          <w:vertAlign w:val="subscript"/>
        </w:rPr>
        <w:t xml:space="preserve">i</w:t>
      </w:r>
      <w:r>
        <w:rPr>
          <w:rFonts w:ascii="Cambria Math" w:cs="Cambria Math" w:eastAsia="Cambria Math" w:hAnsi="Cambria Math"/>
          <w:i w:val="false"/>
          <w:iCs w:val="false"/>
          <w:color w:val="FF0000"/>
          <w:sz w:val="18"/>
          <w:szCs w:val="18"/>
        </w:rPr>
        <w:t xml:space="preserve">g</w:t>
      </w:r>
      <w:r>
        <w:rPr>
          <w:rFonts w:ascii="Cambria Math" w:cs="Cambria Math" w:eastAsia="Cambria Math" w:hAnsi="Cambria Math"/>
          <w:i w:val="false"/>
          <w:iCs w:val="false"/>
          <w:sz w:val="18"/>
          <w:szCs w:val="18"/>
        </w:rPr>
        <w:t xml:space="preserve">) = 1}.</w:t>
      </w:r>
      <w:r>
        <w:rPr>
          <w:rFonts w:ascii="Times New Roman" w:cs="Times New Roman" w:eastAsia="Times New Roman" w:hAnsi="Times New Roman"/>
          <w:sz w:val="22"/>
          <w:szCs w:val="22"/>
        </w:rPr>
        <w:t xml:space="preserve">	(4)</w:t>
      </w:r>
    </w:p>
    <w:p>
      <w:pPr>
        <w:spacing w:after="110" w:line="264"/>
        <w:jc w:val="both"/>
      </w:pPr>
      <w:r>
        <w:rPr>
          <w:rFonts w:ascii="Times New Roman" w:cs="Times New Roman" w:eastAsia="Times New Roman" w:hAnsi="Times New Roman"/>
          <w:sz w:val="22"/>
          <w:szCs w:val="22"/>
        </w:rPr>
        <w:t xml:space="preserve">In the implemented prototype, the threshold is fixed at N = |G|, as justified in Section 8, and once the N-of-N condition is satisfied, the consent token is minted in the local ledger and a background job anchors the mint on Sepolia asynchronously. The temporal check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and the jurisdictional check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are then evaluated, a Groth16 proof is generated and verified before access is granted, and the audit evidence is recorded. </w:t>
      </w:r>
      <w:r>
        <w:rPr>
          <w:rFonts w:ascii="Times New Roman" w:cs="Times New Roman" w:eastAsia="Times New Roman" w:hAnsi="Times New Roman"/>
          <w:strike/>
          <w:color w:val="FF0000"/>
          <w:sz w:val="22"/>
          <w:szCs w:val="22"/>
        </w:rPr>
        <w:t xml:space="preserve">The flow continues</w:t>
      </w:r>
      <w:r>
        <w:rPr>
          <w:rFonts w:ascii="Times New Roman" w:cs="Times New Roman" w:eastAsia="Times New Roman" w:hAnsi="Times New Roman"/>
          <w:color w:val="FF0000"/>
          <w:sz w:val="22"/>
          <w:szCs w:val="22"/>
        </w:rPr>
        <w:t xml:space="preserve">Beyond the access decision shown in Figure 6, the prototype continues</w:t>
      </w:r>
      <w:r>
        <w:rPr>
          <w:rFonts w:ascii="Times New Roman" w:cs="Times New Roman" w:eastAsia="Times New Roman" w:hAnsi="Times New Roman"/>
          <w:sz w:val="22"/>
          <w:szCs w:val="22"/>
        </w:rPr>
        <w:t xml:space="preserve"> through patient-initiated revocation and the corresponding on-chain revoke transaction, after which the auditor reviews the record and the verification tool performs an independent verification. </w:t>
      </w:r>
      <w:r>
        <w:rPr>
          <w:rFonts w:ascii="Times New Roman" w:cs="Times New Roman" w:eastAsia="Times New Roman" w:hAnsi="Times New Roman"/>
          <w:sz w:val="22"/>
          <w:szCs w:val="22"/>
        </w:rPr>
        <w:t xml:space="preserve">If the required threshold is not satisfied, the consent remains pending, and any access request made against it is denied.</w:t>
      </w:r>
      <w:r>
        <w:rPr>
          <w:rFonts w:ascii="Times New Roman" w:cs="Times New Roman" w:eastAsia="Times New Roman" w:hAnsi="Times New Roman"/>
          <w:sz w:val="22"/>
          <w:szCs w:val="22"/>
        </w:rPr>
        <w:t xml:space="preserve"> This prevents a single participant from unilaterally establishing authorisation when the consent policy requires collective approval. When the authorisation threshold is satisfied, the requested access is evaluated against the purpose and data-scope constraints defined in the consent object. This step addresses an important limitation of identity-based and approval-based access control: a legitimate participant may still request data that fall outside the scope of the patient's consent. For example, if a consent authorises access to observations and medications, a request for observations, medications, and procedures should be rejected because the request exceeds the authorised data scope. Similarly, the requested purpose must be consistent with the purpose specified in the consent. Consequently, a valid identity and sufficient multi-party approval are necessary but not sufficient conditions for access. Both successful and denied decisions should be recorded because a trustworthy authorisation framework requires accountability not only for data that were released but also for access attempts that were rejected, and, in the prototype, a denial against an ACTIVE consent is recorded with its complete decision matrix.</w:t>
      </w:r>
    </w:p>
    <w:p>
      <w:pPr>
        <w:pStyle w:val="Heading2"/>
        <w:keepNext/>
        <w:spacing w:after="120" w:before="240"/>
      </w:pPr>
      <w:r>
        <w:rPr>
          <w:rFonts w:ascii="Times New Roman" w:cs="Times New Roman" w:eastAsia="Times New Roman" w:hAnsi="Times New Roman"/>
          <w:b/>
          <w:bCs/>
          <w:sz w:val="26"/>
          <w:szCs w:val="26"/>
        </w:rPr>
        <w:t xml:space="preserve">5.4  </w:t>
      </w:r>
      <w:r>
        <w:rPr>
          <w:rFonts w:ascii="Times New Roman" w:cs="Times New Roman" w:eastAsia="Times New Roman" w:hAnsi="Times New Roman"/>
          <w:b/>
          <w:bCs/>
          <w:sz w:val="26"/>
          <w:szCs w:val="26"/>
        </w:rPr>
        <w:t xml:space="preserve">MVC Architecture and the Research Objectives</w:t>
      </w:r>
    </w:p>
    <w:p>
      <w:pPr>
        <w:spacing w:after="110" w:line="264"/>
        <w:jc w:val="both"/>
      </w:pPr>
      <w:r>
        <w:rPr>
          <w:rFonts w:ascii="Times New Roman" w:cs="Times New Roman" w:eastAsia="Times New Roman" w:hAnsi="Times New Roman"/>
          <w:sz w:val="22"/>
          <w:szCs w:val="22"/>
        </w:rPr>
        <w:t xml:space="preserve">The MVC architecture also provides a direct implementation structure for the research objectives, as summarised in Table 6. RO1 is primarily represented in the Model through the development of the trust-aware consent object C = (I, A, P, T, L, E).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 For RO5, temporal conditions and lifecycle state are represented in the Model, while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w:t>
      </w:r>
      <w:r>
        <w:rPr>
          <w:rFonts w:ascii="Times New Roman" w:cs="Times New Roman" w:eastAsia="Times New Roman" w:hAnsi="Times New Roman"/>
          <w:strike/>
          <w:color w:val="FF0000"/>
          <w:sz w:val="22"/>
          <w:szCs w:val="22"/>
        </w:rPr>
        <w:t xml:space="preserve">and V</w:t>
      </w:r>
      <w:r>
        <w:rPr>
          <w:rFonts w:ascii="Times New Roman" w:cs="Times New Roman" w:eastAsia="Times New Roman" w:hAnsi="Times New Roman"/>
          <w:strike/>
          <w:color w:val="FF0000"/>
          <w:sz w:val="22"/>
          <w:szCs w:val="22"/>
          <w:vertAlign w:val="subscript"/>
        </w:rPr>
        <w:t xml:space="preserve">L</w:t>
      </w:r>
      <w:r>
        <w:rPr>
          <w:rFonts w:ascii="Times New Roman" w:cs="Times New Roman" w:eastAsia="Times New Roman" w:hAnsi="Times New Roman"/>
          <w:strike/>
          <w:color w:val="FF0000"/>
          <w:sz w:val="22"/>
          <w:szCs w:val="22"/>
        </w:rPr>
        <w:t xml:space="preserve"> are</w:t>
      </w:r>
      <w:r>
        <w:rPr>
          <w:rFonts w:ascii="Times New Roman" w:cs="Times New Roman" w:eastAsia="Times New Roman" w:hAnsi="Times New Roman"/>
          <w:color w:val="FF0000"/>
          <w:sz w:val="22"/>
          <w:szCs w:val="22"/>
        </w:rPr>
        <w:t xml:space="preserve">is</w:t>
      </w:r>
      <w:r>
        <w:rPr>
          <w:rFonts w:ascii="Times New Roman" w:cs="Times New Roman" w:eastAsia="Times New Roman" w:hAnsi="Times New Roman"/>
          <w:sz w:val="22"/>
          <w:szCs w:val="22"/>
        </w:rPr>
        <w:t xml:space="preserve"> evaluated by the Controller before an access decision is produced</w:t>
      </w:r>
      <w:r>
        <w:rPr>
          <w:rFonts w:ascii="Times New Roman" w:cs="Times New Roman" w:eastAsia="Times New Roman" w:hAnsi="Times New Roman"/>
          <w:color w:val="FF0000"/>
          <w:sz w:val="22"/>
          <w:szCs w:val="22"/>
        </w:rPr>
        <w:t xml:space="preserve">, and the jurisdiction condition V</w:t>
      </w:r>
      <w:r>
        <w:rPr>
          <w:rFonts w:ascii="Times New Roman" w:cs="Times New Roman" w:eastAsia="Times New Roman" w:hAnsi="Times New Roman"/>
          <w:color w:val="FF0000"/>
          <w:sz w:val="22"/>
          <w:szCs w:val="22"/>
          <w:vertAlign w:val="subscript"/>
        </w:rPr>
        <w:t xml:space="preserve">L</w:t>
      </w:r>
      <w:r>
        <w:rPr>
          <w:rFonts w:ascii="Times New Roman" w:cs="Times New Roman" w:eastAsia="Times New Roman" w:hAnsi="Times New Roman"/>
          <w:color w:val="FF0000"/>
          <w:sz w:val="22"/>
          <w:szCs w:val="22"/>
        </w:rPr>
        <w:t xml:space="preserve"> of RO4 is evaluated in the same step</w:t>
      </w:r>
      <w:r>
        <w:rPr>
          <w:rFonts w:ascii="Times New Roman" w:cs="Times New Roman" w:eastAsia="Times New Roman" w:hAnsi="Times New Roman"/>
          <w:sz w:val="22"/>
          <w:szCs w:val="22"/>
        </w:rPr>
        <w:t xml:space="preserve">. RO6 operates across the complete architecture rather than being confined to a single MVC layer. Formal security assurance evaluates the logical properties of the integrated model, while empirical validation evaluates whether the implementation consistently realises those properties. The evidence generated by the Controller and stored in the Model is what the empirical validation and the independent verifier examine.</w:t>
      </w:r>
    </w:p>
    <w:p>
      <w:pPr>
        <w:keepNext/>
        <w:spacing w:after="80" w:before="200"/>
        <w:jc w:val="center"/>
      </w:pPr>
      <w:r>
        <w:rPr>
          <w:rFonts w:ascii="Times New Roman" w:cs="Times New Roman" w:eastAsia="Times New Roman" w:hAnsi="Times New Roman"/>
          <w:b/>
          <w:bCs/>
          <w:sz w:val="18"/>
          <w:szCs w:val="18"/>
        </w:rPr>
        <w:t xml:space="preserve">Table 6: </w:t>
      </w:r>
      <w:r>
        <w:rPr>
          <w:rFonts w:ascii="Times New Roman" w:cs="Times New Roman" w:eastAsia="Times New Roman" w:hAnsi="Times New Roman"/>
          <w:sz w:val="18"/>
          <w:szCs w:val="18"/>
        </w:rPr>
        <w:t xml:space="preserve">Mapping between research objectives and MVC components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500"/>
        <w:gridCol w:w="3428"/>
      </w:tblGrid>
      <w:tr>
        <w:trPr>
          <w:cantSplit/>
          <w:tblHeader/>
        </w:trPr>
        <w:tc>
          <w:tcPr>
            <w:tcW w:type="dxa" w:w="15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Research Objective</w:t>
            </w:r>
          </w:p>
        </w:tc>
        <w:tc>
          <w:tcPr>
            <w:tcW w:type="dxa" w:w="17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Primary MVC Component</w:t>
            </w:r>
          </w:p>
        </w:tc>
        <w:tc>
          <w:tcPr>
            <w:tcW w:type="dxa" w:w="25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Core Mechanism</w:t>
            </w:r>
          </w:p>
        </w:tc>
        <w:tc>
          <w:tcPr>
            <w:tcW w:type="dxa" w:w="342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Expected Contribution</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RO1</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Model</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Trust-aware consent representation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Transforms consent from a passive permission record into a structured and evaluable authorisation object.</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RO2</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Controller and Model</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DID and VC verification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Establishes trustworthy participants while explicitly separating identity from authorisation authority.</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RO3</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Controller</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Verified multi-party threshold evaluation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Establishes collective trust and prevents unilateral authorisation when multiple approvals are required.</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RO4</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Controller and Model</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Policy, purpose, and data-scope evaluation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Ensures that valid participants and sufficient approvals remain constrained by the authorised purpose and healthcare data scope.</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RO5</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Model and Controller</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Temporal validity and consent lifecycle enforcement</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Ensures that authorisation remains valid only within its permitted time interval and lifecycle state, and that expiration, revocation, and unauthorised state transitions are correctly enforced.</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RO6</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Model, View, and Controller</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Formal security analysis and empirical validation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Will provide formal assurance (next stage) of the defined trust and authorisation properties and empirically </w:t>
            </w:r>
            <w:r>
              <w:rPr>
                <w:rFonts w:ascii="Times New Roman" w:cs="Times New Roman" w:eastAsia="Times New Roman" w:hAnsi="Times New Roman"/>
                <w:b w:val="false"/>
                <w:bCs w:val="false"/>
                <w:strike/>
                <w:color w:val="FF0000"/>
                <w:sz w:val="17"/>
                <w:szCs w:val="17"/>
              </w:rPr>
              <w:t xml:space="preserve">evaluates</w:t>
            </w:r>
            <w:r>
              <w:rPr>
                <w:rFonts w:ascii="Times New Roman" w:cs="Times New Roman" w:eastAsia="Times New Roman" w:hAnsi="Times New Roman"/>
                <w:b w:val="false"/>
                <w:bCs w:val="false"/>
                <w:color w:val="FF0000"/>
                <w:sz w:val="17"/>
                <w:szCs w:val="17"/>
              </w:rPr>
              <w:t xml:space="preserve">evaluate</w:t>
            </w:r>
            <w:r>
              <w:rPr>
                <w:rFonts w:ascii="Times New Roman" w:cs="Times New Roman" w:eastAsia="Times New Roman" w:hAnsi="Times New Roman"/>
                <w:b w:val="false"/>
                <w:bCs w:val="false"/>
                <w:sz w:val="17"/>
                <w:szCs w:val="17"/>
              </w:rPr>
              <w:t xml:space="preserve"> whether the implemented framework correctly enforces authorised and unauthorised healthcare data-access decisions.</w:t>
            </w:r>
          </w:p>
        </w:tc>
      </w:tr>
    </w:tbl>
    <w:p>
      <w:pPr>
        <w:spacing w:after="160"/>
      </w:pPr>
    </w:p>
    <w:p>
      <w:pPr>
        <w:spacing w:after="110" w:line="264"/>
        <w:jc w:val="both"/>
      </w:pPr>
      <w:r>
        <w:rPr>
          <w:rFonts w:ascii="Times New Roman" w:cs="Times New Roman" w:eastAsia="Times New Roman" w:hAnsi="Times New Roman"/>
          <w:sz w:val="22"/>
          <w:szCs w:val="22"/>
        </w:rPr>
        <w:t xml:space="preserve">The principal contribution of the proposed architecture is not the use of MVC itself, but the way in which MVC is employed to operationalise a trust-oriented authorisation model. This design transforms multi-party consent management from a conventional record-management problem into a distributed security-governance problem. The evaluable consent object as such is already present in the literature [21, 24, 28, 48, 67]. The key innovation is that consent effectiveness depends on the joint satisfaction of identity, authority, collective approval, policy, temporal, and jurisdictional conditions on every access decision. Blockchain or other tamper-resistant storage mechanisms are integrated as infrastructure for preserving selected authorisation evidence. However, the blockchain itself is not treated as the source of trust. Its role is to strengthen integrity, non-repudiation, and auditability of the evidence generated by the authorisation process [10, 18]. The detailed solutions for RQ1 to RQ6 are presented in Sections 6 to 11, and the formal assurance of the complete decision model </w:t>
      </w:r>
      <w:r>
        <w:rPr>
          <w:rFonts w:ascii="Times New Roman" w:cs="Times New Roman" w:eastAsia="Times New Roman" w:hAnsi="Times New Roman"/>
          <w:sz w:val="22"/>
          <w:szCs w:val="22"/>
        </w:rPr>
        <w:t xml:space="preserve">remains for the next stage.</w:t>
      </w:r>
    </w:p>
    <w:p>
      <w:pPr>
        <w:pStyle w:val="Heading1"/>
        <w:pageBreakBefore/>
        <w:spacing w:after="200" w:before="120"/>
      </w:pPr>
      <w:r>
        <w:rPr>
          <w:rFonts w:ascii="Times New Roman" w:cs="Times New Roman" w:eastAsia="Times New Roman" w:hAnsi="Times New Roman"/>
          <w:b/>
          <w:bCs/>
          <w:sz w:val="32"/>
          <w:szCs w:val="32"/>
        </w:rPr>
        <w:t xml:space="preserve">6.  The Proposed Solution for RO1</w:t>
      </w:r>
    </w:p>
    <w:p>
      <w:pPr>
        <w:spacing w:after="140" w:before="0"/>
      </w:pPr>
      <w:r>
        <w:rPr>
          <w:rFonts w:ascii="Times New Roman" w:cs="Times New Roman" w:eastAsia="Times New Roman" w:hAnsi="Times New Roman"/>
          <w:b/>
          <w:bCs/>
          <w:i/>
          <w:iCs/>
          <w:sz w:val="26"/>
          <w:szCs w:val="26"/>
        </w:rPr>
        <w:t xml:space="preserve">RO1 – Trust-Centric Consent Model</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Done</w:t>
      </w:r>
    </w:p>
    <w:p>
      <w:pPr>
        <w:pStyle w:val="Heading2"/>
        <w:keepNext/>
        <w:spacing w:after="120" w:before="240"/>
      </w:pPr>
      <w:r>
        <w:rPr>
          <w:rFonts w:ascii="Times New Roman" w:cs="Times New Roman" w:eastAsia="Times New Roman" w:hAnsi="Times New Roman"/>
          <w:b/>
          <w:bCs/>
          <w:sz w:val="26"/>
          <w:szCs w:val="26"/>
        </w:rPr>
        <w:t xml:space="preserve">6.1  </w:t>
      </w:r>
      <w:r>
        <w:rPr>
          <w:rFonts w:ascii="Times New Roman" w:cs="Times New Roman" w:eastAsia="Times New Roman" w:hAnsi="Times New Roman"/>
          <w:b/>
          <w:bCs/>
          <w:sz w:val="26"/>
          <w:szCs w:val="26"/>
        </w:rPr>
        <w:t xml:space="preserve">Overview of the Trust-Centric Consent Model</w:t>
      </w:r>
    </w:p>
    <w:p>
      <w:pPr>
        <w:spacing w:after="110" w:line="264"/>
        <w:jc w:val="both"/>
      </w:pPr>
      <w:r>
        <w:rPr>
          <w:rFonts w:ascii="Times New Roman" w:cs="Times New Roman" w:eastAsia="Times New Roman" w:hAnsi="Times New Roman"/>
          <w:sz w:val="22"/>
          <w:szCs w:val="22"/>
        </w:rPr>
        <w:t xml:space="preserve">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The proposed consent object is represented as Equation (5).</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C = (I, A, P, T, L, E)</w:t>
      </w:r>
      <w:r>
        <w:rPr>
          <w:rFonts w:ascii="Times New Roman" w:cs="Times New Roman" w:eastAsia="Times New Roman" w:hAnsi="Times New Roman"/>
          <w:sz w:val="22"/>
          <w:szCs w:val="22"/>
        </w:rPr>
        <w:t xml:space="preserve">	(5)</w:t>
      </w:r>
    </w:p>
    <w:p>
      <w:pPr>
        <w:spacing w:after="110" w:line="264"/>
        <w:jc w:val="both"/>
      </w:pPr>
      <w:r>
        <w:rPr>
          <w:rFonts w:ascii="Times New Roman" w:cs="Times New Roman" w:eastAsia="Times New Roman" w:hAnsi="Times New Roman"/>
          <w:sz w:val="22"/>
          <w:szCs w:val="22"/>
        </w:rPr>
        <w:t xml:space="preserve">In Equation (5), I represents patient and participant identity information, A represents authorisation requirements, P represents policy constraints, and E represents authorisation evidence. T represents the temporal validity window, and L represents the jurisdiction in which the consent may be exercised.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 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pPr>
        <w:pStyle w:val="Heading2"/>
        <w:keepNext/>
        <w:spacing w:after="120" w:before="240"/>
      </w:pPr>
      <w:r>
        <w:rPr>
          <w:rFonts w:ascii="Times New Roman" w:cs="Times New Roman" w:eastAsia="Times New Roman" w:hAnsi="Times New Roman"/>
          <w:b/>
          <w:bCs/>
          <w:sz w:val="26"/>
          <w:szCs w:val="26"/>
        </w:rPr>
        <w:t xml:space="preserve">6.2  </w:t>
      </w:r>
      <w:r>
        <w:rPr>
          <w:rFonts w:ascii="Times New Roman" w:cs="Times New Roman" w:eastAsia="Times New Roman" w:hAnsi="Times New Roman"/>
          <w:b/>
          <w:bCs/>
          <w:sz w:val="26"/>
          <w:szCs w:val="26"/>
        </w:rPr>
        <w:t xml:space="preserve">Consent Creation Workflow</w:t>
      </w:r>
    </w:p>
    <w:p>
      <w:pPr>
        <w:spacing w:after="110" w:line="264"/>
        <w:jc w:val="both"/>
      </w:pPr>
      <w:r>
        <w:rPr>
          <w:rFonts w:ascii="Times New Roman" w:cs="Times New Roman" w:eastAsia="Times New Roman" w:hAnsi="Times New Roman"/>
          <w:sz w:val="22"/>
          <w:szCs w:val="22"/>
        </w:rPr>
        <w:t xml:space="preserve">Figure 7 describes the creation of a trust-aware consent object. The process begins with a patient request and ends with a structured consent record that can be verified by subsequent authorisation services. The workflow first collects the patient identity and the intended healthcare participants.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 In the current interface, the purpose is fixed to Treatment and is not selected by the patient, and the purpose vocabulary check is therefore exercised by the automated tests rather than by the interface.</w:t>
      </w:r>
    </w:p>
    <w:p>
      <w:pPr>
        <w:keepNext/>
        <w:spacing w:after="60" w:before="160"/>
        <w:jc w:val="center"/>
      </w:pPr>
      <w:r>
        <w:drawing>
          <wp:inline distT="0" distB="0" distL="0" distR="0">
            <wp:extent cx="2219325" cy="4286250"/>
            <wp:effectExtent t="0" r="0" b="0" l="0"/>
            <wp:docPr id="1" name="F10.png" descr="RO1 workflow for trust-centric consent creation" title="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19325" cy="4286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7: </w:t>
      </w:r>
      <w:r>
        <w:rPr>
          <w:rFonts w:ascii="Times New Roman" w:cs="Times New Roman" w:eastAsia="Times New Roman" w:hAnsi="Times New Roman"/>
          <w:sz w:val="18"/>
          <w:szCs w:val="18"/>
        </w:rPr>
        <w:t xml:space="preserve">RO1 workflow for trust-centric consent creation</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specification is accepted only when the required fields are valid. For example, the expiry time must be later than the start time.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 The declared jurisdiction L is validated as a well-formed ISO alpha-2 territory code, AU in the demonstrated transactions, and is bound to the consent object at creation because the subsequent access decision is evaluated against it.</w:t>
      </w:r>
    </w:p>
    <w:p>
      <w:pPr>
        <w:pStyle w:val="Heading2"/>
        <w:keepNext/>
        <w:spacing w:after="120" w:before="240"/>
      </w:pPr>
      <w:r>
        <w:rPr>
          <w:rFonts w:ascii="Times New Roman" w:cs="Times New Roman" w:eastAsia="Times New Roman" w:hAnsi="Times New Roman"/>
          <w:b/>
          <w:bCs/>
          <w:sz w:val="26"/>
          <w:szCs w:val="26"/>
        </w:rPr>
        <w:t xml:space="preserve">6.3  </w:t>
      </w:r>
      <w:r>
        <w:rPr>
          <w:rFonts w:ascii="Times New Roman" w:cs="Times New Roman" w:eastAsia="Times New Roman" w:hAnsi="Times New Roman"/>
          <w:b/>
          <w:bCs/>
          <w:sz w:val="26"/>
          <w:szCs w:val="26"/>
        </w:rPr>
        <w:t xml:space="preserve">Structure of the Consent Object</w:t>
      </w:r>
    </w:p>
    <w:p>
      <w:pPr>
        <w:spacing w:after="110" w:line="264"/>
        <w:jc w:val="both"/>
      </w:pPr>
      <w:r>
        <w:rPr>
          <w:rFonts w:ascii="Times New Roman" w:cs="Times New Roman" w:eastAsia="Times New Roman" w:hAnsi="Times New Roman"/>
          <w:sz w:val="22"/>
          <w:szCs w:val="22"/>
        </w:rPr>
        <w:t xml:space="preserve">Figure 8 shows how the validated information is combined to construct the consent object. The resulting object therefore captures not only the patient's preference but also the evidence required to support subsequent authorisation decisions.</w:t>
      </w:r>
    </w:p>
    <w:p>
      <w:pPr>
        <w:keepNext/>
        <w:spacing w:after="60" w:before="160"/>
        <w:jc w:val="center"/>
      </w:pPr>
      <w:r>
        <w:drawing>
          <wp:inline distT="0" distB="0" distL="0" distR="0">
            <wp:extent cx="5715000" cy="3162300"/>
            <wp:effectExtent t="0" r="0" b="0" l="0"/>
            <wp:docPr id="1" name="F11.png" descr="Six-component consent model C = (I, A, P, T, L, E) with the content and supplier of each component" title="Six-component consent model C = (I, A, P, T, L, E) with the content and supplier of each 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1623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8: </w:t>
      </w:r>
      <w:r>
        <w:rPr>
          <w:rFonts w:ascii="Times New Roman" w:cs="Times New Roman" w:eastAsia="Times New Roman" w:hAnsi="Times New Roman"/>
          <w:sz w:val="18"/>
          <w:szCs w:val="18"/>
        </w:rPr>
        <w:t xml:space="preserve">Six-component consent model C = (I, A, P, T, L, E) with the content and supplier of each component</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system validates the temporal validity interval T = (t</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t</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w:t>
      </w:r>
      <w:r>
        <w:rPr>
          <w:rFonts w:ascii="Times New Roman" w:cs="Times New Roman" w:eastAsia="Times New Roman" w:hAnsi="Times New Roman"/>
          <w:strike/>
          <w:color w:val="FF0000"/>
          <w:sz w:val="22"/>
          <w:szCs w:val="22"/>
        </w:rPr>
        <w:t xml:space="preserve">In particular, existing</w:t>
      </w:r>
      <w:r>
        <w:rPr>
          <w:rFonts w:ascii="Times New Roman" w:cs="Times New Roman" w:eastAsia="Times New Roman" w:hAnsi="Times New Roman"/>
          <w:color w:val="FF0000"/>
          <w:sz w:val="22"/>
          <w:szCs w:val="22"/>
        </w:rPr>
        <w:t xml:space="preserve">Existing</w:t>
      </w:r>
      <w:r>
        <w:rPr>
          <w:rFonts w:ascii="Times New Roman" w:cs="Times New Roman" w:eastAsia="Times New Roman" w:hAnsi="Times New Roman"/>
          <w:sz w:val="22"/>
          <w:szCs w:val="22"/>
        </w:rPr>
        <w:t xml:space="preserve"> approaches provide limited treatment of patient consent as a security-bearing and policy-aware authorisation object whose validity depends on coordinated conditions concerning participant identity, authority, collective approval, and contextual policy compliance. Unlike the consent objects reported in the literature [21, 24, 28, 48, 67], this object carries the guardian set and threshold together with the purpose, data scope, validity interval, jurisdiction, and lifecycle state.</w:t>
      </w:r>
    </w:p>
    <w:p>
      <w:pPr>
        <w:pStyle w:val="Heading2"/>
        <w:keepNext/>
        <w:spacing w:after="120" w:before="240"/>
      </w:pPr>
      <w:r>
        <w:rPr>
          <w:rFonts w:ascii="Times New Roman" w:cs="Times New Roman" w:eastAsia="Times New Roman" w:hAnsi="Times New Roman"/>
          <w:b/>
          <w:bCs/>
          <w:sz w:val="26"/>
          <w:szCs w:val="26"/>
        </w:rPr>
        <w:t xml:space="preserve">6.4  </w:t>
      </w:r>
      <w:r>
        <w:rPr>
          <w:rFonts w:ascii="Times New Roman" w:cs="Times New Roman" w:eastAsia="Times New Roman" w:hAnsi="Times New Roman"/>
          <w:b/>
          <w:bCs/>
          <w:sz w:val="26"/>
          <w:szCs w:val="26"/>
        </w:rPr>
        <w:t xml:space="preserve">Trust-Aware Consent Creation Procedure and Algorithm</w:t>
      </w:r>
    </w:p>
    <w:p>
      <w:pPr>
        <w:spacing w:after="110" w:line="264"/>
        <w:jc w:val="both"/>
      </w:pPr>
      <w:r>
        <w:rPr>
          <w:rFonts w:ascii="Times New Roman" w:cs="Times New Roman" w:eastAsia="Times New Roman" w:hAnsi="Times New Roman"/>
          <w:sz w:val="22"/>
          <w:szCs w:val="22"/>
        </w:rPr>
        <w:t xml:space="preserve">The procedure establishes a valid and auditable consent object by sequentially validating the participating entities, consent purpose, data scope, and temporal constraints. The system first validates the patient's identity I</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If I</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cannot be successfully validated, the procedure terminates immediately and returns REJECT. The system validates the designated doctor D. </w:t>
      </w:r>
      <w:r>
        <w:rPr>
          <w:rFonts w:ascii="Times New Roman" w:cs="Times New Roman" w:eastAsia="Times New Roman" w:hAnsi="Times New Roman"/>
          <w:sz w:val="22"/>
          <w:szCs w:val="22"/>
        </w:rPr>
        <w:t xml:space="preserve">The system then validates the guardian set G, which must </w:t>
      </w:r>
      <w:r>
        <w:rPr>
          <w:rFonts w:ascii="Times New Roman" w:cs="Times New Roman" w:eastAsia="Times New Roman" w:hAnsi="Times New Roman"/>
          <w:strike/>
          <w:color w:val="FF0000"/>
          <w:sz w:val="22"/>
          <w:szCs w:val="22"/>
        </w:rPr>
        <w:t xml:space="preserve">contain at least one guardian with a well-formed DID</w:t>
      </w:r>
      <w:r>
        <w:rPr>
          <w:rFonts w:ascii="Times New Roman" w:cs="Times New Roman" w:eastAsia="Times New Roman" w:hAnsi="Times New Roman"/>
          <w:color w:val="FF0000"/>
          <w:sz w:val="22"/>
          <w:szCs w:val="22"/>
        </w:rPr>
        <w:t xml:space="preserve">be non-empty, and every guardian in it must have a well-formed DID</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This step prevents an arbitrary third party from being treated as an authorised representative of the patient. The intended data-use purpose P</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 is validated and bound to the consent object so that authorisation is not interpreted as unrestricted access to the patient's healthcare information. The </w:t>
      </w:r>
      <w:r>
        <w:rPr>
          <w:rFonts w:ascii="Times New Roman" w:cs="Times New Roman" w:eastAsia="Times New Roman" w:hAnsi="Times New Roman"/>
          <w:strike/>
          <w:color w:val="FF0000"/>
          <w:sz w:val="22"/>
          <w:szCs w:val="22"/>
        </w:rPr>
        <w:t xml:space="preserve">requested</w:t>
      </w:r>
      <w:r>
        <w:rPr>
          <w:rFonts w:ascii="Times New Roman" w:cs="Times New Roman" w:eastAsia="Times New Roman" w:hAnsi="Times New Roman"/>
          <w:color w:val="FF0000"/>
          <w:sz w:val="22"/>
          <w:szCs w:val="22"/>
        </w:rPr>
        <w:t xml:space="preserve">authorised</w:t>
      </w:r>
      <w:r>
        <w:rPr>
          <w:rFonts w:ascii="Times New Roman" w:cs="Times New Roman" w:eastAsia="Times New Roman" w:hAnsi="Times New Roman"/>
          <w:sz w:val="22"/>
          <w:szCs w:val="22"/>
        </w:rPr>
        <w:t xml:space="preserve"> data scope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is validated to determine precisely which healthcare resources may be accessed under the consent. The scope may represent specific resource categories, </w:t>
      </w:r>
      <w:r>
        <w:rPr>
          <w:rFonts w:ascii="Times New Roman" w:cs="Times New Roman" w:eastAsia="Times New Roman" w:hAnsi="Times New Roman"/>
          <w:sz w:val="22"/>
          <w:szCs w:val="22"/>
        </w:rPr>
        <w:t xml:space="preserve">such as observations, medications, conditions, or procedures, which are the modules used in the prototype.</w:t>
      </w:r>
      <w:r>
        <w:rPr>
          <w:rFonts w:ascii="Times New Roman" w:cs="Times New Roman" w:eastAsia="Times New Roman" w:hAnsi="Times New Roman"/>
          <w:sz w:val="22"/>
          <w:szCs w:val="22"/>
        </w:rPr>
        <w:t xml:space="preserve"> This step establishes the principle of least privilege by ensuring that consent is associated with explicitly defined data resources rather than the patient's entire healthcare record.</w:t>
      </w:r>
    </w:p>
    <w:p>
      <w:pPr>
        <w:spacing w:after="110" w:line="264"/>
        <w:jc w:val="both"/>
      </w:pPr>
      <w:r>
        <w:rPr>
          <w:rFonts w:ascii="Times New Roman" w:cs="Times New Roman" w:eastAsia="Times New Roman" w:hAnsi="Times New Roman"/>
          <w:sz w:val="22"/>
          <w:szCs w:val="22"/>
        </w:rPr>
        <w:t xml:space="preserve">The system verifies that the interval is logically valid by requiring t</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&gt; t</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If this condition is not satisfied, the consent request is rejected. After all input elements have been validated, the system defines the authorisation requirement A. This requirement specifies the conditions that must subsequently be satisfied before access can be granted. The system generates a unique consent identifier id</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This identifier provides a persistent reference to the consent object and enables subsequent operations, including consent verification, access authorisation, modification, revocation, and audit. Possession of the identifier alone grants no access, because every subsequent request is evaluated by the complete decision rule. The smart contract assigns the on-chain token identifier separately, only when the consent is activated. The constructed consent object C is persisted, and finally the system records evidence associated with the creation event. The overall procedure can therefore be represented as a sequential trust establishment process that I</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 D → G → P</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 T → L → A → id</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 C → E. This sequence ensures that consent is created only after the relevant identity, authority, purpose, scope, and temporal constraints have been validated.</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1 </w:t>
      </w:r>
      <w:r>
        <w:rPr>
          <w:rFonts w:ascii="Times New Roman" w:cs="Times New Roman" w:eastAsia="Times New Roman" w:hAnsi="Times New Roman"/>
          <w:sz w:val="19"/>
          <w:szCs w:val="19"/>
        </w:rPr>
        <w:t xml:space="preserve">Trust-Aware Consent Creation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rPr>
        <w:t xml:space="preserve">Patient identity I</w:t>
      </w:r>
      <w:r>
        <w:rPr>
          <w:rFonts w:ascii="Times New Roman" w:cs="Times New Roman" w:eastAsia="Times New Roman" w:hAnsi="Times New Roman"/>
          <w:sz w:val="19"/>
          <w:szCs w:val="19"/>
          <w:vertAlign w:val="subscript"/>
        </w:rPr>
        <w:t xml:space="preserve">p</w:t>
      </w:r>
      <w:r>
        <w:rPr>
          <w:rFonts w:ascii="Times New Roman" w:cs="Times New Roman" w:eastAsia="Times New Roman" w:hAnsi="Times New Roman"/>
          <w:sz w:val="19"/>
          <w:szCs w:val="19"/>
        </w:rPr>
        <w:t xml:space="preserve">, authorised doctor D, guardian set G, purpose 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data scope S</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validity interval T, jurisdiction L</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rPr>
        <w:t xml:space="preserve">Consent object C or rejection</w:t>
      </w:r>
    </w:p>
    <w:p>
      <w:pPr>
        <w:keepNext/>
        <w:spacing w:after="10"/>
        <w:ind w:left="240"/>
      </w:pPr>
      <w:r>
        <w:rPr>
          <w:rFonts w:ascii="Times New Roman" w:cs="Times New Roman" w:eastAsia="Times New Roman" w:hAnsi="Times New Roman"/>
          <w:color w:val="555555"/>
          <w:sz w:val="16"/>
          <w:szCs w:val="16"/>
        </w:rPr>
        <w:t xml:space="preserve">1:  </w:t>
      </w:r>
      <w:r>
        <w:rPr>
          <w:rFonts w:ascii="Times New Roman" w:cs="Times New Roman" w:eastAsia="Times New Roman" w:hAnsi="Times New Roman"/>
          <w:sz w:val="19"/>
          <w:szCs w:val="19"/>
        </w:rPr>
        <w:t xml:space="preserve">Validate I</w:t>
      </w:r>
      <w:r>
        <w:rPr>
          <w:rFonts w:ascii="Times New Roman" w:cs="Times New Roman" w:eastAsia="Times New Roman" w:hAnsi="Times New Roman"/>
          <w:sz w:val="19"/>
          <w:szCs w:val="19"/>
          <w:vertAlign w:val="subscript"/>
        </w:rPr>
        <w:t xml:space="preserve">p</w:t>
      </w:r>
    </w:p>
    <w:p>
      <w:pPr>
        <w:keepNext/>
        <w:spacing w:after="10"/>
        <w:ind w:left="240"/>
      </w:pPr>
      <w:r>
        <w:rPr>
          <w:rFonts w:ascii="Times New Roman" w:cs="Times New Roman" w:eastAsia="Times New Roman" w:hAnsi="Times New Roman"/>
          <w:color w:val="555555"/>
          <w:sz w:val="16"/>
          <w:szCs w:val="16"/>
        </w:rPr>
        <w:t xml:space="preserve">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I</w:t>
      </w:r>
      <w:r>
        <w:rPr>
          <w:rFonts w:ascii="Times New Roman" w:cs="Times New Roman" w:eastAsia="Times New Roman" w:hAnsi="Times New Roman"/>
          <w:sz w:val="19"/>
          <w:szCs w:val="19"/>
          <w:vertAlign w:val="subscript"/>
        </w:rPr>
        <w:t xml:space="preserve">p</w:t>
      </w:r>
      <w:r>
        <w:rPr>
          <w:rFonts w:ascii="Times New Roman" w:cs="Times New Roman" w:eastAsia="Times New Roman" w:hAnsi="Times New Roman"/>
          <w:sz w:val="19"/>
          <w:szCs w:val="19"/>
        </w:rPr>
        <w:t xml:space="preserve"> is invalid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3: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REJECT</w:t>
      </w:r>
    </w:p>
    <w:p>
      <w:pPr>
        <w:keepNext/>
        <w:spacing w:after="10"/>
        <w:ind w:left="240"/>
      </w:pPr>
      <w:r>
        <w:rPr>
          <w:rFonts w:ascii="Times New Roman" w:cs="Times New Roman" w:eastAsia="Times New Roman" w:hAnsi="Times New Roman"/>
          <w:color w:val="555555"/>
          <w:sz w:val="16"/>
          <w:szCs w:val="16"/>
        </w:rPr>
        <w:t xml:space="preserve">4: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5:  </w:t>
      </w:r>
      <w:r>
        <w:rPr>
          <w:rFonts w:ascii="Times New Roman" w:cs="Times New Roman" w:eastAsia="Times New Roman" w:hAnsi="Times New Roman"/>
          <w:sz w:val="19"/>
          <w:szCs w:val="19"/>
        </w:rPr>
        <w:t xml:space="preserve">Validate authorised doctor D, guardian set G, purpose 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and data scope S</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 in the prototype, D is checked for DID format only at the access decision</w:t>
      </w:r>
    </w:p>
    <w:p>
      <w:pPr>
        <w:keepNext/>
        <w:spacing w:after="10"/>
        <w:ind w:left="240"/>
      </w:pPr>
      <w:r>
        <w:rPr>
          <w:rFonts w:ascii="Times New Roman" w:cs="Times New Roman" w:eastAsia="Times New Roman" w:hAnsi="Times New Roman"/>
          <w:color w:val="555555"/>
          <w:sz w:val="16"/>
          <w:szCs w:val="16"/>
        </w:rPr>
        <w:t xml:space="preserve">6: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G = ∅, any member of G is invalid, 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is invalid, or S</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 ∅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7: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REJECT</w:t>
      </w:r>
    </w:p>
    <w:p>
      <w:pPr>
        <w:keepNext/>
        <w:spacing w:after="10"/>
        <w:ind w:left="240"/>
      </w:pPr>
      <w:r>
        <w:rPr>
          <w:rFonts w:ascii="Times New Roman" w:cs="Times New Roman" w:eastAsia="Times New Roman" w:hAnsi="Times New Roman"/>
          <w:color w:val="555555"/>
          <w:sz w:val="16"/>
          <w:szCs w:val="16"/>
        </w:rPr>
        <w:t xml:space="preserve">8: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9:  </w:t>
      </w:r>
      <w:r>
        <w:rPr>
          <w:rFonts w:ascii="Times New Roman" w:cs="Times New Roman" w:eastAsia="Times New Roman" w:hAnsi="Times New Roman"/>
          <w:sz w:val="19"/>
          <w:szCs w:val="19"/>
        </w:rPr>
        <w:t xml:space="preserve">Validate validity interval T =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w:t>
      </w:r>
    </w:p>
    <w:p>
      <w:pPr>
        <w:keepNext/>
        <w:spacing w:after="10"/>
        <w:ind w:left="240"/>
      </w:pPr>
      <w:r>
        <w:rPr>
          <w:rFonts w:ascii="Times New Roman" w:cs="Times New Roman" w:eastAsia="Times New Roman" w:hAnsi="Times New Roman"/>
          <w:color w:val="555555"/>
          <w:sz w:val="16"/>
          <w:szCs w:val="16"/>
        </w:rPr>
        <w:t xml:space="preserve">10: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 ≤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11: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REJECT</w:t>
      </w:r>
    </w:p>
    <w:p>
      <w:pPr>
        <w:keepNext/>
        <w:spacing w:after="10"/>
        <w:ind w:left="240"/>
      </w:pPr>
      <w:r>
        <w:rPr>
          <w:rFonts w:ascii="Times New Roman" w:cs="Times New Roman" w:eastAsia="Times New Roman" w:hAnsi="Times New Roman"/>
          <w:color w:val="555555"/>
          <w:sz w:val="16"/>
          <w:szCs w:val="16"/>
        </w:rPr>
        <w:t xml:space="preserve">12: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13:  </w:t>
      </w:r>
      <w:r>
        <w:rPr>
          <w:rFonts w:ascii="Times New Roman" w:cs="Times New Roman" w:eastAsia="Times New Roman" w:hAnsi="Times New Roman"/>
          <w:sz w:val="19"/>
          <w:szCs w:val="19"/>
        </w:rPr>
        <w:t xml:space="preserve">Validate jurisdiction L and define authorisation requirement A</w:t>
      </w:r>
    </w:p>
    <w:p>
      <w:pPr>
        <w:keepNext/>
        <w:spacing w:after="10"/>
        <w:ind w:left="240"/>
      </w:pPr>
      <w:r>
        <w:rPr>
          <w:rFonts w:ascii="Times New Roman" w:cs="Times New Roman" w:eastAsia="Times New Roman" w:hAnsi="Times New Roman"/>
          <w:color w:val="555555"/>
          <w:sz w:val="16"/>
          <w:szCs w:val="16"/>
        </w:rPr>
        <w:t xml:space="preserve">14:  </w:t>
      </w:r>
      <w:r>
        <w:rPr>
          <w:rFonts w:ascii="Times New Roman" w:cs="Times New Roman" w:eastAsia="Times New Roman" w:hAnsi="Times New Roman"/>
          <w:sz w:val="19"/>
          <w:szCs w:val="19"/>
        </w:rPr>
        <w:t xml:space="preserve">Generate consent identifier id</w:t>
      </w:r>
      <w:r>
        <w:rPr>
          <w:rFonts w:ascii="Times New Roman" w:cs="Times New Roman" w:eastAsia="Times New Roman" w:hAnsi="Times New Roman"/>
          <w:sz w:val="19"/>
          <w:szCs w:val="19"/>
          <w:vertAlign w:val="subscript"/>
        </w:rPr>
        <w:t xml:space="preserve">C</w:t>
      </w:r>
    </w:p>
    <w:p>
      <w:pPr>
        <w:keepNext/>
        <w:spacing w:after="10"/>
        <w:ind w:left="240"/>
      </w:pPr>
      <w:r>
        <w:rPr>
          <w:rFonts w:ascii="Times New Roman" w:cs="Times New Roman" w:eastAsia="Times New Roman" w:hAnsi="Times New Roman"/>
          <w:color w:val="555555"/>
          <w:sz w:val="16"/>
          <w:szCs w:val="16"/>
        </w:rPr>
        <w:t xml:space="preserve">15:  </w:t>
      </w:r>
      <w:r>
        <w:rPr>
          <w:rFonts w:ascii="Times New Roman" w:cs="Times New Roman" w:eastAsia="Times New Roman" w:hAnsi="Times New Roman"/>
          <w:sz w:val="19"/>
          <w:szCs w:val="19"/>
        </w:rPr>
        <w:t xml:space="preserve">Construct C = (I, A, P, T, L, E) with identifier id</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where I holds I</w:t>
      </w:r>
      <w:r>
        <w:rPr>
          <w:rFonts w:ascii="Times New Roman" w:cs="Times New Roman" w:eastAsia="Times New Roman" w:hAnsi="Times New Roman"/>
          <w:sz w:val="19"/>
          <w:szCs w:val="19"/>
          <w:vertAlign w:val="subscript"/>
        </w:rPr>
        <w:t xml:space="preserve">p</w:t>
      </w:r>
      <w:r>
        <w:rPr>
          <w:rFonts w:ascii="Times New Roman" w:cs="Times New Roman" w:eastAsia="Times New Roman" w:hAnsi="Times New Roman"/>
          <w:sz w:val="19"/>
          <w:szCs w:val="19"/>
        </w:rPr>
        <w:t xml:space="preserve"> and D, A holds G and the threshold N = |G|, and P holds 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and S</w:t>
      </w:r>
      <w:r>
        <w:rPr>
          <w:rFonts w:ascii="Times New Roman" w:cs="Times New Roman" w:eastAsia="Times New Roman" w:hAnsi="Times New Roman"/>
          <w:sz w:val="19"/>
          <w:szCs w:val="19"/>
          <w:vertAlign w:val="subscript"/>
        </w:rPr>
        <w:t xml:space="preserve">C</w:t>
      </w:r>
    </w:p>
    <w:p>
      <w:pPr>
        <w:keepNext/>
        <w:spacing w:after="10"/>
        <w:ind w:left="240"/>
      </w:pPr>
      <w:r>
        <w:rPr>
          <w:rFonts w:ascii="Times New Roman" w:cs="Times New Roman" w:eastAsia="Times New Roman" w:hAnsi="Times New Roman"/>
          <w:color w:val="555555"/>
          <w:sz w:val="16"/>
          <w:szCs w:val="16"/>
        </w:rPr>
        <w:t xml:space="preserve">16:  </w:t>
      </w:r>
      <w:r>
        <w:rPr>
          <w:rFonts w:ascii="Times New Roman" w:cs="Times New Roman" w:eastAsia="Times New Roman" w:hAnsi="Times New Roman"/>
          <w:sz w:val="19"/>
          <w:szCs w:val="19"/>
        </w:rPr>
        <w:t xml:space="preserve">state ← PENDING_SIGNATURE   ▷ nothing is anchored on-chain until all guardians approve</w:t>
      </w:r>
    </w:p>
    <w:p>
      <w:pPr>
        <w:keepNext/>
        <w:spacing w:after="10"/>
        <w:ind w:left="240"/>
      </w:pPr>
      <w:r>
        <w:rPr>
          <w:rFonts w:ascii="Times New Roman" w:cs="Times New Roman" w:eastAsia="Times New Roman" w:hAnsi="Times New Roman"/>
          <w:color w:val="555555"/>
          <w:sz w:val="16"/>
          <w:szCs w:val="16"/>
        </w:rPr>
        <w:t xml:space="preserve">17:  </w:t>
      </w:r>
      <w:r>
        <w:rPr>
          <w:rFonts w:ascii="Times New Roman" w:cs="Times New Roman" w:eastAsia="Times New Roman" w:hAnsi="Times New Roman"/>
          <w:sz w:val="19"/>
          <w:szCs w:val="19"/>
        </w:rPr>
        <w:t xml:space="preserve">Persist C</w:t>
      </w:r>
    </w:p>
    <w:p>
      <w:pPr>
        <w:keepNext/>
        <w:spacing w:after="10"/>
        <w:ind w:left="240"/>
      </w:pPr>
      <w:r>
        <w:rPr>
          <w:rFonts w:ascii="Times New Roman" w:cs="Times New Roman" w:eastAsia="Times New Roman" w:hAnsi="Times New Roman"/>
          <w:color w:val="555555"/>
          <w:sz w:val="16"/>
          <w:szCs w:val="16"/>
        </w:rPr>
        <w:t xml:space="preserve">18:  </w:t>
      </w:r>
      <w:r>
        <w:rPr>
          <w:rFonts w:ascii="Times New Roman" w:cs="Times New Roman" w:eastAsia="Times New Roman" w:hAnsi="Times New Roman"/>
          <w:sz w:val="19"/>
          <w:szCs w:val="19"/>
        </w:rPr>
        <w:t xml:space="preserve">Record consent creation evidence</w:t>
      </w:r>
    </w:p>
    <w:p>
      <w:pPr>
        <w:keepNext w:val="false"/>
        <w:spacing w:after="10"/>
        <w:ind w:left="240"/>
      </w:pPr>
      <w:r>
        <w:rPr>
          <w:rFonts w:ascii="Times New Roman" w:cs="Times New Roman" w:eastAsia="Times New Roman" w:hAnsi="Times New Roman"/>
          <w:color w:val="555555"/>
          <w:sz w:val="16"/>
          <w:szCs w:val="16"/>
        </w:rPr>
        <w:t xml:space="preserve">19: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C</w:t>
      </w:r>
    </w:p>
    <w:p>
      <w:pPr>
        <w:pBdr>
          <w:bottom w:val="single" w:color="000000" w:sz="12"/>
        </w:pBdr>
        <w:spacing w:after="200"/>
      </w:pPr>
    </w:p>
    <w:p>
      <w:pPr>
        <w:spacing w:after="110" w:line="264"/>
        <w:jc w:val="both"/>
      </w:pPr>
      <w:r>
        <w:rPr>
          <w:rFonts w:ascii="Times New Roman" w:cs="Times New Roman" w:eastAsia="Times New Roman" w:hAnsi="Times New Roman"/>
          <w:sz w:val="22"/>
          <w:szCs w:val="22"/>
        </w:rPr>
        <w:t xml:space="preserve">Algorithm 1 formalises the creation process. The algorithm does not grant data access directly. Instead, it creates a consent object that can later be evaluated by the authorisation mechanism. This distinction is important because the research treats consent as a structured policy-bound object rather than as a simple Boolean permission. The consent is placed in the PENDING_SIGNATURE state, and nothing is anchored on-chain until all guardians approve. 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pPr>
        <w:pStyle w:val="Heading2"/>
        <w:keepNext/>
        <w:spacing w:after="120" w:before="240"/>
      </w:pPr>
      <w:r>
        <w:rPr>
          <w:rFonts w:ascii="Times New Roman" w:cs="Times New Roman" w:eastAsia="Times New Roman" w:hAnsi="Times New Roman"/>
          <w:b/>
          <w:bCs/>
          <w:sz w:val="26"/>
          <w:szCs w:val="26"/>
        </w:rPr>
        <w:t xml:space="preserve">6.5  </w:t>
      </w:r>
      <w:r>
        <w:rPr>
          <w:rFonts w:ascii="Times New Roman" w:cs="Times New Roman" w:eastAsia="Times New Roman" w:hAnsi="Times New Roman"/>
          <w:b/>
          <w:bCs/>
          <w:sz w:val="26"/>
          <w:szCs w:val="26"/>
        </w:rPr>
        <w:t xml:space="preserve">Realisation in the Prototype</w:t>
      </w:r>
    </w:p>
    <w:p>
      <w:pPr>
        <w:spacing w:after="110" w:line="264"/>
        <w:jc w:val="both"/>
      </w:pPr>
      <w:r>
        <w:rPr>
          <w:rFonts w:ascii="Times New Roman" w:cs="Times New Roman" w:eastAsia="Times New Roman" w:hAnsi="Times New Roman"/>
          <w:sz w:val="22"/>
          <w:szCs w:val="22"/>
        </w:rPr>
        <w:t xml:space="preserve">RO1 has been completed at the conceptual and prototype level, and the HALAH patient interface creates the consent object, assigns the identifier, and records the creation event in the audit layer. The main contribution of RO1 is the transformation of consent from a static permission record into a structured authorisation object. The current result demonstrates that consent can be represented as an evaluable authorisation object rather than as a binary permission. In the current prototype, the identity validation of the first three steps is structural. In particular, the patient DID is selected from the loaded record set, and each guardian DID must be a well-formed DID before the consent is stored, whereas the doctor DID is checked for DID format only when the access decision is evaluated, as qualified in Section 7. The validation evidence for consent creation, including the demonstration scenarios and the unit-level tests, is presented in Section 11.</w:t>
      </w:r>
    </w:p>
    <w:p>
      <w:pPr>
        <w:pStyle w:val="Heading1"/>
        <w:pageBreakBefore/>
        <w:spacing w:after="200" w:before="120"/>
      </w:pPr>
      <w:r>
        <w:rPr>
          <w:rFonts w:ascii="Times New Roman" w:cs="Times New Roman" w:eastAsia="Times New Roman" w:hAnsi="Times New Roman"/>
          <w:b/>
          <w:bCs/>
          <w:sz w:val="32"/>
          <w:szCs w:val="32"/>
        </w:rPr>
        <w:t xml:space="preserve">7.  The Proposed Solution for RO2</w:t>
      </w:r>
    </w:p>
    <w:p>
      <w:pPr>
        <w:spacing w:after="140" w:before="0"/>
      </w:pPr>
      <w:r>
        <w:rPr>
          <w:rFonts w:ascii="Times New Roman" w:cs="Times New Roman" w:eastAsia="Times New Roman" w:hAnsi="Times New Roman"/>
          <w:b/>
          <w:bCs/>
          <w:i/>
          <w:iCs/>
          <w:sz w:val="26"/>
          <w:szCs w:val="26"/>
        </w:rPr>
        <w:t xml:space="preserve">RO2 – Decentralised Identity and Authority Trust</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Done</w:t>
      </w:r>
    </w:p>
    <w:p>
      <w:pPr>
        <w:pStyle w:val="Heading2"/>
        <w:keepNext/>
        <w:spacing w:after="120" w:before="240"/>
      </w:pPr>
      <w:r>
        <w:rPr>
          <w:rFonts w:ascii="Times New Roman" w:cs="Times New Roman" w:eastAsia="Times New Roman" w:hAnsi="Times New Roman"/>
          <w:b/>
          <w:bCs/>
          <w:sz w:val="26"/>
          <w:szCs w:val="26"/>
        </w:rPr>
        <w:t xml:space="preserve">7.1  </w:t>
      </w:r>
      <w:r>
        <w:rPr>
          <w:rFonts w:ascii="Times New Roman" w:cs="Times New Roman" w:eastAsia="Times New Roman" w:hAnsi="Times New Roman"/>
          <w:b/>
          <w:bCs/>
          <w:sz w:val="26"/>
          <w:szCs w:val="26"/>
        </w:rPr>
        <w:t xml:space="preserve">Overview of Decentralised Identity and Authority Trust</w:t>
      </w:r>
    </w:p>
    <w:p>
      <w:pPr>
        <w:spacing w:after="110" w:line="264"/>
        <w:jc w:val="both"/>
      </w:pPr>
      <w:r>
        <w:rPr>
          <w:rFonts w:ascii="Times New Roman" w:cs="Times New Roman" w:eastAsia="Times New Roman" w:hAnsi="Times New Roman"/>
          <w:sz w:val="22"/>
          <w:szCs w:val="22"/>
        </w:rPr>
        <w:t xml:space="preserve">RO2 addresses RQ2 by developing a decentralised identity and authority verification mechanism using Decentralised Identifiers and Verifiable Credentials. The objective is to establish trustworthy participants while separating identity authentication from authorisation authority. RO2 provides the trust inputs required by the subsequent multi-party authorisation process. The objective is based on the principle that successful identity verification does not automatically imply permission to access healthcare data. The central principle of RO2 is Equation (6).</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Identity ≠ Authorisation.</w:t>
      </w:r>
      <w:r>
        <w:rPr>
          <w:rFonts w:ascii="Times New Roman" w:cs="Times New Roman" w:eastAsia="Times New Roman" w:hAnsi="Times New Roman"/>
          <w:sz w:val="22"/>
          <w:szCs w:val="22"/>
        </w:rPr>
        <w:t xml:space="preserve">	(6)</w:t>
      </w:r>
    </w:p>
    <w:p>
      <w:pPr>
        <w:spacing w:after="110" w:line="264"/>
        <w:jc w:val="both"/>
      </w:pPr>
      <w:r>
        <w:rPr>
          <w:rFonts w:ascii="Times New Roman" w:cs="Times New Roman" w:eastAsia="Times New Roman" w:hAnsi="Times New Roman"/>
          <w:sz w:val="22"/>
          <w:szCs w:val="22"/>
        </w:rPr>
        <w:t xml:space="preserve">A valid DID provides an identity reference, while a valid VC provides evidence associated with a participant's role, authority, or other relevant attribute [16]. Neither mechanism should automatically grant access to patient data. Instead, the verified identity and authority information become inputs to the subsequent authorisation process. The identity and authority verification condition can be expressed as Equation (7), where u is the requesting participant and Authority(u, C) establishes whether the verified authority matches the role required by the consent. The DID verification process establishes whether the identity reference is valid. The VC verification process establishes whether the participant possesses valid authority evidence. The final authorisation decision remains dependent on the consent requirements and access policy.</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I</w:t>
      </w:r>
      <w:r>
        <w:rPr>
          <w:rFonts w:ascii="Cambria Math" w:cs="Cambria Math" w:eastAsia="Cambria Math" w:hAnsi="Cambria Math"/>
          <w:i w:val="false"/>
          <w:iCs w:val="false"/>
          <w:sz w:val="21"/>
          <w:szCs w:val="21"/>
        </w:rPr>
        <w:t xml:space="preserve">(u) = VerifyDID(u) ∧ VerifyVC(u) ∧ Authority(u, C).</w:t>
      </w:r>
      <w:r>
        <w:rPr>
          <w:rFonts w:ascii="Times New Roman" w:cs="Times New Roman" w:eastAsia="Times New Roman" w:hAnsi="Times New Roman"/>
          <w:sz w:val="22"/>
          <w:szCs w:val="22"/>
        </w:rPr>
        <w:t xml:space="preserve">	(7)</w:t>
      </w:r>
    </w:p>
    <w:p>
      <w:pPr>
        <w:pStyle w:val="Heading2"/>
        <w:keepNext/>
        <w:spacing w:after="120" w:before="240"/>
      </w:pPr>
      <w:r>
        <w:rPr>
          <w:rFonts w:ascii="Times New Roman" w:cs="Times New Roman" w:eastAsia="Times New Roman" w:hAnsi="Times New Roman"/>
          <w:b/>
          <w:bCs/>
          <w:sz w:val="26"/>
          <w:szCs w:val="26"/>
        </w:rPr>
        <w:t xml:space="preserve">7.2  </w:t>
      </w:r>
      <w:r>
        <w:rPr>
          <w:rFonts w:ascii="Times New Roman" w:cs="Times New Roman" w:eastAsia="Times New Roman" w:hAnsi="Times New Roman"/>
          <w:b/>
          <w:bCs/>
          <w:sz w:val="26"/>
          <w:szCs w:val="26"/>
        </w:rPr>
        <w:t xml:space="preserve">Identity and Authority Verification Workflow</w:t>
      </w:r>
    </w:p>
    <w:p>
      <w:pPr>
        <w:spacing w:after="110" w:line="264"/>
        <w:jc w:val="both"/>
      </w:pPr>
      <w:r>
        <w:rPr>
          <w:rFonts w:ascii="Times New Roman" w:cs="Times New Roman" w:eastAsia="Times New Roman" w:hAnsi="Times New Roman"/>
          <w:sz w:val="22"/>
          <w:szCs w:val="22"/>
        </w:rPr>
        <w:t xml:space="preserve">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 As shown in Figure 9, the output of RO2 is not an access-grant decision. It is a verified identity and authority result that can be consumed by RO3 and RO4. This separation prevents a participant from obtaining access merely by presenting a valid identity credential.</w:t>
      </w:r>
    </w:p>
    <w:p>
      <w:pPr>
        <w:keepNext/>
        <w:spacing w:after="60" w:before="160"/>
        <w:jc w:val="center"/>
      </w:pPr>
      <w:r>
        <w:drawing>
          <wp:inline distT="0" distB="0" distL="0" distR="0">
            <wp:extent cx="2876550" cy="4286250"/>
            <wp:effectExtent t="0" r="0" b="0" l="0"/>
            <wp:docPr id="1" name="F12.png" descr="RO2 workflow for decentralised identity and authority verification (target design; the current prototype performs a DID-format check and EIP-712 signature recovery)" title="RO2 workflow for decentralised identity and authority verification (target design; the current prototype performs a DID-format check and EIP-712 signature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76550" cy="4286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9: </w:t>
      </w:r>
      <w:r>
        <w:rPr>
          <w:rFonts w:ascii="Times New Roman" w:cs="Times New Roman" w:eastAsia="Times New Roman" w:hAnsi="Times New Roman"/>
          <w:sz w:val="18"/>
          <w:szCs w:val="18"/>
        </w:rPr>
        <w:t xml:space="preserve">RO2 workflow for decentralised identity and authority verification (target design</w:t>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t xml:space="preserve"> the current prototype performs a DID-format check and EIP-712 signature recovery)</w:t>
      </w:r>
      <w:r>
        <w:rPr>
          <w:rFonts w:ascii="Times New Roman" w:cs="Times New Roman" w:eastAsia="Times New Roman" w:hAnsi="Times New Roman"/>
          <w:sz w:val="18"/>
          <w:szCs w:val="18"/>
        </w:rPr>
        <w:t xml:space="preserve">.</w:t>
      </w:r>
    </w:p>
    <w:p>
      <w:pPr>
        <w:pStyle w:val="Heading2"/>
        <w:keepNext/>
        <w:spacing w:after="120" w:before="240"/>
      </w:pPr>
      <w:r>
        <w:rPr>
          <w:rFonts w:ascii="Times New Roman" w:cs="Times New Roman" w:eastAsia="Times New Roman" w:hAnsi="Times New Roman"/>
          <w:b/>
          <w:bCs/>
          <w:sz w:val="26"/>
          <w:szCs w:val="26"/>
        </w:rPr>
        <w:t xml:space="preserve">7.3  </w:t>
      </w:r>
      <w:r>
        <w:rPr>
          <w:rFonts w:ascii="Times New Roman" w:cs="Times New Roman" w:eastAsia="Times New Roman" w:hAnsi="Times New Roman"/>
          <w:b/>
          <w:bCs/>
          <w:sz w:val="26"/>
          <w:szCs w:val="26"/>
        </w:rPr>
        <w:t xml:space="preserve">Verification Model and Algorithm</w:t>
      </w:r>
    </w:p>
    <w:p>
      <w:pPr>
        <w:spacing w:after="110" w:line="264"/>
        <w:jc w:val="both"/>
      </w:pPr>
      <w:r>
        <w:rPr>
          <w:rFonts w:ascii="Times New Roman" w:cs="Times New Roman" w:eastAsia="Times New Roman" w:hAnsi="Times New Roman"/>
          <w:sz w:val="22"/>
          <w:szCs w:val="22"/>
        </w:rPr>
        <w:t xml:space="preserve">The procedure establishes a verifiable relationship between the participant u, the identity information represented by the DID, the attributes contained in the associated VC, and the authority requirements specified by the consent object C. The system first resolves the decentralised identifier (DID) associated with participant u. The system verifies the DID document and whether the relevant cryptographic information, such as verification methods and public keys, can be trusted. The VC provides machine-verifiable claims, such as professional role, organisational affiliation, or delegated authority. In the target design, the credential can be considered valid only when VC</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 Sig</w:t>
      </w:r>
      <w:r>
        <w:rPr>
          <w:rFonts w:ascii="Times New Roman" w:cs="Times New Roman" w:eastAsia="Times New Roman" w:hAnsi="Times New Roman"/>
          <w:sz w:val="22"/>
          <w:szCs w:val="22"/>
          <w:vertAlign w:val="subscript"/>
        </w:rPr>
        <w:t xml:space="preserve">VC</w:t>
      </w:r>
      <w:r>
        <w:rPr>
          <w:rFonts w:ascii="Times New Roman" w:cs="Times New Roman" w:eastAsia="Times New Roman" w:hAnsi="Times New Roman"/>
          <w:sz w:val="22"/>
          <w:szCs w:val="22"/>
        </w:rPr>
        <w:t xml:space="preserve"> ∧ Issuer</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 Subject</w:t>
      </w:r>
      <w:r>
        <w:rPr>
          <w:rFonts w:ascii="Times New Roman" w:cs="Times New Roman" w:eastAsia="Times New Roman" w:hAnsi="Times New Roman"/>
          <w:sz w:val="22"/>
          <w:szCs w:val="22"/>
          <w:vertAlign w:val="subscript"/>
        </w:rPr>
        <w:t xml:space="preserve">match</w:t>
      </w:r>
      <w:r>
        <w:rPr>
          <w:rFonts w:ascii="Times New Roman" w:cs="Times New Roman" w:eastAsia="Times New Roman" w:hAnsi="Times New Roman"/>
          <w:sz w:val="22"/>
          <w:szCs w:val="22"/>
        </w:rPr>
        <w:t xml:space="preserve"> ∧ Time</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The system determines whether the credential was issued by an acceptable issuer, whether it refers to the current participant, whether its signature is valid, and whether the credential remains within its validity period. If any of these conditions fails, the verification process returns INVALID.</w:t>
      </w:r>
    </w:p>
    <w:p>
      <w:pPr>
        <w:spacing w:after="110" w:line="264"/>
        <w:jc w:val="both"/>
      </w:pPr>
      <w:r>
        <w:rPr>
          <w:rFonts w:ascii="Times New Roman" w:cs="Times New Roman" w:eastAsia="Times New Roman" w:hAnsi="Times New Roman"/>
          <w:sz w:val="22"/>
          <w:szCs w:val="22"/>
        </w:rPr>
        <w:t xml:space="preserve">The system extracts the relevant role and authority claims associated with participant u. These claims may identify a doctor, guardian, researcher, auditor, or another authorised participant. The extracted claims are compared against the authorisation requirements specified in the consent object C. The authority verification condition can therefore be represented as Authority(u, C) = Claims(u) ⊨ A</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where Claims(u) denotes the verified claims, and A</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denotes the authority requirements defined by consent object C. The purpose of this comparison is to ensure that possession of a valid identity or credential is not automatically interpreted as permission to access healthcare information. The system establishes the binding between the verified participant identity and the corresponding authority, thereby reducing the possibility of an unrelated credential being used to obtain access. Consequently, the procedure can be interpreted as a </w:t>
      </w:r>
      <w:r>
        <w:rPr>
          <w:rFonts w:ascii="Times New Roman" w:cs="Times New Roman" w:eastAsia="Times New Roman" w:hAnsi="Times New Roman"/>
          <w:sz w:val="22"/>
          <w:szCs w:val="22"/>
        </w:rPr>
        <w:t xml:space="preserve">two-layer verification mechanism, VerifyDID(u) ∧ VerifyVC(u) ∧ Authority(u, C) ⇒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1, where VALID corresponds to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1 and INVALID to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0.</w:t>
      </w:r>
      <w:r>
        <w:rPr>
          <w:rFonts w:ascii="Times New Roman" w:cs="Times New Roman" w:eastAsia="Times New Roman" w:hAnsi="Times New Roman"/>
          <w:sz w:val="22"/>
          <w:szCs w:val="22"/>
        </w:rPr>
        <w:t xml:space="preserve"> A participant is not considered valid merely because a DID can be resolved or because a VC has a valid cryptographic signature. The overall verification process can therefore be represented as DID</w:t>
      </w:r>
      <w:r>
        <w:rPr>
          <w:rFonts w:ascii="Times New Roman" w:cs="Times New Roman" w:eastAsia="Times New Roman" w:hAnsi="Times New Roman"/>
          <w:sz w:val="22"/>
          <w:szCs w:val="22"/>
          <w:vertAlign w:val="subscript"/>
        </w:rPr>
        <w:t xml:space="preserve">resolve</w:t>
      </w:r>
      <w:r>
        <w:rPr>
          <w:rFonts w:ascii="Times New Roman" w:cs="Times New Roman" w:eastAsia="Times New Roman" w:hAnsi="Times New Roman"/>
          <w:sz w:val="22"/>
          <w:szCs w:val="22"/>
        </w:rPr>
        <w:t xml:space="preserve"> → DID</w:t>
      </w:r>
      <w:r>
        <w:rPr>
          <w:rFonts w:ascii="Times New Roman" w:cs="Times New Roman" w:eastAsia="Times New Roman" w:hAnsi="Times New Roman"/>
          <w:sz w:val="22"/>
          <w:szCs w:val="22"/>
          <w:vertAlign w:val="subscript"/>
        </w:rPr>
        <w:t xml:space="preserve">verify</w:t>
      </w:r>
      <w:r>
        <w:rPr>
          <w:rFonts w:ascii="Times New Roman" w:cs="Times New Roman" w:eastAsia="Times New Roman" w:hAnsi="Times New Roman"/>
          <w:sz w:val="22"/>
          <w:szCs w:val="22"/>
        </w:rPr>
        <w:t xml:space="preserve"> → VC</w:t>
      </w:r>
      <w:r>
        <w:rPr>
          <w:rFonts w:ascii="Times New Roman" w:cs="Times New Roman" w:eastAsia="Times New Roman" w:hAnsi="Times New Roman"/>
          <w:sz w:val="22"/>
          <w:szCs w:val="22"/>
          <w:vertAlign w:val="subscript"/>
        </w:rPr>
        <w:t xml:space="preserve">retrieve</w:t>
      </w:r>
      <w:r>
        <w:rPr>
          <w:rFonts w:ascii="Times New Roman" w:cs="Times New Roman" w:eastAsia="Times New Roman" w:hAnsi="Times New Roman"/>
          <w:sz w:val="22"/>
          <w:szCs w:val="22"/>
        </w:rPr>
        <w:t xml:space="preserve"> → VC</w:t>
      </w:r>
      <w:r>
        <w:rPr>
          <w:rFonts w:ascii="Times New Roman" w:cs="Times New Roman" w:eastAsia="Times New Roman" w:hAnsi="Times New Roman"/>
          <w:sz w:val="22"/>
          <w:szCs w:val="22"/>
          <w:vertAlign w:val="subscript"/>
        </w:rPr>
        <w:t xml:space="preserve">verify</w:t>
      </w:r>
      <w:r>
        <w:rPr>
          <w:rFonts w:ascii="Times New Roman" w:cs="Times New Roman" w:eastAsia="Times New Roman" w:hAnsi="Times New Roman"/>
          <w:sz w:val="22"/>
          <w:szCs w:val="22"/>
        </w:rPr>
        <w:t xml:space="preserve"> → Claims</w:t>
      </w:r>
      <w:r>
        <w:rPr>
          <w:rFonts w:ascii="Times New Roman" w:cs="Times New Roman" w:eastAsia="Times New Roman" w:hAnsi="Times New Roman"/>
          <w:sz w:val="22"/>
          <w:szCs w:val="22"/>
          <w:vertAlign w:val="subscript"/>
        </w:rPr>
        <w:t xml:space="preserve">extract</w:t>
      </w:r>
      <w:r>
        <w:rPr>
          <w:rFonts w:ascii="Times New Roman" w:cs="Times New Roman" w:eastAsia="Times New Roman" w:hAnsi="Times New Roman"/>
          <w:sz w:val="22"/>
          <w:szCs w:val="22"/>
        </w:rPr>
        <w:t xml:space="preserve"> → Authority</w:t>
      </w:r>
      <w:r>
        <w:rPr>
          <w:rFonts w:ascii="Times New Roman" w:cs="Times New Roman" w:eastAsia="Times New Roman" w:hAnsi="Times New Roman"/>
          <w:sz w:val="22"/>
          <w:szCs w:val="22"/>
          <w:vertAlign w:val="subscript"/>
        </w:rPr>
        <w:t xml:space="preserve">match</w:t>
      </w:r>
      <w:r>
        <w:rPr>
          <w:rFonts w:ascii="Times New Roman" w:cs="Times New Roman" w:eastAsia="Times New Roman" w:hAnsi="Times New Roman"/>
          <w:sz w:val="22"/>
          <w:szCs w:val="22"/>
        </w:rPr>
        <w:t xml:space="preserve"> → Evidence</w:t>
      </w:r>
      <w:r>
        <w:rPr>
          <w:rFonts w:ascii="Times New Roman" w:cs="Times New Roman" w:eastAsia="Times New Roman" w:hAnsi="Times New Roman"/>
          <w:sz w:val="22"/>
          <w:szCs w:val="22"/>
          <w:vertAlign w:val="subscript"/>
        </w:rPr>
        <w:t xml:space="preserve">record</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w:t>
      </w:r>
    </w:p>
    <w:p>
      <w:pPr>
        <w:spacing w:after="110" w:line="264"/>
        <w:jc w:val="both"/>
      </w:pPr>
      <w:r>
        <w:rPr>
          <w:rFonts w:ascii="Times New Roman" w:cs="Times New Roman" w:eastAsia="Times New Roman" w:hAnsi="Times New Roman"/>
          <w:sz w:val="22"/>
          <w:szCs w:val="22"/>
        </w:rPr>
        <w:t xml:space="preserve">Algorithm 2 formalises the procedure. If DID resolution, DID verification, VC retrieval, VC verification, and authority validation are all successfully completed, the system returns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VALID. Otherwise, the procedure terminates at the first failed mandatory verification condition and returns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INVALID. The system records the evidence. The evidence may include the resolved DID, verification status, credential identifier, issuer information, relevant authority claims, and verification timestamp. This evidence provides an auditable basis for subsequent access-authorisation decisions.</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2 </w:t>
      </w:r>
      <w:r>
        <w:rPr>
          <w:rFonts w:ascii="Times New Roman" w:cs="Times New Roman" w:eastAsia="Times New Roman" w:hAnsi="Times New Roman"/>
          <w:sz w:val="19"/>
          <w:szCs w:val="19"/>
        </w:rPr>
        <w:t xml:space="preserve">DID and VC Identity and Authority Verification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rPr>
        <w:t xml:space="preserve">Participant u, consent object C</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rPr>
        <w:t xml:space="preserve">Verification result V</w:t>
      </w:r>
      <w:r>
        <w:rPr>
          <w:rFonts w:ascii="Times New Roman" w:cs="Times New Roman" w:eastAsia="Times New Roman" w:hAnsi="Times New Roman"/>
          <w:sz w:val="19"/>
          <w:szCs w:val="19"/>
          <w:vertAlign w:val="subscript"/>
        </w:rPr>
        <w:t xml:space="preserve">I</w:t>
      </w:r>
      <w:r>
        <w:rPr>
          <w:rFonts w:ascii="Times New Roman" w:cs="Times New Roman" w:eastAsia="Times New Roman" w:hAnsi="Times New Roman"/>
          <w:sz w:val="19"/>
          <w:szCs w:val="19"/>
        </w:rPr>
        <w:t xml:space="preserve">(u) ∈ {VALID, INVALID}, where VALID corresponds to V</w:t>
      </w:r>
      <w:r>
        <w:rPr>
          <w:rFonts w:ascii="Times New Roman" w:cs="Times New Roman" w:eastAsia="Times New Roman" w:hAnsi="Times New Roman"/>
          <w:sz w:val="19"/>
          <w:szCs w:val="19"/>
          <w:vertAlign w:val="subscript"/>
        </w:rPr>
        <w:t xml:space="preserve">I</w:t>
      </w:r>
      <w:r>
        <w:rPr>
          <w:rFonts w:ascii="Times New Roman" w:cs="Times New Roman" w:eastAsia="Times New Roman" w:hAnsi="Times New Roman"/>
          <w:sz w:val="19"/>
          <w:szCs w:val="19"/>
        </w:rPr>
        <w:t xml:space="preserve">(u) = 1</w:t>
      </w:r>
    </w:p>
    <w:p>
      <w:pPr>
        <w:keepNext/>
        <w:spacing w:after="10"/>
        <w:ind w:left="240"/>
      </w:pPr>
      <w:r>
        <w:rPr>
          <w:rFonts w:ascii="Times New Roman" w:cs="Times New Roman" w:eastAsia="Times New Roman" w:hAnsi="Times New Roman"/>
          <w:color w:val="555555"/>
          <w:sz w:val="16"/>
          <w:szCs w:val="16"/>
        </w:rPr>
        <w:t xml:space="preserve">1:  </w:t>
      </w:r>
      <w:r>
        <w:rPr>
          <w:rFonts w:ascii="Times New Roman" w:cs="Times New Roman" w:eastAsia="Times New Roman" w:hAnsi="Times New Roman"/>
          <w:sz w:val="19"/>
          <w:szCs w:val="19"/>
        </w:rPr>
        <w:t xml:space="preserve">Resolve DID of u</w:t>
      </w:r>
    </w:p>
    <w:p>
      <w:pPr>
        <w:keepNext/>
        <w:spacing w:after="10"/>
        <w:ind w:left="240"/>
      </w:pPr>
      <w:r>
        <w:rPr>
          <w:rFonts w:ascii="Times New Roman" w:cs="Times New Roman" w:eastAsia="Times New Roman" w:hAnsi="Times New Roman"/>
          <w:color w:val="555555"/>
          <w:sz w:val="16"/>
          <w:szCs w:val="16"/>
        </w:rPr>
        <w:t xml:space="preserve">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DID resolution fails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3: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spacing w:after="10"/>
        <w:ind w:left="240"/>
      </w:pPr>
      <w:r>
        <w:rPr>
          <w:rFonts w:ascii="Times New Roman" w:cs="Times New Roman" w:eastAsia="Times New Roman" w:hAnsi="Times New Roman"/>
          <w:color w:val="555555"/>
          <w:sz w:val="16"/>
          <w:szCs w:val="16"/>
        </w:rPr>
        <w:t xml:space="preserve">4: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5:  </w:t>
      </w:r>
      <w:r>
        <w:rPr>
          <w:rFonts w:ascii="Times New Roman" w:cs="Times New Roman" w:eastAsia="Times New Roman" w:hAnsi="Times New Roman"/>
          <w:sz w:val="19"/>
          <w:szCs w:val="19"/>
        </w:rPr>
        <w:t xml:space="preserve">Verify DID document and associated identity information</w:t>
      </w:r>
    </w:p>
    <w:p>
      <w:pPr>
        <w:keepNext/>
        <w:spacing w:after="10"/>
        <w:ind w:left="240"/>
      </w:pPr>
      <w:r>
        <w:rPr>
          <w:rFonts w:ascii="Times New Roman" w:cs="Times New Roman" w:eastAsia="Times New Roman" w:hAnsi="Times New Roman"/>
          <w:color w:val="555555"/>
          <w:sz w:val="16"/>
          <w:szCs w:val="16"/>
        </w:rPr>
        <w:t xml:space="preserve">6: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DID verification fails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7: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spacing w:after="10"/>
        <w:ind w:left="240"/>
      </w:pPr>
      <w:r>
        <w:rPr>
          <w:rFonts w:ascii="Times New Roman" w:cs="Times New Roman" w:eastAsia="Times New Roman" w:hAnsi="Times New Roman"/>
          <w:color w:val="555555"/>
          <w:sz w:val="16"/>
          <w:szCs w:val="16"/>
        </w:rPr>
        <w:t xml:space="preserve">8: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9:  </w:t>
      </w:r>
      <w:r>
        <w:rPr>
          <w:rFonts w:ascii="Times New Roman" w:cs="Times New Roman" w:eastAsia="Times New Roman" w:hAnsi="Times New Roman"/>
          <w:sz w:val="19"/>
          <w:szCs w:val="19"/>
        </w:rPr>
        <w:t xml:space="preserve">Retrieve VC associated with u</w:t>
      </w:r>
    </w:p>
    <w:p>
      <w:pPr>
        <w:keepNext/>
        <w:spacing w:after="10"/>
        <w:ind w:left="240"/>
      </w:pPr>
      <w:r>
        <w:rPr>
          <w:rFonts w:ascii="Times New Roman" w:cs="Times New Roman" w:eastAsia="Times New Roman" w:hAnsi="Times New Roman"/>
          <w:color w:val="555555"/>
          <w:sz w:val="16"/>
          <w:szCs w:val="16"/>
        </w:rPr>
        <w:t xml:space="preserve">10: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VC retrieval fails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11: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spacing w:after="10"/>
        <w:ind w:left="240"/>
      </w:pPr>
      <w:r>
        <w:rPr>
          <w:rFonts w:ascii="Times New Roman" w:cs="Times New Roman" w:eastAsia="Times New Roman" w:hAnsi="Times New Roman"/>
          <w:color w:val="555555"/>
          <w:sz w:val="16"/>
          <w:szCs w:val="16"/>
        </w:rPr>
        <w:t xml:space="preserve">12: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13:  </w:t>
      </w:r>
      <w:r>
        <w:rPr>
          <w:rFonts w:ascii="Times New Roman" w:cs="Times New Roman" w:eastAsia="Times New Roman" w:hAnsi="Times New Roman"/>
          <w:sz w:val="19"/>
          <w:szCs w:val="19"/>
        </w:rPr>
        <w:t xml:space="preserve">Verify VC signature, issuer, subject, and validity</w:t>
      </w:r>
    </w:p>
    <w:p>
      <w:pPr>
        <w:keepNext/>
        <w:spacing w:after="10"/>
        <w:ind w:left="240"/>
      </w:pPr>
      <w:r>
        <w:rPr>
          <w:rFonts w:ascii="Times New Roman" w:cs="Times New Roman" w:eastAsia="Times New Roman" w:hAnsi="Times New Roman"/>
          <w:color w:val="555555"/>
          <w:sz w:val="16"/>
          <w:szCs w:val="16"/>
        </w:rPr>
        <w:t xml:space="preserve">14: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VC verification fails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15: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spacing w:after="10"/>
        <w:ind w:left="240"/>
      </w:pPr>
      <w:r>
        <w:rPr>
          <w:rFonts w:ascii="Times New Roman" w:cs="Times New Roman" w:eastAsia="Times New Roman" w:hAnsi="Times New Roman"/>
          <w:color w:val="555555"/>
          <w:sz w:val="16"/>
          <w:szCs w:val="16"/>
        </w:rPr>
        <w:t xml:space="preserve">16: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17:  </w:t>
      </w:r>
      <w:r>
        <w:rPr>
          <w:rFonts w:ascii="Times New Roman" w:cs="Times New Roman" w:eastAsia="Times New Roman" w:hAnsi="Times New Roman"/>
          <w:sz w:val="19"/>
          <w:szCs w:val="19"/>
        </w:rPr>
        <w:t xml:space="preserve">Extract role and authority claims from VC</w:t>
      </w:r>
    </w:p>
    <w:p>
      <w:pPr>
        <w:keepNext/>
        <w:spacing w:after="10"/>
        <w:ind w:left="240"/>
      </w:pPr>
      <w:r>
        <w:rPr>
          <w:rFonts w:ascii="Times New Roman" w:cs="Times New Roman" w:eastAsia="Times New Roman" w:hAnsi="Times New Roman"/>
          <w:color w:val="555555"/>
          <w:sz w:val="16"/>
          <w:szCs w:val="16"/>
        </w:rPr>
        <w:t xml:space="preserve">18: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claims do not satisfy the authority requirements of C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spacing w:after="10"/>
        <w:ind w:left="240"/>
      </w:pPr>
      <w:r>
        <w:rPr>
          <w:rFonts w:ascii="Times New Roman" w:cs="Times New Roman" w:eastAsia="Times New Roman" w:hAnsi="Times New Roman"/>
          <w:color w:val="555555"/>
          <w:sz w:val="16"/>
          <w:szCs w:val="16"/>
        </w:rPr>
        <w:t xml:space="preserve">20: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21:  </w:t>
      </w:r>
      <w:r>
        <w:rPr>
          <w:rFonts w:ascii="Times New Roman" w:cs="Times New Roman" w:eastAsia="Times New Roman" w:hAnsi="Times New Roman"/>
          <w:sz w:val="19"/>
          <w:szCs w:val="19"/>
        </w:rPr>
        <w:t xml:space="preserve">Record identity and authority verification evidence</w:t>
      </w:r>
    </w:p>
    <w:p>
      <w:pPr>
        <w:keepNext w:val="false"/>
        <w:spacing w:after="10"/>
        <w:ind w:left="240"/>
      </w:pPr>
      <w:r>
        <w:rPr>
          <w:rFonts w:ascii="Times New Roman" w:cs="Times New Roman" w:eastAsia="Times New Roman" w:hAnsi="Times New Roman"/>
          <w:color w:val="555555"/>
          <w:sz w:val="16"/>
          <w:szCs w:val="16"/>
        </w:rPr>
        <w:t xml:space="preserve">22: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VALID</w:t>
      </w:r>
    </w:p>
    <w:p>
      <w:pPr>
        <w:pBdr>
          <w:bottom w:val="single" w:color="000000" w:sz="12"/>
        </w:pBdr>
        <w:spacing w:after="200"/>
      </w:pPr>
    </w:p>
    <w:p>
      <w:pPr>
        <w:spacing w:after="110" w:line="264"/>
        <w:jc w:val="both"/>
      </w:pPr>
      <w:r>
        <w:rPr>
          <w:rFonts w:ascii="Times New Roman" w:cs="Times New Roman" w:eastAsia="Times New Roman" w:hAnsi="Times New Roman"/>
          <w:sz w:val="22"/>
          <w:szCs w:val="22"/>
        </w:rP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 This mechanism contributes to the trust-oriented framework by converting identity and authority claims into verifiable evidence. However, it does not independently establish collective consent or policy compliance. Those conditions are evaluated by RO3 and RO4 (Sections 8 and 9).</w:t>
      </w:r>
    </w:p>
    <w:p>
      <w:pPr>
        <w:pStyle w:val="Heading2"/>
        <w:keepNext/>
        <w:spacing w:after="120" w:before="240"/>
      </w:pPr>
      <w:r>
        <w:rPr>
          <w:rFonts w:ascii="Times New Roman" w:cs="Times New Roman" w:eastAsia="Times New Roman" w:hAnsi="Times New Roman"/>
          <w:b/>
          <w:bCs/>
          <w:sz w:val="26"/>
          <w:szCs w:val="26"/>
        </w:rPr>
        <w:t xml:space="preserve">7.4  </w:t>
      </w:r>
      <w:r>
        <w:rPr>
          <w:rFonts w:ascii="Times New Roman" w:cs="Times New Roman" w:eastAsia="Times New Roman" w:hAnsi="Times New Roman"/>
          <w:b/>
          <w:bCs/>
          <w:sz w:val="26"/>
          <w:szCs w:val="26"/>
        </w:rPr>
        <w:t xml:space="preserve">Realisation in the Prototype</w:t>
      </w:r>
    </w:p>
    <w:p>
      <w:pPr>
        <w:spacing w:after="110" w:line="264"/>
        <w:jc w:val="both"/>
      </w:pPr>
      <w:r>
        <w:rPr>
          <w:rFonts w:ascii="Times New Roman" w:cs="Times New Roman" w:eastAsia="Times New Roman" w:hAnsi="Times New Roman"/>
          <w:sz w:val="22"/>
          <w:szCs w:val="22"/>
        </w:rPr>
        <w:t xml:space="preserve">RO2 has been completed at the conceptual and prototype level. The current implementation demonstrates the separation between participant identity and authorisation authority. A valid healthcare participant identity can be verified independently from the question of whether that participant is authorised to access a particular patient's data.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in the current prototype combines a structural DID and credential-format check with EIP-712 verification of the signature of each listed guardian, and its outcome is recorded in the audit ledger. The condition VC</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therefore defines the target verification model rather than the behaviour presently exercised by the demonstration. The doctor is not independently authenticated at consent creation, because the doctor DID is checked for DID format only when the access decision is evaluated. Cryptographic DID resolution against a registry, cryptographic validation of verifiable credentials, and authentication of the requester are acknowledged limitations reserved for the next stage. The validation evidence for RO2, including the scenarios and the unit-level adversarial tests, is presented in Section 11.</w:t>
      </w:r>
    </w:p>
    <w:p>
      <w:pPr>
        <w:pStyle w:val="Heading1"/>
        <w:pageBreakBefore/>
        <w:spacing w:after="200" w:before="120"/>
      </w:pPr>
      <w:r>
        <w:rPr>
          <w:rFonts w:ascii="Times New Roman" w:cs="Times New Roman" w:eastAsia="Times New Roman" w:hAnsi="Times New Roman"/>
          <w:b/>
          <w:bCs/>
          <w:sz w:val="32"/>
          <w:szCs w:val="32"/>
        </w:rPr>
        <w:t xml:space="preserve">8.  The Proposed Solution for RO3</w:t>
      </w:r>
    </w:p>
    <w:p>
      <w:pPr>
        <w:spacing w:after="140" w:before="0"/>
      </w:pPr>
      <w:r>
        <w:rPr>
          <w:rFonts w:ascii="Times New Roman" w:cs="Times New Roman" w:eastAsia="Times New Roman" w:hAnsi="Times New Roman"/>
          <w:b/>
          <w:bCs/>
          <w:i/>
          <w:iCs/>
          <w:sz w:val="26"/>
          <w:szCs w:val="26"/>
        </w:rPr>
        <w:t xml:space="preserve">RO3 – Trustworthy Multi-Party Authorisation</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Done</w:t>
      </w:r>
    </w:p>
    <w:p>
      <w:pPr>
        <w:spacing w:after="110" w:line="264"/>
        <w:jc w:val="both"/>
      </w:pPr>
      <w:r>
        <w:rPr>
          <w:rFonts w:ascii="Times New Roman" w:cs="Times New Roman" w:eastAsia="Times New Roman" w:hAnsi="Times New Roman"/>
          <w:sz w:val="22"/>
          <w:szCs w:val="22"/>
        </w:rPr>
        <w:t xml:space="preserve">RO3 directly addresses RQ3 and extends the consent model from an individual permission statement to a collective authorisation decision. RO3 introduces threshold-based multi-party authorisation for consent approval to prevent a single participant from unilaterally establishing sensitive healthcare data access when the consent requires several independently verified parties.</w:t>
      </w:r>
    </w:p>
    <w:p>
      <w:pPr>
        <w:pStyle w:val="Heading2"/>
        <w:keepNext/>
        <w:spacing w:after="120" w:before="240"/>
      </w:pPr>
      <w:r>
        <w:rPr>
          <w:rFonts w:ascii="Times New Roman" w:cs="Times New Roman" w:eastAsia="Times New Roman" w:hAnsi="Times New Roman"/>
          <w:b/>
          <w:bCs/>
          <w:sz w:val="26"/>
          <w:szCs w:val="26"/>
        </w:rPr>
        <w:t xml:space="preserve">8.1  </w:t>
      </w:r>
      <w:r>
        <w:rPr>
          <w:rFonts w:ascii="Times New Roman" w:cs="Times New Roman" w:eastAsia="Times New Roman" w:hAnsi="Times New Roman"/>
          <w:b/>
          <w:bCs/>
          <w:sz w:val="26"/>
          <w:szCs w:val="26"/>
        </w:rPr>
        <w:t xml:space="preserve">Threshold Condition</w:t>
      </w:r>
    </w:p>
    <w:p>
      <w:pPr>
        <w:spacing w:after="110" w:line="264"/>
        <w:jc w:val="both"/>
      </w:pPr>
      <w:r>
        <w:rPr>
          <w:rFonts w:ascii="Times New Roman" w:cs="Times New Roman" w:eastAsia="Times New Roman" w:hAnsi="Times New Roman"/>
          <w:sz w:val="22"/>
          <w:szCs w:val="22"/>
        </w:rPr>
        <w:t xml:space="preserve">Let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represent the set of independently verified </w:t>
      </w:r>
      <w:r>
        <w:rPr>
          <w:rFonts w:ascii="Times New Roman" w:cs="Times New Roman" w:eastAsia="Times New Roman" w:hAnsi="Times New Roman"/>
          <w:strike/>
          <w:color w:val="FF0000"/>
          <w:sz w:val="22"/>
          <w:szCs w:val="22"/>
        </w:rPr>
        <w:t xml:space="preserve">authorisation participants</w:t>
      </w:r>
      <w:r>
        <w:rPr>
          <w:rFonts w:ascii="Times New Roman" w:cs="Times New Roman" w:eastAsia="Times New Roman" w:hAnsi="Times New Roman"/>
          <w:color w:val="FF0000"/>
          <w:sz w:val="22"/>
          <w:szCs w:val="22"/>
        </w:rPr>
        <w:t xml:space="preserve">approving guardians</w:t>
      </w:r>
      <w:r>
        <w:rPr>
          <w:rFonts w:ascii="Times New Roman" w:cs="Times New Roman" w:eastAsia="Times New Roman" w:hAnsi="Times New Roman"/>
          <w:sz w:val="22"/>
          <w:szCs w:val="22"/>
        </w:rPr>
        <w:t xml:space="preserve"> and N represent the required approval threshold. The authorisation condition can then be represented as Equation (8), where Token(C) and Revoked(C) are defined as in Section 5.3.</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V</w:t>
      </w:r>
      <w:r>
        <w:rPr>
          <w:rFonts w:ascii="Cambria Math" w:cs="Cambria Math" w:eastAsia="Cambria Math" w:hAnsi="Cambria Math"/>
          <w:i w:val="false"/>
          <w:iCs w:val="false"/>
          <w:sz w:val="18"/>
          <w:szCs w:val="18"/>
          <w:vertAlign w:val="subscript"/>
        </w:rPr>
        <w:t xml:space="preserve">A</w:t>
      </w:r>
      <w:r>
        <w:rPr>
          <w:rFonts w:ascii="Cambria Math" w:cs="Cambria Math" w:eastAsia="Cambria Math" w:hAnsi="Cambria Math"/>
          <w:i w:val="false"/>
          <w:iCs w:val="false"/>
          <w:sz w:val="18"/>
          <w:szCs w:val="18"/>
        </w:rPr>
        <w:t xml:space="preserve">(C) = 1 if |A</w:t>
      </w:r>
      <w:r>
        <w:rPr>
          <w:rFonts w:ascii="Cambria Math" w:cs="Cambria Math" w:eastAsia="Cambria Math" w:hAnsi="Cambria Math"/>
          <w:i w:val="false"/>
          <w:iCs w:val="false"/>
          <w:sz w:val="18"/>
          <w:szCs w:val="18"/>
          <w:vertAlign w:val="subscript"/>
        </w:rPr>
        <w:t xml:space="preserve">v</w:t>
      </w:r>
      <w:r>
        <w:rPr>
          <w:rFonts w:ascii="Cambria Math" w:cs="Cambria Math" w:eastAsia="Cambria Math" w:hAnsi="Cambria Math"/>
          <w:i w:val="false"/>
          <w:iCs w:val="false"/>
          <w:sz w:val="18"/>
          <w:szCs w:val="18"/>
        </w:rPr>
        <w:t xml:space="preserve">| ≥ N ∧ Token(C) ≠ ∅ ∧ Revoked(C) = 0, and 0 otherwise.</w:t>
      </w:r>
      <w:r>
        <w:rPr>
          <w:rFonts w:ascii="Times New Roman" w:cs="Times New Roman" w:eastAsia="Times New Roman" w:hAnsi="Times New Roman"/>
          <w:sz w:val="22"/>
          <w:szCs w:val="22"/>
        </w:rPr>
        <w:t xml:space="preserve">	(8)</w:t>
      </w:r>
    </w:p>
    <w:p>
      <w:pPr>
        <w:spacing w:after="110" w:line="264"/>
        <w:jc w:val="both"/>
      </w:pPr>
      <w:r>
        <w:rPr>
          <w:rFonts w:ascii="Times New Roman" w:cs="Times New Roman" w:eastAsia="Times New Roman" w:hAnsi="Times New Roman"/>
          <w:sz w:val="22"/>
          <w:szCs w:val="22"/>
        </w:rPr>
        <w:t xml:space="preserve">This mechanism allows the framework to distinguish between insufficient and sufficient collective authorisation. For example, a consent may require two valid guardian approvals. In this case, one valid approval is insufficient, whereas two valid approvals satisfy the threshold. Decentralised identity systems with multi-party verification have demonstrated the potential to strengthen the process through which identity claims are established or validated [40, 41]. 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pPr>
        <w:spacing w:after="110" w:line="264"/>
        <w:jc w:val="both"/>
      </w:pPr>
      <w:r>
        <w:rPr>
          <w:rFonts w:ascii="Times New Roman" w:cs="Times New Roman" w:eastAsia="Times New Roman" w:hAnsi="Times New Roman"/>
          <w:sz w:val="22"/>
          <w:szCs w:val="22"/>
        </w:rPr>
        <w:t xml:space="preserve">The N-of-N configuration was adopted for the prototype because it is the most conservative instantiation of the threshold condition, in which no designated guardian can be bypassed, and it also avoids the quorum-selection and key-management questions that a general k-of-n threshold introduces. A configurable k-of-n threshold is a direct generalisation of the implemented mechanism and is therefore left to future work.</w:t>
      </w:r>
    </w:p>
    <w:p>
      <w:pPr>
        <w:pStyle w:val="Heading2"/>
        <w:keepNext/>
        <w:spacing w:after="120" w:before="240"/>
      </w:pPr>
      <w:r>
        <w:rPr>
          <w:rFonts w:ascii="Times New Roman" w:cs="Times New Roman" w:eastAsia="Times New Roman" w:hAnsi="Times New Roman"/>
          <w:b/>
          <w:bCs/>
          <w:sz w:val="26"/>
          <w:szCs w:val="26"/>
        </w:rPr>
        <w:t xml:space="preserve">8.2  </w:t>
      </w:r>
      <w:r>
        <w:rPr>
          <w:rFonts w:ascii="Times New Roman" w:cs="Times New Roman" w:eastAsia="Times New Roman" w:hAnsi="Times New Roman"/>
          <w:b/>
          <w:bCs/>
          <w:sz w:val="26"/>
          <w:szCs w:val="26"/>
        </w:rPr>
        <w:t xml:space="preserve">Multi-Party Authorisation Workflow</w:t>
      </w:r>
    </w:p>
    <w:p>
      <w:pPr>
        <w:spacing w:after="110" w:line="264"/>
        <w:jc w:val="both"/>
      </w:pPr>
      <w:r>
        <w:rPr>
          <w:rFonts w:ascii="Times New Roman" w:cs="Times New Roman" w:eastAsia="Times New Roman" w:hAnsi="Times New Roman"/>
          <w:sz w:val="22"/>
          <w:szCs w:val="22"/>
        </w:rPr>
        <w:t xml:space="preserve">The workflow first identifies the participants required by the consent. Each participant must submit an approval that can be independently verified. Invalid approvals are rejected and must not contribute to the threshold count. The authorisation becomes active only when the number of valid approvals reaches the required threshold. In the HALAH implementation, as shown in Figure 10, the Guardian workflow verifies the guardian VC, appends the guardian DID to the consent signatures, and displays the current approval count relative to the threshold. The code therefore demonstrates the separation between participant identity verification and the subsequent authorisation operation. When the threshold is reached, the implementation assigns an SBT identifier and records the corresponding minting event.</w:t>
      </w:r>
    </w:p>
    <w:p>
      <w:pPr>
        <w:keepNext/>
        <w:spacing w:after="60" w:before="160"/>
        <w:jc w:val="center"/>
      </w:pPr>
      <w:r>
        <w:drawing>
          <wp:inline distT="0" distB="0" distL="0" distR="0">
            <wp:extent cx="2790825" cy="4286250"/>
            <wp:effectExtent t="0" r="0" b="0" l="0"/>
            <wp:docPr id="1" name="F13.png" descr="RO3 workflow for threshold-based multi-party authorisation" title="RO3 workflow for threshold-based multi-party auth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90825" cy="4286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10: </w:t>
      </w:r>
      <w:r>
        <w:rPr>
          <w:rFonts w:ascii="Times New Roman" w:cs="Times New Roman" w:eastAsia="Times New Roman" w:hAnsi="Times New Roman"/>
          <w:sz w:val="18"/>
          <w:szCs w:val="18"/>
        </w:rPr>
        <w:t xml:space="preserve">RO3 workflow for threshold-based multi-party authorisation</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SBT should be interpreted as an activation mechanism for the consent state rather than as the fundamental source of trust. The trust decision is established by the verification of participants and the satisfaction of the authorisation threshold. The blockchain layer provides persistence, traceability, and evidence of the resulting state.</w:t>
      </w:r>
    </w:p>
    <w:p>
      <w:pPr>
        <w:spacing w:after="110" w:line="264"/>
        <w:jc w:val="both"/>
      </w:pPr>
      <w:r>
        <w:rPr>
          <w:rFonts w:ascii="Times New Roman" w:cs="Times New Roman" w:eastAsia="Times New Roman" w:hAnsi="Times New Roman"/>
          <w:sz w:val="22"/>
          <w:szCs w:val="22"/>
        </w:rPr>
        <w:t xml:space="preserve">In the HALAH implementation, guardian authority is evidenced by an EIP-712 typed-data signature bound to the consent identifier, the guardian DID, and the Sepolia chain identifier, and verified through off-chain signer recovery. The preceding VC verification is presently a DID-format check, and the signing keys are derived deterministically from the guardian DIDs rather than held in wallets, which is a limitation of the prototype. At access time, the recovery is repeated for every recorded signature within the identity predicate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then counts only the distinct approvals of the members of G against N, and it checks the token identifier and the revocation flag.</w:t>
      </w:r>
    </w:p>
    <w:p>
      <w:pPr>
        <w:pStyle w:val="Heading2"/>
        <w:keepNext/>
        <w:spacing w:after="120" w:before="240"/>
      </w:pPr>
      <w:r>
        <w:rPr>
          <w:rFonts w:ascii="Times New Roman" w:cs="Times New Roman" w:eastAsia="Times New Roman" w:hAnsi="Times New Roman"/>
          <w:b/>
          <w:bCs/>
          <w:sz w:val="26"/>
          <w:szCs w:val="26"/>
        </w:rPr>
        <w:t xml:space="preserve">8.3  </w:t>
      </w:r>
      <w:r>
        <w:rPr>
          <w:rFonts w:ascii="Times New Roman" w:cs="Times New Roman" w:eastAsia="Times New Roman" w:hAnsi="Times New Roman"/>
          <w:b/>
          <w:bCs/>
          <w:sz w:val="26"/>
          <w:szCs w:val="26"/>
        </w:rPr>
        <w:t xml:space="preserve">Procedure for Threshold-Based Multi-Party Authorisation</w:t>
      </w:r>
    </w:p>
    <w:p>
      <w:pPr>
        <w:spacing w:after="110" w:line="264"/>
        <w:jc w:val="both"/>
      </w:pPr>
      <w:r>
        <w:rPr>
          <w:rFonts w:ascii="Times New Roman" w:cs="Times New Roman" w:eastAsia="Times New Roman" w:hAnsi="Times New Roman"/>
          <w:sz w:val="22"/>
          <w:szCs w:val="22"/>
        </w:rPr>
        <w:t xml:space="preserve">The procedure determines whether a consent-defined authorisation requirement has received sufficient valid approvals from the designated participants. The system first retrieves the required participant set G associated with the consent object C. The system obtains the threshold value N, which specifies the minimum number of valid and distinct approvals required to activate the authorisation. The threshold must satisfy 1 ≤ N ≤ |G|. The threshold therefore determines how many eligible participants must independently approve the consent before the authorisation becomes active. The approval a is not considered valid until the identity and authority of the submitting participant have been verified. The verification process may invoke the DID and VC verification procedure described in Algorithm 2. If the verification fails, the approval is classified as invalid. The system records the invalid approval event and returns DENY for that approval attempt.</w:t>
      </w:r>
    </w:p>
    <w:p>
      <w:pPr>
        <w:spacing w:after="110" w:line="264"/>
        <w:jc w:val="both"/>
      </w:pPr>
      <w:r>
        <w:rPr>
          <w:rFonts w:ascii="Times New Roman" w:cs="Times New Roman" w:eastAsia="Times New Roman" w:hAnsi="Times New Roman"/>
          <w:sz w:val="22"/>
          <w:szCs w:val="22"/>
        </w:rPr>
        <w:t xml:space="preserve">The system then determines whether the participant </w:t>
      </w:r>
      <w:r>
        <w:rPr>
          <w:rFonts w:ascii="Times New Roman" w:cs="Times New Roman" w:eastAsia="Times New Roman" w:hAnsi="Times New Roman"/>
          <w:sz w:val="22"/>
          <w:szCs w:val="22"/>
        </w:rPr>
        <w:t xml:space="preserve">belongs to the required participant set G (g ∈ G).</w:t>
      </w:r>
      <w:r>
        <w:rPr>
          <w:rFonts w:ascii="Times New Roman" w:cs="Times New Roman" w:eastAsia="Times New Roman" w:hAnsi="Times New Roman"/>
          <w:sz w:val="22"/>
          <w:szCs w:val="22"/>
        </w:rPr>
        <w:t xml:space="preserve"> If the participant is not a member of G, the system records the event as an unauthorised approval attempt and returns DENY. The system checks whether the participant has already approved consent object C. This prevents a single participant from submitting multiple approvals and artificially satisfying the threshold. Only approvals that have passed identity, authority, membership, and duplicate checks are </w:t>
      </w:r>
      <w:r>
        <w:rPr>
          <w:rFonts w:ascii="Times New Roman" w:cs="Times New Roman" w:eastAsia="Times New Roman" w:hAnsi="Times New Roman"/>
          <w:strike/>
          <w:color w:val="FF0000"/>
          <w:sz w:val="22"/>
          <w:szCs w:val="22"/>
        </w:rPr>
        <w:t xml:space="preserve">included in A</w:t>
      </w:r>
      <w:r>
        <w:rPr>
          <w:rFonts w:ascii="Times New Roman" w:cs="Times New Roman" w:eastAsia="Times New Roman" w:hAnsi="Times New Roman"/>
          <w:strike/>
          <w:color w:val="FF0000"/>
          <w:sz w:val="22"/>
          <w:szCs w:val="22"/>
          <w:vertAlign w:val="subscript"/>
        </w:rPr>
        <w:t xml:space="preserve">v</w:t>
      </w:r>
      <w:r>
        <w:rPr>
          <w:rFonts w:ascii="Times New Roman" w:cs="Times New Roman" w:eastAsia="Times New Roman" w:hAnsi="Times New Roman"/>
          <w:strike/>
          <w:color w:val="FF0000"/>
          <w:sz w:val="22"/>
          <w:szCs w:val="22"/>
        </w:rPr>
        <w:t xml:space="preserve">, according to A</w:t>
      </w:r>
      <w:r>
        <w:rPr>
          <w:rFonts w:ascii="Times New Roman" w:cs="Times New Roman" w:eastAsia="Times New Roman" w:hAnsi="Times New Roman"/>
          <w:strike/>
          <w:color w:val="FF0000"/>
          <w:sz w:val="22"/>
          <w:szCs w:val="22"/>
          <w:vertAlign w:val="subscript"/>
        </w:rPr>
        <w:t xml:space="preserve">v</w:t>
      </w:r>
      <w:r>
        <w:rPr>
          <w:rFonts w:ascii="Times New Roman" w:cs="Times New Roman" w:eastAsia="Times New Roman" w:hAnsi="Times New Roman"/>
          <w:strike/>
          <w:color w:val="FF0000"/>
          <w:sz w:val="22"/>
          <w:szCs w:val="22"/>
        </w:rPr>
        <w:t xml:space="preserve"> ← A</w:t>
      </w:r>
      <w:r>
        <w:rPr>
          <w:rFonts w:ascii="Times New Roman" w:cs="Times New Roman" w:eastAsia="Times New Roman" w:hAnsi="Times New Roman"/>
          <w:strike/>
          <w:color w:val="FF0000"/>
          <w:sz w:val="22"/>
          <w:szCs w:val="22"/>
          <w:vertAlign w:val="subscript"/>
        </w:rPr>
        <w:t xml:space="preserve">v</w:t>
      </w:r>
      <w:r>
        <w:rPr>
          <w:rFonts w:ascii="Times New Roman" w:cs="Times New Roman" w:eastAsia="Times New Roman" w:hAnsi="Times New Roman"/>
          <w:strike/>
          <w:color w:val="FF0000"/>
          <w:sz w:val="22"/>
          <w:szCs w:val="22"/>
        </w:rPr>
        <w:t xml:space="preserve"> ∪ {a}.</w:t>
      </w:r>
      <w:r>
        <w:rPr>
          <w:rFonts w:ascii="Times New Roman" w:cs="Times New Roman" w:eastAsia="Times New Roman" w:hAnsi="Times New Roman"/>
          <w:color w:val="FF0000"/>
          <w:sz w:val="22"/>
          <w:szCs w:val="22"/>
        </w:rPr>
        <w:t xml:space="preserve">counted, and their guardian g is added to A</w:t>
      </w:r>
      <w:r>
        <w:rPr>
          <w:rFonts w:ascii="Times New Roman" w:cs="Times New Roman" w:eastAsia="Times New Roman" w:hAnsi="Times New Roman"/>
          <w:color w:val="FF0000"/>
          <w:sz w:val="22"/>
          <w:szCs w:val="22"/>
          <w:vertAlign w:val="subscript"/>
        </w:rPr>
        <w:t xml:space="preserve">v</w:t>
      </w:r>
      <w:r>
        <w:rPr>
          <w:rFonts w:ascii="Times New Roman" w:cs="Times New Roman" w:eastAsia="Times New Roman" w:hAnsi="Times New Roman"/>
          <w:color w:val="FF0000"/>
          <w:sz w:val="22"/>
          <w:szCs w:val="22"/>
        </w:rPr>
        <w:t xml:space="preserve">, according to A</w:t>
      </w:r>
      <w:r>
        <w:rPr>
          <w:rFonts w:ascii="Times New Roman" w:cs="Times New Roman" w:eastAsia="Times New Roman" w:hAnsi="Times New Roman"/>
          <w:color w:val="FF0000"/>
          <w:sz w:val="22"/>
          <w:szCs w:val="22"/>
          <w:vertAlign w:val="subscript"/>
        </w:rPr>
        <w:t xml:space="preserve">v</w:t>
      </w:r>
      <w:r>
        <w:rPr>
          <w:rFonts w:ascii="Times New Roman" w:cs="Times New Roman" w:eastAsia="Times New Roman" w:hAnsi="Times New Roman"/>
          <w:color w:val="FF0000"/>
          <w:sz w:val="22"/>
          <w:szCs w:val="22"/>
        </w:rPr>
        <w:t xml:space="preserve"> ← A</w:t>
      </w:r>
      <w:r>
        <w:rPr>
          <w:rFonts w:ascii="Times New Roman" w:cs="Times New Roman" w:eastAsia="Times New Roman" w:hAnsi="Times New Roman"/>
          <w:color w:val="FF0000"/>
          <w:sz w:val="22"/>
          <w:szCs w:val="22"/>
          <w:vertAlign w:val="subscript"/>
        </w:rPr>
        <w:t xml:space="preserve">v</w:t>
      </w:r>
      <w:r>
        <w:rPr>
          <w:rFonts w:ascii="Times New Roman" w:cs="Times New Roman" w:eastAsia="Times New Roman" w:hAnsi="Times New Roman"/>
          <w:color w:val="FF0000"/>
          <w:sz w:val="22"/>
          <w:szCs w:val="22"/>
        </w:rPr>
        <w:t xml:space="preserve"> ∪ {g}.</w:t>
      </w:r>
    </w:p>
    <w:p>
      <w:pPr>
        <w:spacing w:after="110" w:line="264"/>
        <w:jc w:val="both"/>
      </w:pPr>
      <w:r>
        <w:rPr>
          <w:rFonts w:ascii="Times New Roman" w:cs="Times New Roman" w:eastAsia="Times New Roman" w:hAnsi="Times New Roman"/>
          <w:sz w:val="22"/>
          <w:szCs w:val="22"/>
        </w:rPr>
        <w:t xml:space="preserve">If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 N, the required threshold has been satisfied. The system activates the authorisation associated with consent object C. Following successful threshold satisfaction, the system generates activation or token evidence associated with the authorisation decision. The evidence may include the consent identifier, threshold value N, identities of the approving participants, and approval timestamps. The system records a threshold-satisfied event. If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&lt; N, the system maintains the consent in a PENDING state and records a threshold-pending event so that the remaining approval requirement can be reconstructed during subsequent verification or audit. The overall procedure can therefore be represented as Equation (9).</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6"/>
          <w:szCs w:val="16"/>
        </w:rPr>
        <w:t xml:space="preserve">G → N → a → Identity/Authority → Eligibility → Duplicate Check → A</w:t>
      </w:r>
      <w:r>
        <w:rPr>
          <w:rFonts w:ascii="Cambria Math" w:cs="Cambria Math" w:eastAsia="Cambria Math" w:hAnsi="Cambria Math"/>
          <w:i w:val="false"/>
          <w:iCs w:val="false"/>
          <w:sz w:val="16"/>
          <w:szCs w:val="16"/>
          <w:vertAlign w:val="subscript"/>
        </w:rPr>
        <w:t xml:space="preserve">v</w:t>
      </w:r>
      <w:r>
        <w:rPr>
          <w:rFonts w:ascii="Cambria Math" w:cs="Cambria Math" w:eastAsia="Cambria Math" w:hAnsi="Cambria Math"/>
          <w:i w:val="false"/>
          <w:iCs w:val="false"/>
          <w:sz w:val="16"/>
          <w:szCs w:val="16"/>
        </w:rPr>
        <w:t xml:space="preserve"> → |A</w:t>
      </w:r>
      <w:r>
        <w:rPr>
          <w:rFonts w:ascii="Cambria Math" w:cs="Cambria Math" w:eastAsia="Cambria Math" w:hAnsi="Cambria Math"/>
          <w:i w:val="false"/>
          <w:iCs w:val="false"/>
          <w:sz w:val="16"/>
          <w:szCs w:val="16"/>
          <w:vertAlign w:val="subscript"/>
        </w:rPr>
        <w:t xml:space="preserve">v</w:t>
      </w:r>
      <w:r>
        <w:rPr>
          <w:rFonts w:ascii="Cambria Math" w:cs="Cambria Math" w:eastAsia="Cambria Math" w:hAnsi="Cambria Math"/>
          <w:i w:val="false"/>
          <w:iCs w:val="false"/>
          <w:sz w:val="16"/>
          <w:szCs w:val="16"/>
        </w:rPr>
        <w:t xml:space="preserve">| ≥ N → { ACTIVATED, PENDING }</w:t>
      </w:r>
      <w:r>
        <w:rPr>
          <w:rFonts w:ascii="Times New Roman" w:cs="Times New Roman" w:eastAsia="Times New Roman" w:hAnsi="Times New Roman"/>
          <w:sz w:val="22"/>
          <w:szCs w:val="22"/>
        </w:rPr>
        <w:t xml:space="preserve">	(9)</w:t>
      </w:r>
    </w:p>
    <w:p>
      <w:pPr>
        <w:spacing w:after="110" w:line="264"/>
        <w:jc w:val="both"/>
      </w:pPr>
      <w:r>
        <w:rPr>
          <w:rFonts w:ascii="Times New Roman" w:cs="Times New Roman" w:eastAsia="Times New Roman" w:hAnsi="Times New Roman"/>
          <w:sz w:val="22"/>
          <w:szCs w:val="22"/>
        </w:rPr>
        <w:t xml:space="preserve">The threshold is not calculated from the number of submitted approvals alone. Instead, only valid, authorised, eligible, and non-duplicate approvals contribute to the threshold. Consequently, an arbitrary number of unverified or unauthorised approvals cannot satisfy the multi-party authorisation requirement. An individual approval represents one participant’s contribution to the decision, whereas authorisation is activated only when the collective evidence satisfies the predefined threshold. From a trust perspective, the procedure can therefore be interpreted as Equation (10).</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6"/>
          <w:szCs w:val="16"/>
        </w:rPr>
        <w:t xml:space="preserve">Individual Trust Evidence → Collective Approval Evidence → Threshold Satisfaction → Authorisation Activation</w:t>
      </w:r>
      <w:r>
        <w:rPr>
          <w:rFonts w:ascii="Times New Roman" w:cs="Times New Roman" w:eastAsia="Times New Roman" w:hAnsi="Times New Roman"/>
          <w:sz w:val="22"/>
          <w:szCs w:val="22"/>
        </w:rPr>
        <w:t xml:space="preserve">	(10)</w:t>
      </w:r>
    </w:p>
    <w:p>
      <w:pPr>
        <w:spacing w:after="110" w:line="264"/>
        <w:jc w:val="both"/>
      </w:pPr>
      <w:r>
        <w:rPr>
          <w:rFonts w:ascii="Times New Roman" w:cs="Times New Roman" w:eastAsia="Times New Roman" w:hAnsi="Times New Roman"/>
          <w:sz w:val="22"/>
          <w:szCs w:val="22"/>
        </w:rPr>
        <w:t xml:space="preserve">Algorithm 3 explicitly distinguishes between invalid, duplicate, and valid approvals. This distinction is important because simply counting submitted signatures could incorrectly treat unauthorised or repeated approvals as independent evidence.</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3 </w:t>
      </w:r>
      <w:r>
        <w:rPr>
          <w:rFonts w:ascii="Times New Roman" w:cs="Times New Roman" w:eastAsia="Times New Roman" w:hAnsi="Times New Roman"/>
          <w:sz w:val="19"/>
          <w:szCs w:val="19"/>
        </w:rPr>
        <w:t xml:space="preserve">Threshold-Based Multi-Party Authorisation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rPr>
        <w:t xml:space="preserve">Consent object C with identifier id</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purpose 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interval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 and jurisdiction L, patient and requester addresses addr</w:t>
      </w:r>
      <w:r>
        <w:rPr>
          <w:rFonts w:ascii="Times New Roman" w:cs="Times New Roman" w:eastAsia="Times New Roman" w:hAnsi="Times New Roman"/>
          <w:sz w:val="19"/>
          <w:szCs w:val="19"/>
          <w:vertAlign w:val="subscript"/>
        </w:rPr>
        <w:t xml:space="preserve">p</w:t>
      </w:r>
      <w:r>
        <w:rPr>
          <w:rFonts w:ascii="Times New Roman" w:cs="Times New Roman" w:eastAsia="Times New Roman" w:hAnsi="Times New Roman"/>
          <w:sz w:val="19"/>
          <w:szCs w:val="19"/>
        </w:rPr>
        <w:t xml:space="preserve">, addr</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EIP-712 domain</w:t>
      </w:r>
      <w:r>
        <w:rPr>
          <w:rFonts w:ascii="Times New Roman" w:cs="Times New Roman" w:eastAsia="Times New Roman" w:hAnsi="Times New Roman"/>
          <w:sz w:val="19"/>
          <w:szCs w:val="19"/>
        </w:rPr>
        <w:t xml:space="preserve">, signing address Addr(g) of each guardian, burn authorisation burnAuth = 2 (the issuer and the owner may both burn the token)</w:t>
      </w:r>
      <w:r>
        <w:rPr>
          <w:rFonts w:ascii="Times New Roman" w:cs="Times New Roman" w:eastAsia="Times New Roman" w:hAnsi="Times New Roman"/>
          <w:sz w:val="19"/>
          <w:szCs w:val="19"/>
        </w:rPr>
        <w:t xml:space="preserve">, approval a = (g, sig</w:t>
      </w:r>
      <w:r>
        <w:rPr>
          <w:rFonts w:ascii="Times New Roman" w:cs="Times New Roman" w:eastAsia="Times New Roman" w:hAnsi="Times New Roman"/>
          <w:sz w:val="19"/>
          <w:szCs w:val="19"/>
          <w:vertAlign w:val="subscript"/>
        </w:rPr>
        <w:t xml:space="preserve">a</w:t>
      </w:r>
      <w:r>
        <w:rPr>
          <w:rFonts w:ascii="Times New Roman" w:cs="Times New Roman" w:eastAsia="Times New Roman" w:hAnsi="Times New Roman"/>
          <w:sz w:val="19"/>
          <w:szCs w:val="19"/>
        </w:rPr>
        <w:t xml:space="preserve">) submitted by guardian g</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rPr>
        <w:t xml:space="preserve">Authorisation result</w:t>
      </w:r>
    </w:p>
    <w:p>
      <w:pPr>
        <w:keepNext/>
        <w:spacing w:after="10"/>
        <w:ind w:left="240"/>
      </w:pPr>
      <w:r>
        <w:rPr>
          <w:rFonts w:ascii="Times New Roman" w:cs="Times New Roman" w:eastAsia="Times New Roman" w:hAnsi="Times New Roman"/>
          <w:color w:val="555555"/>
          <w:sz w:val="16"/>
          <w:szCs w:val="16"/>
        </w:rPr>
        <w:t xml:space="preserve">1:  </w:t>
      </w:r>
      <w:r>
        <w:rPr>
          <w:rFonts w:ascii="Times New Roman" w:cs="Times New Roman" w:eastAsia="Times New Roman" w:hAnsi="Times New Roman"/>
          <w:sz w:val="19"/>
          <w:szCs w:val="19"/>
        </w:rPr>
        <w:t xml:space="preserve">Retrieve required participant set G</w:t>
      </w:r>
    </w:p>
    <w:p>
      <w:pPr>
        <w:keepNext/>
        <w:spacing w:after="10"/>
        <w:ind w:left="240"/>
      </w:pPr>
      <w:r>
        <w:rPr>
          <w:rFonts w:ascii="Times New Roman" w:cs="Times New Roman" w:eastAsia="Times New Roman" w:hAnsi="Times New Roman"/>
          <w:color w:val="555555"/>
          <w:sz w:val="16"/>
          <w:szCs w:val="16"/>
        </w:rPr>
        <w:t xml:space="preserve">2:  </w:t>
      </w:r>
      <w:r>
        <w:rPr>
          <w:rFonts w:ascii="Times New Roman" w:cs="Times New Roman" w:eastAsia="Times New Roman" w:hAnsi="Times New Roman"/>
          <w:sz w:val="19"/>
          <w:szCs w:val="19"/>
        </w:rPr>
        <w:t xml:space="preserve">N ← |G|</w:t>
      </w:r>
    </w:p>
    <w:p>
      <w:pPr>
        <w:keepNext/>
        <w:spacing w:after="10"/>
        <w:ind w:left="240"/>
      </w:pPr>
      <w:r>
        <w:rPr>
          <w:rFonts w:ascii="Times New Roman" w:cs="Times New Roman" w:eastAsia="Times New Roman" w:hAnsi="Times New Roman"/>
          <w:color w:val="555555"/>
          <w:sz w:val="16"/>
          <w:szCs w:val="16"/>
        </w:rPr>
        <w:t xml:space="preserve">3:  </w:t>
      </w:r>
      <w:r>
        <w:rPr>
          <w:rFonts w:ascii="Times New Roman" w:cs="Times New Roman" w:eastAsia="Times New Roman" w:hAnsi="Times New Roman"/>
          <w:sz w:val="19"/>
          <w:szCs w:val="19"/>
        </w:rPr>
        <w:t xml:space="preserve">Verify identity and authority of g (Algorithm 2, a structural DID check in the prototype), and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the verification fails </w:t>
      </w:r>
      <w:r>
        <w:rPr>
          <w:rFonts w:ascii="Times New Roman" w:cs="Times New Roman" w:eastAsia="Times New Roman" w:hAnsi="Times New Roman"/>
          <w:b/>
          <w:bCs/>
          <w:sz w:val="19"/>
          <w:szCs w:val="19"/>
        </w:rPr>
        <w:t xml:space="preserve">then</w:t>
      </w:r>
      <w:r>
        <w:rPr>
          <w:rFonts w:ascii="Times New Roman" w:cs="Times New Roman" w:eastAsia="Times New Roman" w:hAnsi="Times New Roman"/>
          <w:sz w:val="19"/>
          <w:szCs w:val="19"/>
        </w:rPr>
        <w:t xml:space="preserve"> report the invalid approval and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4:  </w:t>
      </w:r>
      <w:r>
        <w:rPr>
          <w:rFonts w:ascii="Times New Roman" w:cs="Times New Roman" w:eastAsia="Times New Roman" w:hAnsi="Times New Roman"/>
          <w:sz w:val="19"/>
          <w:szCs w:val="19"/>
        </w:rPr>
        <w:t xml:space="preserve">signer ← RecoverEIP712(domain, {id</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g, APPROVE}, sig</w:t>
      </w:r>
      <w:r>
        <w:rPr>
          <w:rFonts w:ascii="Times New Roman" w:cs="Times New Roman" w:eastAsia="Times New Roman" w:hAnsi="Times New Roman"/>
          <w:sz w:val="19"/>
          <w:szCs w:val="19"/>
          <w:vertAlign w:val="subscript"/>
        </w:rPr>
        <w:t xml:space="preserve">a</w:t>
      </w:r>
      <w:r>
        <w:rPr>
          <w:rFonts w:ascii="Times New Roman" w:cs="Times New Roman" w:eastAsia="Times New Roman" w:hAnsi="Times New Roman"/>
          <w:sz w:val="19"/>
          <w:szCs w:val="19"/>
        </w:rPr>
        <w:t xml:space="preserve">)   ▷ off-chain recovery</w:t>
      </w:r>
    </w:p>
    <w:p>
      <w:pPr>
        <w:keepNext/>
        <w:spacing w:after="10"/>
        <w:ind w:left="240"/>
      </w:pPr>
      <w:r>
        <w:rPr>
          <w:rFonts w:ascii="Times New Roman" w:cs="Times New Roman" w:eastAsia="Times New Roman" w:hAnsi="Times New Roman"/>
          <w:color w:val="555555"/>
          <w:sz w:val="16"/>
          <w:szCs w:val="16"/>
        </w:rPr>
        <w:t xml:space="preserve">5: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signer ≠ Addr(g), or the signature binds a different consent, guardian, or chain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6:  </w:t>
      </w:r>
      <w:r>
        <w:rPr>
          <w:rFonts w:ascii="Times New Roman" w:cs="Times New Roman" w:eastAsia="Times New Roman" w:hAnsi="Times New Roman"/>
          <w:sz w:val="19"/>
          <w:szCs w:val="19"/>
        </w:rPr>
        <w:t xml:space="preserve">Record invalid approval   ▷ shown in the interface in the prototype</w:t>
      </w:r>
    </w:p>
    <w:p>
      <w:pPr>
        <w:keepNext/>
        <w:spacing w:after="10"/>
        <w:ind w:left="600"/>
      </w:pPr>
      <w:r>
        <w:rPr>
          <w:rFonts w:ascii="Times New Roman" w:cs="Times New Roman" w:eastAsia="Times New Roman" w:hAnsi="Times New Roman"/>
          <w:color w:val="555555"/>
          <w:sz w:val="16"/>
          <w:szCs w:val="16"/>
        </w:rPr>
        <w:t xml:space="preserve">7: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8: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9: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g ∉ G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10:  </w:t>
      </w:r>
      <w:r>
        <w:rPr>
          <w:rFonts w:ascii="Times New Roman" w:cs="Times New Roman" w:eastAsia="Times New Roman" w:hAnsi="Times New Roman"/>
          <w:sz w:val="19"/>
          <w:szCs w:val="19"/>
        </w:rPr>
        <w:t xml:space="preserve">Record unauthorised approval attempt   </w:t>
      </w:r>
      <w:r>
        <w:rPr>
          <w:rFonts w:ascii="Times New Roman" w:cs="Times New Roman" w:eastAsia="Times New Roman" w:hAnsi="Times New Roman"/>
          <w:sz w:val="19"/>
          <w:szCs w:val="19"/>
        </w:rPr>
        <w:t xml:space="preserve">▷ in the prototype, only members of G can be selected in the guardian view, and a signature from any other signer is not counted towards N</w:t>
      </w:r>
    </w:p>
    <w:p>
      <w:pPr>
        <w:keepNext/>
        <w:spacing w:after="10"/>
        <w:ind w:left="600"/>
      </w:pPr>
      <w:r>
        <w:rPr>
          <w:rFonts w:ascii="Times New Roman" w:cs="Times New Roman" w:eastAsia="Times New Roman" w:hAnsi="Times New Roman"/>
          <w:color w:val="555555"/>
          <w:sz w:val="16"/>
          <w:szCs w:val="16"/>
        </w:rPr>
        <w:t xml:space="preserve">11: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12: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13: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g has already approved C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14:  </w:t>
      </w:r>
      <w:r>
        <w:rPr>
          <w:rFonts w:ascii="Times New Roman" w:cs="Times New Roman" w:eastAsia="Times New Roman" w:hAnsi="Times New Roman"/>
          <w:sz w:val="19"/>
          <w:szCs w:val="19"/>
        </w:rPr>
        <w:t xml:space="preserve">Record duplicate approval   ▷ shown in the interface in the prototype</w:t>
      </w:r>
    </w:p>
    <w:p>
      <w:pPr>
        <w:keepNext/>
        <w:spacing w:after="10"/>
        <w:ind w:left="600"/>
      </w:pPr>
      <w:r>
        <w:rPr>
          <w:rFonts w:ascii="Times New Roman" w:cs="Times New Roman" w:eastAsia="Times New Roman" w:hAnsi="Times New Roman"/>
          <w:color w:val="555555"/>
          <w:sz w:val="16"/>
          <w:szCs w:val="16"/>
        </w:rPr>
        <w:t xml:space="preserve">15: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16: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17:  </w:t>
      </w:r>
      <w:r>
        <w:rPr>
          <w:rFonts w:ascii="Times New Roman" w:cs="Times New Roman" w:eastAsia="Times New Roman" w:hAnsi="Times New Roman"/>
          <w:sz w:val="19"/>
          <w:szCs w:val="19"/>
        </w:rPr>
        <w:t xml:space="preserve">Record signature_data[g] ← (signer, sig</w:t>
      </w:r>
      <w:r>
        <w:rPr>
          <w:rFonts w:ascii="Times New Roman" w:cs="Times New Roman" w:eastAsia="Times New Roman" w:hAnsi="Times New Roman"/>
          <w:sz w:val="19"/>
          <w:szCs w:val="19"/>
          <w:vertAlign w:val="subscript"/>
        </w:rPr>
        <w:t xml:space="preserve">a</w:t>
      </w:r>
      <w:r>
        <w:rPr>
          <w:rFonts w:ascii="Times New Roman" w:cs="Times New Roman" w:eastAsia="Times New Roman" w:hAnsi="Times New Roman"/>
          <w:sz w:val="19"/>
          <w:szCs w:val="19"/>
        </w:rPr>
        <w:t xml:space="preserve">)</w:t>
      </w:r>
    </w:p>
    <w:p>
      <w:pPr>
        <w:keepNext/>
        <w:spacing w:after="10"/>
        <w:ind w:left="240"/>
      </w:pPr>
      <w:r>
        <w:rPr>
          <w:rFonts w:ascii="Times New Roman" w:cs="Times New Roman" w:eastAsia="Times New Roman" w:hAnsi="Times New Roman"/>
          <w:color w:val="555555"/>
          <w:sz w:val="16"/>
          <w:szCs w:val="16"/>
        </w:rPr>
        <w:t xml:space="preserve">18:  </w:t>
      </w:r>
      <w:r>
        <w:rPr>
          <w:rFonts w:ascii="Times New Roman" w:cs="Times New Roman" w:eastAsia="Times New Roman" w:hAnsi="Times New Roman"/>
          <w:sz w:val="19"/>
          <w:szCs w:val="19"/>
        </w:rPr>
        <w:t xml:space="preserve">Update valid </w:t>
      </w:r>
      <w:r>
        <w:rPr>
          <w:rFonts w:ascii="Times New Roman" w:cs="Times New Roman" w:eastAsia="Times New Roman" w:hAnsi="Times New Roman"/>
          <w:strike/>
          <w:color w:val="FF0000"/>
          <w:sz w:val="19"/>
          <w:szCs w:val="19"/>
        </w:rPr>
        <w:t xml:space="preserve">approval</w:t>
      </w:r>
      <w:r>
        <w:rPr>
          <w:rFonts w:ascii="Times New Roman" w:cs="Times New Roman" w:eastAsia="Times New Roman" w:hAnsi="Times New Roman"/>
          <w:color w:val="FF0000"/>
          <w:sz w:val="19"/>
          <w:szCs w:val="19"/>
        </w:rPr>
        <w:t xml:space="preserve">approver</w:t>
      </w:r>
      <w:r>
        <w:rPr>
          <w:rFonts w:ascii="Times New Roman" w:cs="Times New Roman" w:eastAsia="Times New Roman" w:hAnsi="Times New Roman"/>
          <w:sz w:val="19"/>
          <w:szCs w:val="19"/>
        </w:rPr>
        <w:t xml:space="preserve"> set A</w:t>
      </w:r>
      <w:r>
        <w:rPr>
          <w:rFonts w:ascii="Times New Roman" w:cs="Times New Roman" w:eastAsia="Times New Roman" w:hAnsi="Times New Roman"/>
          <w:sz w:val="19"/>
          <w:szCs w:val="19"/>
          <w:vertAlign w:val="subscript"/>
        </w:rPr>
        <w:t xml:space="preserve">v</w:t>
      </w:r>
    </w:p>
    <w:p>
      <w:pPr>
        <w:keepNext/>
        <w:spacing w:after="10"/>
        <w:ind w:left="240"/>
      </w:pPr>
      <w:r>
        <w:rPr>
          <w:rFonts w:ascii="Times New Roman" w:cs="Times New Roman" w:eastAsia="Times New Roman" w:hAnsi="Times New Roman"/>
          <w:color w:val="555555"/>
          <w:sz w:val="16"/>
          <w:szCs w:val="16"/>
        </w:rPr>
        <w:t xml:space="preserve">19: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|A</w:t>
      </w:r>
      <w:r>
        <w:rPr>
          <w:rFonts w:ascii="Times New Roman" w:cs="Times New Roman" w:eastAsia="Times New Roman" w:hAnsi="Times New Roman"/>
          <w:sz w:val="19"/>
          <w:szCs w:val="19"/>
          <w:vertAlign w:val="subscript"/>
        </w:rPr>
        <w:t xml:space="preserve">v</w:t>
      </w:r>
      <w:r>
        <w:rPr>
          <w:rFonts w:ascii="Times New Roman" w:cs="Times New Roman" w:eastAsia="Times New Roman" w:hAnsi="Times New Roman"/>
          <w:sz w:val="19"/>
          <w:szCs w:val="19"/>
        </w:rPr>
        <w:t xml:space="preserve">| ≥ N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20:  </w:t>
      </w:r>
      <w:r>
        <w:rPr>
          <w:rFonts w:ascii="Times New Roman" w:cs="Times New Roman" w:eastAsia="Times New Roman" w:hAnsi="Times New Roman"/>
          <w:sz w:val="19"/>
          <w:szCs w:val="19"/>
        </w:rPr>
        <w:t xml:space="preserve">Activate authorisation</w:t>
      </w:r>
    </w:p>
    <w:p>
      <w:pPr>
        <w:keepNext/>
        <w:spacing w:after="10"/>
        <w:ind w:left="600"/>
      </w:pPr>
      <w:r>
        <w:rPr>
          <w:rFonts w:ascii="Times New Roman" w:cs="Times New Roman" w:eastAsia="Times New Roman" w:hAnsi="Times New Roman"/>
          <w:color w:val="555555"/>
          <w:sz w:val="16"/>
          <w:szCs w:val="16"/>
        </w:rPr>
        <w:t xml:space="preserve">21:  </w:t>
      </w:r>
      <w:r>
        <w:rPr>
          <w:rFonts w:ascii="Times New Roman" w:cs="Times New Roman" w:eastAsia="Times New Roman" w:hAnsi="Times New Roman"/>
          <w:sz w:val="19"/>
          <w:szCs w:val="19"/>
        </w:rPr>
        <w:t xml:space="preserve">R</w:t>
      </w:r>
      <w:r>
        <w:rPr>
          <w:rFonts w:ascii="Times New Roman" w:cs="Times New Roman" w:eastAsia="Times New Roman" w:hAnsi="Times New Roman"/>
          <w:sz w:val="19"/>
          <w:szCs w:val="19"/>
        </w:rPr>
        <w:t xml:space="preserve">ecord a local token identifier and set state ← ACTIVE once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has been reached</w:t>
      </w:r>
    </w:p>
    <w:p>
      <w:pPr>
        <w:keepNext/>
        <w:spacing w:after="10"/>
        <w:ind w:left="600"/>
      </w:pPr>
      <w:r>
        <w:rPr>
          <w:rFonts w:ascii="Times New Roman" w:cs="Times New Roman" w:eastAsia="Times New Roman" w:hAnsi="Times New Roman"/>
          <w:color w:val="555555"/>
          <w:sz w:val="16"/>
          <w:szCs w:val="16"/>
        </w:rPr>
        <w:t xml:space="preserve">22:  </w:t>
      </w:r>
      <w:r>
        <w:rPr>
          <w:rFonts w:ascii="Times New Roman" w:cs="Times New Roman" w:eastAsia="Times New Roman" w:hAnsi="Times New Roman"/>
          <w:sz w:val="19"/>
          <w:szCs w:val="19"/>
        </w:rPr>
        <w:t xml:space="preserve">submit mintConsentV3(addr</w:t>
      </w:r>
      <w:r>
        <w:rPr>
          <w:rFonts w:ascii="Times New Roman" w:cs="Times New Roman" w:eastAsia="Times New Roman" w:hAnsi="Times New Roman"/>
          <w:sz w:val="19"/>
          <w:szCs w:val="19"/>
          <w:vertAlign w:val="subscript"/>
        </w:rPr>
        <w:t xml:space="preserve">p</w:t>
      </w:r>
      <w:r>
        <w:rPr>
          <w:rFonts w:ascii="Times New Roman" w:cs="Times New Roman" w:eastAsia="Times New Roman" w:hAnsi="Times New Roman"/>
          <w:sz w:val="19"/>
          <w:szCs w:val="19"/>
        </w:rPr>
        <w:t xml:space="preserve">, addr</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 L, burnAuth) via the owner account   ▷ the contract stores keccak256(P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runs as a background job and is reconciled on request from the guardian view</w:t>
      </w:r>
    </w:p>
    <w:p>
      <w:pPr>
        <w:keepNext/>
        <w:spacing w:after="10"/>
        <w:ind w:left="600"/>
      </w:pPr>
      <w:r>
        <w:rPr>
          <w:rFonts w:ascii="Times New Roman" w:cs="Times New Roman" w:eastAsia="Times New Roman" w:hAnsi="Times New Roman"/>
          <w:color w:val="555555"/>
          <w:sz w:val="16"/>
          <w:szCs w:val="16"/>
        </w:rPr>
        <w:t xml:space="preserve">23:  </w:t>
      </w:r>
      <w:r>
        <w:rPr>
          <w:rFonts w:ascii="Times New Roman" w:cs="Times New Roman" w:eastAsia="Times New Roman" w:hAnsi="Times New Roman"/>
          <w:sz w:val="19"/>
          <w:szCs w:val="19"/>
        </w:rPr>
        <w:t xml:space="preserve">On confirmation,</w:t>
      </w:r>
      <w:r>
        <w:rPr>
          <w:rFonts w:ascii="Times New Roman" w:cs="Times New Roman" w:eastAsia="Times New Roman" w:hAnsi="Times New Roman"/>
          <w:sz w:val="19"/>
          <w:szCs w:val="19"/>
        </w:rPr>
        <w:t xml:space="preserve"> replace the local token identifier with the on-chain token identifier</w:t>
      </w:r>
    </w:p>
    <w:p>
      <w:pPr>
        <w:keepNext/>
        <w:spacing w:after="10"/>
        <w:ind w:left="600"/>
      </w:pPr>
      <w:r>
        <w:rPr>
          <w:rFonts w:ascii="Times New Roman" w:cs="Times New Roman" w:eastAsia="Times New Roman" w:hAnsi="Times New Roman"/>
          <w:color w:val="555555"/>
          <w:sz w:val="16"/>
          <w:szCs w:val="16"/>
        </w:rPr>
        <w:t xml:space="preserve">24:  </w:t>
      </w:r>
      <w:r>
        <w:rPr>
          <w:rFonts w:ascii="Times New Roman" w:cs="Times New Roman" w:eastAsia="Times New Roman" w:hAnsi="Times New Roman"/>
          <w:sz w:val="19"/>
          <w:szCs w:val="19"/>
        </w:rPr>
        <w:t xml:space="preserve">Record threshold-satisfied event</w:t>
      </w:r>
    </w:p>
    <w:p>
      <w:pPr>
        <w:keepNext/>
        <w:spacing w:after="10"/>
        <w:ind w:left="600"/>
      </w:pPr>
      <w:r>
        <w:rPr>
          <w:rFonts w:ascii="Times New Roman" w:cs="Times New Roman" w:eastAsia="Times New Roman" w:hAnsi="Times New Roman"/>
          <w:color w:val="555555"/>
          <w:sz w:val="16"/>
          <w:szCs w:val="16"/>
        </w:rPr>
        <w:t xml:space="preserve">25: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ACTIVATED   ▷ activation is distinct from the access decision</w:t>
      </w:r>
    </w:p>
    <w:p>
      <w:pPr>
        <w:keepNext/>
        <w:spacing w:after="10"/>
        <w:ind w:left="240"/>
      </w:pPr>
      <w:r>
        <w:rPr>
          <w:rFonts w:ascii="Times New Roman" w:cs="Times New Roman" w:eastAsia="Times New Roman" w:hAnsi="Times New Roman"/>
          <w:color w:val="555555"/>
          <w:sz w:val="16"/>
          <w:szCs w:val="16"/>
        </w:rPr>
        <w:t xml:space="preserve">26:  </w:t>
      </w:r>
      <w:r>
        <w:rPr>
          <w:rFonts w:ascii="Times New Roman" w:cs="Times New Roman" w:eastAsia="Times New Roman" w:hAnsi="Times New Roman"/>
          <w:b/>
          <w:bCs/>
          <w:sz w:val="19"/>
          <w:szCs w:val="19"/>
        </w:rPr>
        <w:t xml:space="preserve">else</w:t>
      </w:r>
    </w:p>
    <w:p>
      <w:pPr>
        <w:keepNext/>
        <w:spacing w:after="10"/>
        <w:ind w:left="600"/>
      </w:pPr>
      <w:r>
        <w:rPr>
          <w:rFonts w:ascii="Times New Roman" w:cs="Times New Roman" w:eastAsia="Times New Roman" w:hAnsi="Times New Roman"/>
          <w:color w:val="555555"/>
          <w:sz w:val="16"/>
          <w:szCs w:val="16"/>
        </w:rPr>
        <w:t xml:space="preserve">27:  </w:t>
      </w:r>
      <w:r>
        <w:rPr>
          <w:rFonts w:ascii="Times New Roman" w:cs="Times New Roman" w:eastAsia="Times New Roman" w:hAnsi="Times New Roman"/>
          <w:sz w:val="19"/>
          <w:szCs w:val="19"/>
        </w:rPr>
        <w:t xml:space="preserve">Keep consent in pending state</w:t>
      </w:r>
    </w:p>
    <w:p>
      <w:pPr>
        <w:keepNext/>
        <w:spacing w:after="10"/>
        <w:ind w:left="600"/>
      </w:pPr>
      <w:r>
        <w:rPr>
          <w:rFonts w:ascii="Times New Roman" w:cs="Times New Roman" w:eastAsia="Times New Roman" w:hAnsi="Times New Roman"/>
          <w:color w:val="555555"/>
          <w:sz w:val="16"/>
          <w:szCs w:val="16"/>
        </w:rPr>
        <w:t xml:space="preserve">28:  </w:t>
      </w:r>
      <w:r>
        <w:rPr>
          <w:rFonts w:ascii="Times New Roman" w:cs="Times New Roman" w:eastAsia="Times New Roman" w:hAnsi="Times New Roman"/>
          <w:sz w:val="19"/>
          <w:szCs w:val="19"/>
        </w:rPr>
        <w:t xml:space="preserve">Record threshold-pending event   ▷ shown in the interface in the prototype</w:t>
      </w:r>
    </w:p>
    <w:p>
      <w:pPr>
        <w:keepNext/>
        <w:spacing w:after="10"/>
        <w:ind w:left="600"/>
      </w:pPr>
      <w:r>
        <w:rPr>
          <w:rFonts w:ascii="Times New Roman" w:cs="Times New Roman" w:eastAsia="Times New Roman" w:hAnsi="Times New Roman"/>
          <w:color w:val="555555"/>
          <w:sz w:val="16"/>
          <w:szCs w:val="16"/>
        </w:rPr>
        <w:t xml:space="preserve">29: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PENDING</w:t>
      </w:r>
    </w:p>
    <w:p>
      <w:pPr>
        <w:keepNext w:val="false"/>
        <w:spacing w:after="10"/>
        <w:ind w:left="240"/>
      </w:pPr>
      <w:r>
        <w:rPr>
          <w:rFonts w:ascii="Times New Roman" w:cs="Times New Roman" w:eastAsia="Times New Roman" w:hAnsi="Times New Roman"/>
          <w:color w:val="555555"/>
          <w:sz w:val="16"/>
          <w:szCs w:val="16"/>
        </w:rPr>
        <w:t xml:space="preserve">30:  </w:t>
      </w:r>
      <w:r>
        <w:rPr>
          <w:rFonts w:ascii="Times New Roman" w:cs="Times New Roman" w:eastAsia="Times New Roman" w:hAnsi="Times New Roman"/>
          <w:b/>
          <w:bCs/>
          <w:sz w:val="19"/>
          <w:szCs w:val="19"/>
        </w:rPr>
        <w:t xml:space="preserve">end if</w:t>
      </w:r>
    </w:p>
    <w:p>
      <w:pPr>
        <w:pBdr>
          <w:bottom w:val="single" w:color="000000" w:sz="12"/>
        </w:pBdr>
        <w:spacing w:after="200"/>
      </w:pPr>
    </w:p>
    <w:p>
      <w:pPr>
        <w:spacing w:after="110" w:line="264"/>
        <w:jc w:val="both"/>
      </w:pPr>
      <w:r>
        <w:rPr>
          <w:rFonts w:ascii="Times New Roman" w:cs="Times New Roman" w:eastAsia="Times New Roman" w:hAnsi="Times New Roman"/>
          <w:sz w:val="22"/>
          <w:szCs w:val="22"/>
        </w:rPr>
        <w:t xml:space="preserve">The algorithm also demonstrates why multi-party authorisation is a trust mechanism rather than merely a user-interface feature. The final decision depends on independently verified participants and a predefined collective requirement. Therefore, a single participant cannot unilaterally activate the consent when the threshold has not been satisfied. In the prototype, the on-chain mint is submitted as a background job through the owner account, and the contract stores keccak256(P</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 rather than the purpose itself. Activation is distinct from the access decision. 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described in Section 9.</w:t>
      </w:r>
    </w:p>
    <w:p>
      <w:pPr>
        <w:pStyle w:val="Heading2"/>
        <w:keepNext/>
        <w:spacing w:after="120" w:before="240"/>
      </w:pPr>
      <w:r>
        <w:rPr>
          <w:rFonts w:ascii="Times New Roman" w:cs="Times New Roman" w:eastAsia="Times New Roman" w:hAnsi="Times New Roman"/>
          <w:b/>
          <w:bCs/>
          <w:sz w:val="26"/>
          <w:szCs w:val="26"/>
        </w:rPr>
        <w:t xml:space="preserve">8.4  </w:t>
      </w:r>
      <w:r>
        <w:rPr>
          <w:rFonts w:ascii="Times New Roman" w:cs="Times New Roman" w:eastAsia="Times New Roman" w:hAnsi="Times New Roman"/>
          <w:b/>
          <w:bCs/>
          <w:sz w:val="26"/>
          <w:szCs w:val="26"/>
        </w:rPr>
        <w:t xml:space="preserve">Outcome of RO3</w:t>
      </w:r>
    </w:p>
    <w:p>
      <w:pPr>
        <w:spacing w:after="110" w:line="264"/>
        <w:jc w:val="both"/>
      </w:pPr>
      <w:r>
        <w:rPr>
          <w:rFonts w:ascii="Times New Roman" w:cs="Times New Roman" w:eastAsia="Times New Roman" w:hAnsi="Times New Roman"/>
          <w:sz w:val="22"/>
          <w:szCs w:val="22"/>
        </w:rPr>
        <w:t xml:space="preserve">RO3 has been completed at the conceptual and prototype level. If the threshold is not satisfied, the consent cannot be used to authorise the requested access, as stated in Equation (11).</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|A</w:t>
      </w:r>
      <w:r>
        <w:rPr>
          <w:rFonts w:ascii="Cambria Math" w:cs="Cambria Math" w:eastAsia="Cambria Math" w:hAnsi="Cambria Math"/>
          <w:i w:val="false"/>
          <w:iCs w:val="false"/>
          <w:sz w:val="21"/>
          <w:szCs w:val="21"/>
          <w:vertAlign w:val="subscript"/>
        </w:rPr>
        <w:t xml:space="preserve">v</w:t>
      </w:r>
      <w:r>
        <w:rPr>
          <w:rFonts w:ascii="Cambria Math" w:cs="Cambria Math" w:eastAsia="Cambria Math" w:hAnsi="Cambria Math"/>
          <w:i w:val="false"/>
          <w:iCs w:val="false"/>
          <w:sz w:val="21"/>
          <w:szCs w:val="21"/>
        </w:rPr>
        <w:t xml:space="preserve">| &lt; N ⟹ Decision(C, R, t) = DENY.</w:t>
      </w:r>
      <w:r>
        <w:rPr>
          <w:rFonts w:ascii="Times New Roman" w:cs="Times New Roman" w:eastAsia="Times New Roman" w:hAnsi="Times New Roman"/>
          <w:sz w:val="22"/>
          <w:szCs w:val="22"/>
        </w:rPr>
        <w:t xml:space="preserve">	(11)</w:t>
      </w:r>
    </w:p>
    <w:p>
      <w:pPr>
        <w:spacing w:after="110" w:line="264"/>
        <w:jc w:val="both"/>
      </w:pPr>
      <w:r>
        <w:rPr>
          <w:rFonts w:ascii="Times New Roman" w:cs="Times New Roman" w:eastAsia="Times New Roman" w:hAnsi="Times New Roman"/>
          <w:sz w:val="22"/>
          <w:szCs w:val="22"/>
        </w:rPr>
        <w:t xml:space="preserve">The prototype demonstrates that a consent object remains unable to establish valid authorisation until the required number of independently verified participants has approved it. </w:t>
      </w:r>
      <w:r>
        <w:rPr>
          <w:rFonts w:ascii="Times New Roman" w:cs="Times New Roman" w:eastAsia="Times New Roman" w:hAnsi="Times New Roman"/>
          <w:sz w:val="22"/>
          <w:szCs w:val="22"/>
        </w:rPr>
        <w:t xml:space="preserve">For example, where N = 2, Equation (12) holds for a consent that has a token identifier and has not been revoked, whereas Equation (13) holds when only one valid approval has been given.</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|A</w:t>
      </w:r>
      <w:r>
        <w:rPr>
          <w:rFonts w:ascii="Cambria Math" w:cs="Cambria Math" w:eastAsia="Cambria Math" w:hAnsi="Cambria Math"/>
          <w:i w:val="false"/>
          <w:iCs w:val="false"/>
          <w:sz w:val="21"/>
          <w:szCs w:val="21"/>
          <w:vertAlign w:val="subscript"/>
        </w:rPr>
        <w:t xml:space="preserve">v</w:t>
      </w:r>
      <w:r>
        <w:rPr>
          <w:rFonts w:ascii="Cambria Math" w:cs="Cambria Math" w:eastAsia="Cambria Math" w:hAnsi="Cambria Math"/>
          <w:i w:val="false"/>
          <w:iCs w:val="false"/>
          <w:sz w:val="21"/>
          <w:szCs w:val="21"/>
        </w:rPr>
        <w:t xml:space="preserve">| = 2 ∧ Token(C) ≠ ∅ ∧ Revoked(C) = 0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(C) = 1,</w:t>
      </w:r>
      <w:r>
        <w:rPr>
          <w:rFonts w:ascii="Times New Roman" w:cs="Times New Roman" w:eastAsia="Times New Roman" w:hAnsi="Times New Roman"/>
          <w:sz w:val="22"/>
          <w:szCs w:val="22"/>
        </w:rPr>
        <w:t xml:space="preserve">	(12)</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|A</w:t>
      </w:r>
      <w:r>
        <w:rPr>
          <w:rFonts w:ascii="Cambria Math" w:cs="Cambria Math" w:eastAsia="Cambria Math" w:hAnsi="Cambria Math"/>
          <w:i w:val="false"/>
          <w:iCs w:val="false"/>
          <w:sz w:val="21"/>
          <w:szCs w:val="21"/>
          <w:vertAlign w:val="subscript"/>
        </w:rPr>
        <w:t xml:space="preserve">v</w:t>
      </w:r>
      <w:r>
        <w:rPr>
          <w:rFonts w:ascii="Cambria Math" w:cs="Cambria Math" w:eastAsia="Cambria Math" w:hAnsi="Cambria Math"/>
          <w:i w:val="false"/>
          <w:iCs w:val="false"/>
          <w:sz w:val="21"/>
          <w:szCs w:val="21"/>
        </w:rPr>
        <w:t xml:space="preserve">| = 1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(C) = 0.</w:t>
      </w:r>
      <w:r>
        <w:rPr>
          <w:rFonts w:ascii="Times New Roman" w:cs="Times New Roman" w:eastAsia="Times New Roman" w:hAnsi="Times New Roman"/>
          <w:sz w:val="22"/>
          <w:szCs w:val="22"/>
        </w:rPr>
        <w:t xml:space="preserve">	(13)</w:t>
      </w:r>
    </w:p>
    <w:p>
      <w:pPr>
        <w:spacing w:after="110" w:line="264"/>
        <w:jc w:val="both"/>
      </w:pPr>
      <w:r>
        <w:rPr>
          <w:rFonts w:ascii="Times New Roman" w:cs="Times New Roman" w:eastAsia="Times New Roman" w:hAnsi="Times New Roman"/>
          <w:sz w:val="22"/>
          <w:szCs w:val="22"/>
        </w:rPr>
        <w:t xml:space="preserve">This provides preliminary evidence that the proposed framework can enforce collective rather than unilateral authorisation. The implemented threshold is derived from the designated guardian set as N = |G|, and the prototype therefore enforces an N-of-N instantiation of Equation (8) and has been evaluated in the 2-of-2 configuration. The unit-level adversarial tests include an approval from a signer outside G and a repeated approval from the same guardian, and before the hardening of 1 October 2026, both attacks were blocked only by the interface. However, since that hardening, the decision rule and the lifecycle evaluation count only distinct approvals from members of G towards N, and both attacks are refused. Section 11 presents the corresponding scenarios and test results.</w:t>
      </w:r>
    </w:p>
    <w:p>
      <w:pPr>
        <w:pStyle w:val="Heading1"/>
        <w:pageBreakBefore/>
        <w:spacing w:after="200" w:before="120"/>
      </w:pPr>
      <w:r>
        <w:rPr>
          <w:rFonts w:ascii="Times New Roman" w:cs="Times New Roman" w:eastAsia="Times New Roman" w:hAnsi="Times New Roman"/>
          <w:b/>
          <w:bCs/>
          <w:sz w:val="32"/>
          <w:szCs w:val="32"/>
        </w:rPr>
        <w:t xml:space="preserve">9.  The Proposed Solution for RO4</w:t>
      </w:r>
    </w:p>
    <w:p>
      <w:pPr>
        <w:spacing w:after="140" w:before="0"/>
      </w:pPr>
      <w:r>
        <w:rPr>
          <w:rFonts w:ascii="Times New Roman" w:cs="Times New Roman" w:eastAsia="Times New Roman" w:hAnsi="Times New Roman"/>
          <w:b/>
          <w:bCs/>
          <w:i/>
          <w:iCs/>
          <w:sz w:val="26"/>
          <w:szCs w:val="26"/>
        </w:rPr>
        <w:t xml:space="preserve">RO4 – Policy- and Context-Aware Access Control</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Done</w:t>
      </w:r>
    </w:p>
    <w:p>
      <w:pPr>
        <w:spacing w:after="110" w:line="264"/>
        <w:jc w:val="both"/>
      </w:pPr>
      <w:r>
        <w:rPr>
          <w:rFonts w:ascii="Times New Roman" w:cs="Times New Roman" w:eastAsia="Times New Roman" w:hAnsi="Times New Roman"/>
          <w:sz w:val="22"/>
          <w:szCs w:val="22"/>
        </w:rPr>
        <w:t xml:space="preserve">RO4 directly addresses RQ4 and completes the foundational authorisation model investigated during </w:t>
      </w:r>
      <w:r>
        <w:rPr>
          <w:rFonts w:ascii="Times New Roman" w:cs="Times New Roman" w:eastAsia="Times New Roman" w:hAnsi="Times New Roman"/>
          <w:color w:val="FF0000"/>
          <w:sz w:val="22"/>
          <w:szCs w:val="22"/>
        </w:rPr>
        <w:t xml:space="preserve">the </w:t>
      </w:r>
      <w:r>
        <w:rPr>
          <w:rFonts w:ascii="Times New Roman" w:cs="Times New Roman" w:eastAsia="Times New Roman" w:hAnsi="Times New Roman"/>
          <w:sz w:val="22"/>
          <w:szCs w:val="22"/>
        </w:rPr>
        <w:t xml:space="preserve">current stage. The objective is to ensure that an otherwise valid requester cannot access healthcare information outside the purpose and data scope authorised by the consent. RO4 develops a policy-aware access-control mechanism capable of evaluating purpose and data-scope constraints before an access decision is issued. 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w:t>
      </w:r>
    </w:p>
    <w:p>
      <w:pPr>
        <w:pStyle w:val="Heading2"/>
        <w:keepNext/>
        <w:spacing w:after="120" w:before="240"/>
      </w:pPr>
      <w:r>
        <w:rPr>
          <w:rFonts w:ascii="Times New Roman" w:cs="Times New Roman" w:eastAsia="Times New Roman" w:hAnsi="Times New Roman"/>
          <w:b/>
          <w:bCs/>
          <w:sz w:val="26"/>
          <w:szCs w:val="26"/>
        </w:rPr>
        <w:t xml:space="preserve">9.1  </w:t>
      </w:r>
      <w:r>
        <w:rPr>
          <w:rFonts w:ascii="Times New Roman" w:cs="Times New Roman" w:eastAsia="Times New Roman" w:hAnsi="Times New Roman"/>
          <w:b/>
          <w:bCs/>
          <w:sz w:val="26"/>
          <w:szCs w:val="26"/>
        </w:rPr>
        <w:t xml:space="preserve">Scope and Policy Conditions</w:t>
      </w:r>
    </w:p>
    <w:p>
      <w:pPr>
        <w:spacing w:after="110" w:line="264"/>
        <w:jc w:val="both"/>
      </w:pPr>
      <w:r>
        <w:rPr>
          <w:rFonts w:ascii="Times New Roman" w:cs="Times New Roman" w:eastAsia="Times New Roman" w:hAnsi="Times New Roman"/>
          <w:sz w:val="22"/>
          <w:szCs w:val="22"/>
        </w:rPr>
        <w:t xml:space="preserve">The system evaluates whether the requested data scope S</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is non-empty and contained within the data scope authorised by the consent, denoted by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and Equation (14) defines the scope condition V</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S</w:t>
      </w:r>
      <w:r>
        <w:rPr>
          <w:rFonts w:ascii="Cambria Math" w:cs="Cambria Math" w:eastAsia="Cambria Math" w:hAnsi="Cambria Math"/>
          <w:i w:val="false"/>
          <w:iCs w:val="false"/>
          <w:sz w:val="21"/>
          <w:szCs w:val="21"/>
        </w:rPr>
        <w:t xml:space="preserve">(C, R) = 1 ⟺ S</w:t>
      </w:r>
      <w:r>
        <w:rPr>
          <w:rFonts w:ascii="Cambria Math" w:cs="Cambria Math" w:eastAsia="Cambria Math" w:hAnsi="Cambria Math"/>
          <w:i w:val="false"/>
          <w:iCs w:val="false"/>
          <w:sz w:val="21"/>
          <w:szCs w:val="21"/>
          <w:vertAlign w:val="subscript"/>
        </w:rPr>
        <w:t xml:space="preserve">R</w:t>
      </w:r>
      <w:r>
        <w:rPr>
          <w:rFonts w:ascii="Cambria Math" w:cs="Cambria Math" w:eastAsia="Cambria Math" w:hAnsi="Cambria Math"/>
          <w:i w:val="false"/>
          <w:iCs w:val="false"/>
          <w:sz w:val="21"/>
          <w:szCs w:val="21"/>
        </w:rPr>
        <w:t xml:space="preserve"> ≠ ∅ ∧ S</w:t>
      </w:r>
      <w:r>
        <w:rPr>
          <w:rFonts w:ascii="Cambria Math" w:cs="Cambria Math" w:eastAsia="Cambria Math" w:hAnsi="Cambria Math"/>
          <w:i w:val="false"/>
          <w:iCs w:val="false"/>
          <w:sz w:val="21"/>
          <w:szCs w:val="21"/>
          <w:vertAlign w:val="subscript"/>
        </w:rPr>
        <w:t xml:space="preserve">R</w:t>
      </w:r>
      <w:r>
        <w:rPr>
          <w:rFonts w:ascii="Cambria Math" w:cs="Cambria Math" w:eastAsia="Cambria Math" w:hAnsi="Cambria Math"/>
          <w:i w:val="false"/>
          <w:iCs w:val="false"/>
          <w:sz w:val="21"/>
          <w:szCs w:val="21"/>
        </w:rPr>
        <w:t xml:space="preserve"> ⊆ S</w:t>
      </w:r>
      <w:r>
        <w:rPr>
          <w:rFonts w:ascii="Cambria Math" w:cs="Cambria Math" w:eastAsia="Cambria Math" w:hAnsi="Cambria Math"/>
          <w:i w:val="false"/>
          <w:iCs w:val="false"/>
          <w:sz w:val="21"/>
          <w:szCs w:val="21"/>
          <w:vertAlign w:val="subscript"/>
        </w:rPr>
        <w:t xml:space="preserve">C</w:t>
      </w:r>
      <w:r>
        <w:rPr>
          <w:rFonts w:ascii="Cambria Math" w:cs="Cambria Math" w:eastAsia="Cambria Math" w:hAnsi="Cambria Math"/>
          <w:i w:val="false"/>
          <w:iCs w:val="false"/>
          <w:sz w:val="21"/>
          <w:szCs w:val="21"/>
        </w:rPr>
        <w:t xml:space="preserve">.</w:t>
      </w:r>
      <w:r>
        <w:rPr>
          <w:rFonts w:ascii="Times New Roman" w:cs="Times New Roman" w:eastAsia="Times New Roman" w:hAnsi="Times New Roman"/>
          <w:sz w:val="22"/>
          <w:szCs w:val="22"/>
        </w:rPr>
        <w:t xml:space="preserve">	(14)</w:t>
      </w:r>
    </w:p>
    <w:p>
      <w:pPr>
        <w:spacing w:after="110" w:line="264"/>
        <w:jc w:val="both"/>
      </w:pPr>
      <w:r>
        <w:rPr>
          <w:rFonts w:ascii="Times New Roman" w:cs="Times New Roman" w:eastAsia="Times New Roman" w:hAnsi="Times New Roman"/>
          <w:sz w:val="22"/>
          <w:szCs w:val="22"/>
        </w:rPr>
        <w:t xml:space="preserve">The policy condition can therefore be expressed as Equation (15) where V</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(C, R) represents purpose compatibility and V</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(C, R) represents data-scope compatibility.</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P</w:t>
      </w:r>
      <w:r>
        <w:rPr>
          <w:rFonts w:ascii="Cambria Math" w:cs="Cambria Math" w:eastAsia="Cambria Math" w:hAnsi="Cambria Math"/>
          <w:i w:val="false"/>
          <w:iCs w:val="false"/>
          <w:sz w:val="21"/>
          <w:szCs w:val="21"/>
        </w:rPr>
        <w:t xml:space="preserve">(C, R) = V</w:t>
      </w:r>
      <w:r>
        <w:rPr>
          <w:rFonts w:ascii="Cambria Math" w:cs="Cambria Math" w:eastAsia="Cambria Math" w:hAnsi="Cambria Math"/>
          <w:i w:val="false"/>
          <w:iCs w:val="false"/>
          <w:sz w:val="21"/>
          <w:szCs w:val="21"/>
          <w:vertAlign w:val="subscript"/>
        </w:rPr>
        <w:t xml:space="preserve">U</w:t>
      </w:r>
      <w:r>
        <w:rPr>
          <w:rFonts w:ascii="Cambria Math" w:cs="Cambria Math" w:eastAsia="Cambria Math" w:hAnsi="Cambria Math"/>
          <w:i w:val="false"/>
          <w:iCs w:val="false"/>
          <w:sz w:val="21"/>
          <w:szCs w:val="21"/>
        </w:rPr>
        <w:t xml:space="preserve">(C, R) ∧ V</w:t>
      </w:r>
      <w:r>
        <w:rPr>
          <w:rFonts w:ascii="Cambria Math" w:cs="Cambria Math" w:eastAsia="Cambria Math" w:hAnsi="Cambria Math"/>
          <w:i w:val="false"/>
          <w:iCs w:val="false"/>
          <w:sz w:val="21"/>
          <w:szCs w:val="21"/>
          <w:vertAlign w:val="subscript"/>
        </w:rPr>
        <w:t xml:space="preserve">S</w:t>
      </w:r>
      <w:r>
        <w:rPr>
          <w:rFonts w:ascii="Cambria Math" w:cs="Cambria Math" w:eastAsia="Cambria Math" w:hAnsi="Cambria Math"/>
          <w:i w:val="false"/>
          <w:iCs w:val="false"/>
          <w:sz w:val="21"/>
          <w:szCs w:val="21"/>
        </w:rPr>
        <w:t xml:space="preserve">(C, R).</w:t>
      </w:r>
      <w:r>
        <w:rPr>
          <w:rFonts w:ascii="Times New Roman" w:cs="Times New Roman" w:eastAsia="Times New Roman" w:hAnsi="Times New Roman"/>
          <w:sz w:val="22"/>
          <w:szCs w:val="22"/>
        </w:rPr>
        <w:t xml:space="preserve">	(15)</w:t>
      </w:r>
    </w:p>
    <w:p>
      <w:pPr>
        <w:spacing w:after="110" w:line="264"/>
        <w:jc w:val="both"/>
      </w:pPr>
      <w:r>
        <w:rPr>
          <w:rFonts w:ascii="Times New Roman" w:cs="Times New Roman" w:eastAsia="Times New Roman" w:hAnsi="Times New Roman"/>
          <w:sz w:val="22"/>
          <w:szCs w:val="22"/>
        </w:rPr>
        <w:t xml:space="preserve">At every access request, the system performs the final policy evaluation, and access can proceed only when all required conditions evaluate to true, namely the five verification predicates in Equation (16)</w:t>
      </w:r>
      <w:r>
        <w:rPr>
          <w:rFonts w:ascii="Times New Roman" w:cs="Times New Roman" w:eastAsia="Times New Roman" w:hAnsi="Times New Roman"/>
          <w:color w:val="FF0000"/>
          <w:sz w:val="22"/>
          <w:szCs w:val="22"/>
        </w:rPr>
        <w:t xml:space="preserve">, where the jurisdiction predicate V</w:t>
      </w:r>
      <w:r>
        <w:rPr>
          <w:rFonts w:ascii="Times New Roman" w:cs="Times New Roman" w:eastAsia="Times New Roman" w:hAnsi="Times New Roman"/>
          <w:color w:val="FF0000"/>
          <w:sz w:val="22"/>
          <w:szCs w:val="22"/>
          <w:vertAlign w:val="subscript"/>
        </w:rPr>
        <w:t xml:space="preserve">L</w:t>
      </w:r>
      <w:r>
        <w:rPr>
          <w:rFonts w:ascii="Times New Roman" w:cs="Times New Roman" w:eastAsia="Times New Roman" w:hAnsi="Times New Roman"/>
          <w:color w:val="FF0000"/>
          <w:sz w:val="22"/>
          <w:szCs w:val="22"/>
        </w:rPr>
        <w:t xml:space="preserve"> belongs to this objective and is written out in Equation (21)</w:t>
      </w:r>
      <w:r>
        <w:rPr>
          <w:rFonts w:ascii="Times New Roman" w:cs="Times New Roman" w:eastAsia="Times New Roman" w:hAnsi="Times New Roman"/>
          <w:sz w:val="22"/>
          <w:szCs w:val="22"/>
        </w:rPr>
        <w:t xml:space="preserve">. If any of these conditions is false, the request is denied. This creates a conjunctive trust model in which the failure of any required condition prevents the final authorisation decision. In the current version, each request against an ACTIVE consent has its decision matrix recorded in the audit ledger with the GRANTED or DENIED outcome, although the three earliest grants of 22 September 2026 predate this logging. Importantly, both successful and denied decisions should be recorded because a trustworthy authorisation framework requires accountability not only for data that were released but also for access attempts that were rejected.</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Decision(C, R, t) = ALLOW ⟺ V</w:t>
      </w:r>
      <w:r>
        <w:rPr>
          <w:rFonts w:ascii="Cambria Math" w:cs="Cambria Math" w:eastAsia="Cambria Math" w:hAnsi="Cambria Math"/>
          <w:i w:val="false"/>
          <w:iCs w:val="false"/>
          <w:sz w:val="21"/>
          <w:szCs w:val="21"/>
          <w:vertAlign w:val="subscript"/>
        </w:rPr>
        <w:t xml:space="preserve">I</w:t>
      </w:r>
      <w:r>
        <w:rPr>
          <w:rFonts w:ascii="Cambria Math" w:cs="Cambria Math" w:eastAsia="Cambria Math" w:hAnsi="Cambria Math"/>
          <w:i w:val="false"/>
          <w:iCs w:val="false"/>
          <w:sz w:val="21"/>
          <w:szCs w:val="21"/>
        </w:rPr>
        <w:t xml:space="preserve">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 ∧ V</w:t>
      </w:r>
      <w:r>
        <w:rPr>
          <w:rFonts w:ascii="Cambria Math" w:cs="Cambria Math" w:eastAsia="Cambria Math" w:hAnsi="Cambria Math"/>
          <w:i w:val="false"/>
          <w:iCs w:val="false"/>
          <w:sz w:val="21"/>
          <w:szCs w:val="21"/>
          <w:vertAlign w:val="subscript"/>
        </w:rPr>
        <w:t xml:space="preserve">P</w:t>
      </w:r>
      <w:r>
        <w:rPr>
          <w:rFonts w:ascii="Cambria Math" w:cs="Cambria Math" w:eastAsia="Cambria Math" w:hAnsi="Cambria Math"/>
          <w:i w:val="false"/>
          <w:iCs w:val="false"/>
          <w:sz w:val="21"/>
          <w:szCs w:val="21"/>
        </w:rPr>
        <w:t xml:space="preserve"> ∧ V</w:t>
      </w:r>
      <w:r>
        <w:rPr>
          <w:rFonts w:ascii="Cambria Math" w:cs="Cambria Math" w:eastAsia="Cambria Math" w:hAnsi="Cambria Math"/>
          <w:i w:val="false"/>
          <w:iCs w:val="false"/>
          <w:sz w:val="21"/>
          <w:szCs w:val="21"/>
          <w:vertAlign w:val="subscript"/>
        </w:rPr>
        <w:t xml:space="preserve">T</w:t>
      </w:r>
      <w:r>
        <w:rPr>
          <w:rFonts w:ascii="Cambria Math" w:cs="Cambria Math" w:eastAsia="Cambria Math" w:hAnsi="Cambria Math"/>
          <w:i w:val="false"/>
          <w:iCs w:val="false"/>
          <w:sz w:val="21"/>
          <w:szCs w:val="21"/>
        </w:rPr>
        <w:t xml:space="preserve"> ∧ V</w:t>
      </w:r>
      <w:r>
        <w:rPr>
          <w:rFonts w:ascii="Cambria Math" w:cs="Cambria Math" w:eastAsia="Cambria Math" w:hAnsi="Cambria Math"/>
          <w:i w:val="false"/>
          <w:iCs w:val="false"/>
          <w:sz w:val="21"/>
          <w:szCs w:val="21"/>
          <w:vertAlign w:val="subscript"/>
        </w:rPr>
        <w:t xml:space="preserve">L</w:t>
      </w:r>
      <w:r>
        <w:rPr>
          <w:rFonts w:ascii="Times New Roman" w:cs="Times New Roman" w:eastAsia="Times New Roman" w:hAnsi="Times New Roman"/>
          <w:sz w:val="22"/>
          <w:szCs w:val="22"/>
        </w:rPr>
        <w:t xml:space="preserve">	(16)</w:t>
      </w:r>
    </w:p>
    <w:p>
      <w:pPr>
        <w:spacing w:after="110" w:line="264"/>
        <w:jc w:val="both"/>
      </w:pPr>
      <w:r>
        <w:rPr>
          <w:rFonts w:ascii="Times New Roman" w:cs="Times New Roman" w:eastAsia="Times New Roman" w:hAnsi="Times New Roman"/>
          <w:sz w:val="22"/>
          <w:szCs w:val="22"/>
        </w:rPr>
        <w:t xml:space="preserve">In the prototype, the matrix column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records the purpose check V</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 only, while the scope condition V</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is evaluated separately by the scope check of the doctor subsystem at request time. The final decision therefore combines the decision matrix with that scope check and with the verified access proof.</w:t>
      </w:r>
    </w:p>
    <w:p>
      <w:pPr>
        <w:pStyle w:val="Heading2"/>
        <w:keepNext/>
        <w:spacing w:after="120" w:before="240"/>
      </w:pPr>
      <w:r>
        <w:rPr>
          <w:rFonts w:ascii="Times New Roman" w:cs="Times New Roman" w:eastAsia="Times New Roman" w:hAnsi="Times New Roman"/>
          <w:b/>
          <w:bCs/>
          <w:sz w:val="26"/>
          <w:szCs w:val="26"/>
        </w:rPr>
        <w:t xml:space="preserve">9.2  </w:t>
      </w:r>
      <w:r>
        <w:rPr>
          <w:rFonts w:ascii="Times New Roman" w:cs="Times New Roman" w:eastAsia="Times New Roman" w:hAnsi="Times New Roman"/>
          <w:b/>
          <w:bCs/>
          <w:sz w:val="26"/>
          <w:szCs w:val="26"/>
        </w:rPr>
        <w:t xml:space="preserve">Policy-Aware Access Workflow</w:t>
      </w:r>
    </w:p>
    <w:p>
      <w:pPr>
        <w:spacing w:after="110" w:line="264"/>
        <w:jc w:val="both"/>
      </w:pPr>
      <w:r>
        <w:rPr>
          <w:rFonts w:ascii="Times New Roman" w:cs="Times New Roman" w:eastAsia="Times New Roman" w:hAnsi="Times New Roman"/>
          <w:sz w:val="22"/>
          <w:szCs w:val="22"/>
        </w:rPr>
        <w:t xml:space="preserve">The workflow begins when a doctor submits a request for patient data. The system retrieves the consent object and verifies the requesting participant. It then checks whether the required multi-party authorisation has been established. After the identity and authorisation conditions are satisfied, the system evaluates the requested purpose and data scope. The HALAH implementation provides a concrete basis for this objective. As shown in Figure 11, the Doctor interface retrieves a consent, evaluates its state, allows a requested scope to be selected from the consent scope, generates a proof, checks the requested scope, and invokes the authorisation function before returning data. </w:t>
      </w:r>
      <w:r>
        <w:rPr>
          <w:rFonts w:ascii="Times New Roman" w:cs="Times New Roman" w:eastAsia="Times New Roman" w:hAnsi="Times New Roman"/>
          <w:sz w:val="22"/>
          <w:szCs w:val="22"/>
        </w:rPr>
        <w:t xml:space="preserve">Suppose that a consent permits access to the data categories given in Equation (17), and a healthcare professional then requests the categories given in Equation (18).</w:t>
      </w:r>
    </w:p>
    <w:p>
      <w:pPr>
        <w:keepNext/>
        <w:spacing w:after="60" w:before="160"/>
        <w:jc w:val="center"/>
      </w:pPr>
      <w:r>
        <w:drawing>
          <wp:inline distT="0" distB="0" distL="0" distR="0">
            <wp:extent cx="3324225" cy="5905500"/>
            <wp:effectExtent t="0" r="0" b="0" l="0"/>
            <wp:docPr id="1" name="F14.png" descr="RO4 workflow for policy- and context-aware access control (in the current prototype, a refusal for a consent that is not ACTIVE is reported in the doctor interface and is not written to the audit ledger, whereas every decision on an ACTIVE consent is recorded, except an empty request, which the interface stops, and the requested purpose is the consent purpose)" title="RO4 workflow for policy- and context-aware access control (in the current prototype, a refusal for a consent that is not ACTIVE is reported in the doctor interface and is not written to the audit ledger, whereas every decision on an ACTIVE consent is recorded, except an empty request, which the interface stops, and the requested purpose is the consent pur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24225" cy="59055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 </w:t>
      </w:r>
      <w:r>
        <w:rPr>
          <w:rFonts w:ascii="Times New Roman" w:cs="Times New Roman" w:eastAsia="Times New Roman" w:hAnsi="Times New Roman"/>
          <w:sz w:val="18"/>
          <w:szCs w:val="18"/>
        </w:rPr>
        <w:t xml:space="preserve">RO4 workflow for policy- and context-aware access control (in the current prototype, a refusal for a consent that is not ACTIVE is reported in the doctor interface and is not written to the audit ledger, whereas every decision on an ACTIVE consent is recorded, except an empty request, which the interface stops, and the requested purpose is the consent purpose)</w:t>
      </w:r>
      <w:r>
        <w:rPr>
          <w:rFonts w:ascii="Times New Roman" w:cs="Times New Roman" w:eastAsia="Times New Roman" w:hAnsi="Times New Roman"/>
          <w:sz w:val="18"/>
          <w:szCs w:val="18"/>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S</w:t>
      </w:r>
      <w:r>
        <w:rPr>
          <w:rFonts w:ascii="Cambria Math" w:cs="Cambria Math" w:eastAsia="Cambria Math" w:hAnsi="Cambria Math"/>
          <w:i w:val="false"/>
          <w:iCs w:val="false"/>
          <w:sz w:val="21"/>
          <w:szCs w:val="21"/>
          <w:vertAlign w:val="subscript"/>
        </w:rPr>
        <w:t xml:space="preserve">C</w:t>
      </w:r>
      <w:r>
        <w:rPr>
          <w:rFonts w:ascii="Cambria Math" w:cs="Cambria Math" w:eastAsia="Cambria Math" w:hAnsi="Cambria Math"/>
          <w:i w:val="false"/>
          <w:iCs w:val="false"/>
          <w:sz w:val="21"/>
          <w:szCs w:val="21"/>
        </w:rPr>
        <w:t xml:space="preserve"> = {Observation, Medication},</w:t>
      </w:r>
      <w:r>
        <w:rPr>
          <w:rFonts w:ascii="Times New Roman" w:cs="Times New Roman" w:eastAsia="Times New Roman" w:hAnsi="Times New Roman"/>
          <w:sz w:val="22"/>
          <w:szCs w:val="22"/>
        </w:rPr>
        <w:t xml:space="preserve">	(17)</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S</w:t>
      </w:r>
      <w:r>
        <w:rPr>
          <w:rFonts w:ascii="Cambria Math" w:cs="Cambria Math" w:eastAsia="Cambria Math" w:hAnsi="Cambria Math"/>
          <w:i w:val="false"/>
          <w:iCs w:val="false"/>
          <w:sz w:val="21"/>
          <w:szCs w:val="21"/>
          <w:vertAlign w:val="subscript"/>
        </w:rPr>
        <w:t xml:space="preserve">R</w:t>
      </w:r>
      <w:r>
        <w:rPr>
          <w:rFonts w:ascii="Cambria Math" w:cs="Cambria Math" w:eastAsia="Cambria Math" w:hAnsi="Cambria Math"/>
          <w:i w:val="false"/>
          <w:iCs w:val="false"/>
          <w:sz w:val="21"/>
          <w:szCs w:val="21"/>
        </w:rPr>
        <w:t xml:space="preserve"> = {Observation, Medication, Procedure}</w:t>
      </w:r>
      <w:r>
        <w:rPr>
          <w:rFonts w:ascii="Cambria Math" w:cs="Cambria Math" w:eastAsia="Cambria Math" w:hAnsi="Cambria Math"/>
          <w:i w:val="false"/>
          <w:iCs w:val="false"/>
          <w:strike/>
          <w:color w:val="FF0000"/>
          <w:sz w:val="21"/>
          <w:szCs w:val="21"/>
        </w:rPr>
        <w:t xml:space="preserve">,</w:t>
      </w:r>
      <w:r>
        <w:rPr>
          <w:rFonts w:ascii="Cambria Math" w:cs="Cambria Math" w:eastAsia="Cambria Math" w:hAnsi="Cambria Math"/>
          <w:i w:val="false"/>
          <w:iCs w:val="false"/>
          <w:color w:val="FF0000"/>
          <w:sz w:val="21"/>
          <w:szCs w:val="21"/>
        </w:rPr>
        <w:t xml:space="preserve">.</w:t>
      </w:r>
      <w:r>
        <w:rPr>
          <w:rFonts w:ascii="Times New Roman" w:cs="Times New Roman" w:eastAsia="Times New Roman" w:hAnsi="Times New Roman"/>
          <w:sz w:val="22"/>
          <w:szCs w:val="22"/>
        </w:rPr>
        <w:t xml:space="preserve">	(18)</w:t>
      </w:r>
    </w:p>
    <w:p>
      <w:pPr>
        <w:spacing w:after="110" w:line="264"/>
        <w:jc w:val="both"/>
      </w:pPr>
      <w:r>
        <w:rPr>
          <w:rFonts w:ascii="Times New Roman" w:cs="Times New Roman" w:eastAsia="Times New Roman" w:hAnsi="Times New Roman"/>
          <w:sz w:val="22"/>
          <w:szCs w:val="22"/>
        </w:rPr>
        <w:t xml:space="preserve">In this case, Equation (19) holds, and the request must be denied. This rule prevents a legitimate participant from obtaining data outside the patient's authorised scope. If the requested data exceeds the authorised scope, the request must be rejected even if the requester has successfully authenticated and the required number of participants has approved the consent. This step is particularly important for fine-grained healthcare data access because authorisation to access one category of healthcare information does not imply authorisation to access all categories of the patient's record.</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S</w:t>
      </w:r>
      <w:r>
        <w:rPr>
          <w:rFonts w:ascii="Cambria Math" w:cs="Cambria Math" w:eastAsia="Cambria Math" w:hAnsi="Cambria Math"/>
          <w:i w:val="false"/>
          <w:iCs w:val="false"/>
          <w:sz w:val="21"/>
          <w:szCs w:val="21"/>
          <w:vertAlign w:val="subscript"/>
        </w:rPr>
        <w:t xml:space="preserve">R</w:t>
      </w:r>
      <w:r>
        <w:rPr>
          <w:rFonts w:ascii="Cambria Math" w:cs="Cambria Math" w:eastAsia="Cambria Math" w:hAnsi="Cambria Math"/>
          <w:i w:val="false"/>
          <w:iCs w:val="false"/>
          <w:sz w:val="21"/>
          <w:szCs w:val="21"/>
        </w:rPr>
        <w:t xml:space="preserve"> ⊈ S</w:t>
      </w:r>
      <w:r>
        <w:rPr>
          <w:rFonts w:ascii="Cambria Math" w:cs="Cambria Math" w:eastAsia="Cambria Math" w:hAnsi="Cambria Math"/>
          <w:i w:val="false"/>
          <w:iCs w:val="false"/>
          <w:sz w:val="21"/>
          <w:szCs w:val="21"/>
          <w:vertAlign w:val="subscript"/>
        </w:rPr>
        <w:t xml:space="preserve">C</w:t>
      </w:r>
      <w:r>
        <w:rPr>
          <w:rFonts w:ascii="Cambria Math" w:cs="Cambria Math" w:eastAsia="Cambria Math" w:hAnsi="Cambria Math"/>
          <w:i w:val="false"/>
          <w:iCs w:val="false"/>
          <w:sz w:val="21"/>
          <w:szCs w:val="21"/>
        </w:rPr>
        <w:t xml:space="preserve">.</w:t>
      </w:r>
      <w:r>
        <w:rPr>
          <w:rFonts w:ascii="Times New Roman" w:cs="Times New Roman" w:eastAsia="Times New Roman" w:hAnsi="Times New Roman"/>
          <w:sz w:val="22"/>
          <w:szCs w:val="22"/>
        </w:rPr>
        <w:t xml:space="preserve">	(19)</w:t>
      </w:r>
    </w:p>
    <w:p>
      <w:pPr>
        <w:pStyle w:val="Heading2"/>
        <w:keepNext/>
        <w:spacing w:after="120" w:before="240"/>
      </w:pPr>
      <w:r>
        <w:rPr>
          <w:rFonts w:ascii="Times New Roman" w:cs="Times New Roman" w:eastAsia="Times New Roman" w:hAnsi="Times New Roman"/>
          <w:b/>
          <w:bCs/>
          <w:sz w:val="26"/>
          <w:szCs w:val="26"/>
        </w:rPr>
        <w:t xml:space="preserve">9.3  </w:t>
      </w:r>
      <w:r>
        <w:rPr>
          <w:rFonts w:ascii="Times New Roman" w:cs="Times New Roman" w:eastAsia="Times New Roman" w:hAnsi="Times New Roman"/>
          <w:b/>
          <w:bCs/>
          <w:sz w:val="26"/>
          <w:szCs w:val="26"/>
        </w:rPr>
        <w:t xml:space="preserve">Policy-Aware Access Decision Algorithm</w:t>
      </w:r>
    </w:p>
    <w:p>
      <w:pPr>
        <w:spacing w:after="110" w:line="264"/>
        <w:jc w:val="both"/>
      </w:pPr>
      <w:r>
        <w:rPr>
          <w:rFonts w:ascii="Times New Roman" w:cs="Times New Roman" w:eastAsia="Times New Roman" w:hAnsi="Times New Roman"/>
          <w:sz w:val="22"/>
          <w:szCs w:val="22"/>
        </w:rPr>
        <w:t xml:space="preserve">Rather than treating successful authentication as sufficient for access, Algorithm 4 evaluates the complete set of conditions defined by the consent and applicable access-control policies. </w:t>
      </w:r>
      <w:r>
        <w:rPr>
          <w:rFonts w:ascii="Times New Roman" w:cs="Times New Roman" w:eastAsia="Times New Roman" w:hAnsi="Times New Roman"/>
          <w:sz w:val="22"/>
          <w:szCs w:val="22"/>
        </w:rPr>
        <w:t xml:space="preserve">If any mandatory condition fails during the evaluation process, the system returns DENY and records the corresponding denial evidence. </w:t>
      </w:r>
      <w:r>
        <w:rPr>
          <w:rFonts w:ascii="Times New Roman" w:cs="Times New Roman" w:eastAsia="Times New Roman" w:hAnsi="Times New Roman"/>
          <w:strike/>
          <w:color w:val="FF0000"/>
          <w:sz w:val="22"/>
          <w:szCs w:val="22"/>
        </w:rPr>
        <w:t xml:space="preserve">The exception is a consent that is not ACTIVE, whose refusal is reported only in the doctor interface in the prototype.</w:t>
      </w:r>
      <w:r>
        <w:rPr>
          <w:rFonts w:ascii="Times New Roman" w:cs="Times New Roman" w:eastAsia="Times New Roman" w:hAnsi="Times New Roman"/>
          <w:color w:val="FF0000"/>
          <w:sz w:val="22"/>
          <w:szCs w:val="22"/>
        </w:rPr>
        <w:t xml:space="preserve">There are two exceptions in the prototype: a consent that is not ACTIVE, whose refusal is reported only in the doctor interface, and an empty request, which the interface stops before it reaches the ledger.</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4 </w:t>
      </w:r>
      <w:r>
        <w:rPr>
          <w:rFonts w:ascii="Times New Roman" w:cs="Times New Roman" w:eastAsia="Times New Roman" w:hAnsi="Times New Roman"/>
          <w:sz w:val="19"/>
          <w:szCs w:val="19"/>
        </w:rPr>
        <w:t xml:space="preserve">Policy-Aware Access Decision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rPr>
        <w:t xml:space="preserve">Consent object C, access request R = (u, P</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S</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Jur(R)), requesting participant u, current time t</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rPr>
        <w:t xml:space="preserve">Access decision</w:t>
      </w:r>
    </w:p>
    <w:p>
      <w:pPr>
        <w:keepNext/>
        <w:spacing w:after="10"/>
        <w:ind w:left="240"/>
      </w:pPr>
      <w:r>
        <w:rPr>
          <w:rFonts w:ascii="Times New Roman" w:cs="Times New Roman" w:eastAsia="Times New Roman" w:hAnsi="Times New Roman"/>
          <w:color w:val="555555"/>
          <w:sz w:val="16"/>
          <w:szCs w:val="16"/>
        </w:rPr>
        <w:t xml:space="preserve">1:  </w:t>
      </w:r>
      <w:r>
        <w:rPr>
          <w:rFonts w:ascii="Times New Roman" w:cs="Times New Roman" w:eastAsia="Times New Roman" w:hAnsi="Times New Roman"/>
          <w:sz w:val="19"/>
          <w:szCs w:val="19"/>
        </w:rPr>
        <w:t xml:space="preserve">Verify DID and VC of u</w:t>
      </w:r>
    </w:p>
    <w:p>
      <w:pPr>
        <w:keepNext/>
        <w:spacing w:after="10"/>
        <w:ind w:left="240"/>
      </w:pPr>
      <w:r>
        <w:rPr>
          <w:rFonts w:ascii="Times New Roman" w:cs="Times New Roman" w:eastAsia="Times New Roman" w:hAnsi="Times New Roman"/>
          <w:color w:val="555555"/>
          <w:sz w:val="16"/>
          <w:szCs w:val="16"/>
        </w:rPr>
        <w:t xml:space="preserve">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identity or authority verification fails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3:  </w:t>
      </w:r>
      <w:r>
        <w:rPr>
          <w:rFonts w:ascii="Times New Roman" w:cs="Times New Roman" w:eastAsia="Times New Roman" w:hAnsi="Times New Roman"/>
          <w:sz w:val="19"/>
          <w:szCs w:val="19"/>
        </w:rPr>
        <w:t xml:space="preserve">Record denied decision</w:t>
      </w:r>
    </w:p>
    <w:p>
      <w:pPr>
        <w:keepNext/>
        <w:spacing w:after="10"/>
        <w:ind w:left="600"/>
      </w:pPr>
      <w:r>
        <w:rPr>
          <w:rFonts w:ascii="Times New Roman" w:cs="Times New Roman" w:eastAsia="Times New Roman" w:hAnsi="Times New Roman"/>
          <w:color w:val="555555"/>
          <w:sz w:val="16"/>
          <w:szCs w:val="16"/>
        </w:rPr>
        <w:t xml:space="preserve">4: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5: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6:  </w:t>
      </w:r>
      <w:r>
        <w:rPr>
          <w:rFonts w:ascii="Times New Roman" w:cs="Times New Roman" w:eastAsia="Times New Roman" w:hAnsi="Times New Roman"/>
          <w:sz w:val="19"/>
          <w:szCs w:val="19"/>
        </w:rPr>
        <w:t xml:space="preserve">Evaluate consent state</w:t>
      </w:r>
    </w:p>
    <w:p>
      <w:pPr>
        <w:keepNext/>
        <w:spacing w:after="10"/>
        <w:ind w:left="240"/>
      </w:pPr>
      <w:r>
        <w:rPr>
          <w:rFonts w:ascii="Times New Roman" w:cs="Times New Roman" w:eastAsia="Times New Roman" w:hAnsi="Times New Roman"/>
          <w:color w:val="555555"/>
          <w:sz w:val="16"/>
          <w:szCs w:val="16"/>
        </w:rPr>
        <w:t xml:space="preserve">7: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consent is not active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8:  </w:t>
      </w:r>
      <w:r>
        <w:rPr>
          <w:rFonts w:ascii="Times New Roman" w:cs="Times New Roman" w:eastAsia="Times New Roman" w:hAnsi="Times New Roman"/>
          <w:sz w:val="19"/>
          <w:szCs w:val="19"/>
        </w:rPr>
        <w:t xml:space="preserve">Report the refusal in the doctor interface   ▷ not written to the audit ledger in the prototype</w:t>
      </w:r>
    </w:p>
    <w:p>
      <w:pPr>
        <w:keepNext/>
        <w:spacing w:after="10"/>
        <w:ind w:left="600"/>
      </w:pPr>
      <w:r>
        <w:rPr>
          <w:rFonts w:ascii="Times New Roman" w:cs="Times New Roman" w:eastAsia="Times New Roman" w:hAnsi="Times New Roman"/>
          <w:color w:val="555555"/>
          <w:sz w:val="16"/>
          <w:szCs w:val="16"/>
        </w:rPr>
        <w:t xml:space="preserve">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10: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11:  </w:t>
      </w:r>
      <w:r>
        <w:rPr>
          <w:rFonts w:ascii="Times New Roman" w:cs="Times New Roman" w:eastAsia="Times New Roman" w:hAnsi="Times New Roman"/>
          <w:sz w:val="19"/>
          <w:szCs w:val="19"/>
        </w:rPr>
        <w:t xml:space="preserve">Verify multi-party authorisation</w:t>
      </w:r>
    </w:p>
    <w:p>
      <w:pPr>
        <w:keepNext/>
        <w:spacing w:after="10"/>
        <w:ind w:left="240"/>
      </w:pPr>
      <w:r>
        <w:rPr>
          <w:rFonts w:ascii="Times New Roman" w:cs="Times New Roman" w:eastAsia="Times New Roman" w:hAnsi="Times New Roman"/>
          <w:color w:val="555555"/>
          <w:sz w:val="16"/>
          <w:szCs w:val="16"/>
        </w:rPr>
        <w:t xml:space="preserve">12: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threshold is not satisfied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13:  </w:t>
      </w:r>
      <w:r>
        <w:rPr>
          <w:rFonts w:ascii="Times New Roman" w:cs="Times New Roman" w:eastAsia="Times New Roman" w:hAnsi="Times New Roman"/>
          <w:sz w:val="19"/>
          <w:szCs w:val="19"/>
        </w:rPr>
        <w:t xml:space="preserve">Record denied decision</w:t>
      </w:r>
    </w:p>
    <w:p>
      <w:pPr>
        <w:keepNext/>
        <w:spacing w:after="10"/>
        <w:ind w:left="600"/>
      </w:pPr>
      <w:r>
        <w:rPr>
          <w:rFonts w:ascii="Times New Roman" w:cs="Times New Roman" w:eastAsia="Times New Roman" w:hAnsi="Times New Roman"/>
          <w:color w:val="555555"/>
          <w:sz w:val="16"/>
          <w:szCs w:val="16"/>
        </w:rPr>
        <w:t xml:space="preserve">14: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15: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16:  </w:t>
      </w:r>
      <w:r>
        <w:rPr>
          <w:rFonts w:ascii="Times New Roman" w:cs="Times New Roman" w:eastAsia="Times New Roman" w:hAnsi="Times New Roman"/>
          <w:sz w:val="19"/>
          <w:szCs w:val="19"/>
        </w:rPr>
        <w:t xml:space="preserve">Evaluate requested purpose   ▷ in the prototype, the request purpose is the consent purpose</w:t>
      </w:r>
    </w:p>
    <w:p>
      <w:pPr>
        <w:keepNext/>
        <w:spacing w:after="10"/>
        <w:ind w:left="240"/>
      </w:pPr>
      <w:r>
        <w:rPr>
          <w:rFonts w:ascii="Times New Roman" w:cs="Times New Roman" w:eastAsia="Times New Roman" w:hAnsi="Times New Roman"/>
          <w:color w:val="555555"/>
          <w:sz w:val="16"/>
          <w:szCs w:val="16"/>
        </w:rPr>
        <w:t xml:space="preserve">17: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purpose is incompatible with consent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18:  </w:t>
      </w:r>
      <w:r>
        <w:rPr>
          <w:rFonts w:ascii="Times New Roman" w:cs="Times New Roman" w:eastAsia="Times New Roman" w:hAnsi="Times New Roman"/>
          <w:sz w:val="19"/>
          <w:szCs w:val="19"/>
        </w:rPr>
        <w:t xml:space="preserve">Record denied decision</w:t>
      </w:r>
      <w:r>
        <w:rPr>
          <w:rFonts w:ascii="Times New Roman" w:cs="Times New Roman" w:eastAsia="Times New Roman" w:hAnsi="Times New Roman"/>
          <w:strike/>
          <w:color w:val="FF0000"/>
          <w:sz w:val="19"/>
          <w:szCs w:val="19"/>
        </w:rPr>
        <w:t xml:space="preserve">   ▷ in the prototype, an empty request is stopped by the interface and is not written to the audit ledger</w:t>
      </w:r>
    </w:p>
    <w:p>
      <w:pPr>
        <w:keepNext/>
        <w:spacing w:after="10"/>
        <w:ind w:left="600"/>
      </w:pPr>
      <w:r>
        <w:rPr>
          <w:rFonts w:ascii="Times New Roman" w:cs="Times New Roman" w:eastAsia="Times New Roman" w:hAnsi="Times New Roman"/>
          <w:color w:val="555555"/>
          <w:sz w:val="16"/>
          <w:szCs w:val="16"/>
        </w:rPr>
        <w:t xml:space="preserve">19: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20: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21:  </w:t>
      </w:r>
      <w:r>
        <w:rPr>
          <w:rFonts w:ascii="Times New Roman" w:cs="Times New Roman" w:eastAsia="Times New Roman" w:hAnsi="Times New Roman"/>
          <w:sz w:val="19"/>
          <w:szCs w:val="19"/>
        </w:rPr>
        <w:t xml:space="preserve">Evaluate requested data scope</w:t>
      </w:r>
    </w:p>
    <w:p>
      <w:pPr>
        <w:keepNext/>
        <w:spacing w:after="10"/>
        <w:ind w:left="240"/>
      </w:pPr>
      <w:r>
        <w:rPr>
          <w:rFonts w:ascii="Times New Roman" w:cs="Times New Roman" w:eastAsia="Times New Roman" w:hAnsi="Times New Roman"/>
          <w:color w:val="555555"/>
          <w:sz w:val="16"/>
          <w:szCs w:val="16"/>
        </w:rPr>
        <w:t xml:space="preserve">22: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S</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 ∅ or S</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 S</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23:  </w:t>
      </w:r>
      <w:r>
        <w:rPr>
          <w:rFonts w:ascii="Times New Roman" w:cs="Times New Roman" w:eastAsia="Times New Roman" w:hAnsi="Times New Roman"/>
          <w:sz w:val="19"/>
          <w:szCs w:val="19"/>
        </w:rPr>
        <w:t xml:space="preserve">Record denied decision</w:t>
      </w:r>
      <w:r>
        <w:rPr>
          <w:rFonts w:ascii="Times New Roman" w:cs="Times New Roman" w:eastAsia="Times New Roman" w:hAnsi="Times New Roman"/>
          <w:color w:val="FF0000"/>
          <w:sz w:val="19"/>
          <w:szCs w:val="19"/>
        </w:rPr>
        <w:t xml:space="preserve">   ▷ in the prototype, an empty request is stopped by the interface and is not written to the audit ledger</w:t>
      </w:r>
    </w:p>
    <w:p>
      <w:pPr>
        <w:keepNext/>
        <w:spacing w:after="10"/>
        <w:ind w:left="600"/>
      </w:pPr>
      <w:r>
        <w:rPr>
          <w:rFonts w:ascii="Times New Roman" w:cs="Times New Roman" w:eastAsia="Times New Roman" w:hAnsi="Times New Roman"/>
          <w:color w:val="555555"/>
          <w:sz w:val="16"/>
          <w:szCs w:val="16"/>
        </w:rPr>
        <w:t xml:space="preserve">24: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25: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26: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t &lt;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or t &gt;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 </w:t>
      </w:r>
      <w:r>
        <w:rPr>
          <w:rFonts w:ascii="Times New Roman" w:cs="Times New Roman" w:eastAsia="Times New Roman" w:hAnsi="Times New Roman"/>
          <w:b/>
          <w:bCs/>
          <w:sz w:val="19"/>
          <w:szCs w:val="19"/>
        </w:rPr>
        <w:t xml:space="preserve">then</w:t>
      </w:r>
      <w:r>
        <w:rPr>
          <w:rFonts w:ascii="Times New Roman" w:cs="Times New Roman" w:eastAsia="Times New Roman" w:hAnsi="Times New Roman"/>
          <w:sz w:val="19"/>
          <w:szCs w:val="19"/>
        </w:rPr>
        <w:t xml:space="preserve"> Record denied decision and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 </w:t>
      </w:r>
      <w:r>
        <w:rPr>
          <w:rFonts w:ascii="Times New Roman" w:cs="Times New Roman" w:eastAsia="Times New Roman" w:hAnsi="Times New Roman"/>
          <w:b/>
          <w:bCs/>
          <w:sz w:val="19"/>
          <w:szCs w:val="19"/>
        </w:rPr>
        <w:t xml:space="preserve">end if</w:t>
      </w:r>
      <w:r>
        <w:rPr>
          <w:rFonts w:ascii="Times New Roman" w:cs="Times New Roman" w:eastAsia="Times New Roman" w:hAnsi="Times New Roman"/>
          <w:color w:val="FF0000"/>
          <w:sz w:val="19"/>
          <w:szCs w:val="19"/>
        </w:rPr>
        <w:t xml:space="preserve">   ▷ in the prototype, a consent outside its window is NOT_STARTED or EXPIRED, so this refusal is reported in the doctor interface and is not written to the audit ledger</w:t>
      </w:r>
    </w:p>
    <w:p>
      <w:pPr>
        <w:keepNext/>
        <w:spacing w:after="10"/>
        <w:ind w:left="240"/>
      </w:pPr>
      <w:r>
        <w:rPr>
          <w:rFonts w:ascii="Times New Roman" w:cs="Times New Roman" w:eastAsia="Times New Roman" w:hAnsi="Times New Roman"/>
          <w:color w:val="555555"/>
          <w:sz w:val="16"/>
          <w:szCs w:val="16"/>
        </w:rPr>
        <w:t xml:space="preserve">27: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w:t>
      </w:r>
      <w:r>
        <w:rPr>
          <w:rFonts w:ascii="Times New Roman" w:cs="Times New Roman" w:eastAsia="Times New Roman" w:hAnsi="Times New Roman"/>
          <w:sz w:val="19"/>
          <w:szCs w:val="19"/>
        </w:rPr>
        <w:t xml:space="preserve">Jur(C) ≠ ∅ and </w:t>
      </w:r>
      <w:r>
        <w:rPr>
          <w:rFonts w:ascii="Times New Roman" w:cs="Times New Roman" w:eastAsia="Times New Roman" w:hAnsi="Times New Roman"/>
          <w:sz w:val="19"/>
          <w:szCs w:val="19"/>
        </w:rPr>
        <w:t xml:space="preserve">Jur(R) ≠ Jur(C) </w:t>
      </w:r>
      <w:r>
        <w:rPr>
          <w:rFonts w:ascii="Times New Roman" w:cs="Times New Roman" w:eastAsia="Times New Roman" w:hAnsi="Times New Roman"/>
          <w:b/>
          <w:bCs/>
          <w:sz w:val="19"/>
          <w:szCs w:val="19"/>
        </w:rPr>
        <w:t xml:space="preserve">then</w:t>
      </w:r>
      <w:r>
        <w:rPr>
          <w:rFonts w:ascii="Times New Roman" w:cs="Times New Roman" w:eastAsia="Times New Roman" w:hAnsi="Times New Roman"/>
          <w:sz w:val="19"/>
          <w:szCs w:val="19"/>
        </w:rPr>
        <w:t xml:space="preserve"> Record denied decision and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28:  </w:t>
      </w:r>
      <w:r>
        <w:rPr>
          <w:rFonts w:ascii="Times New Roman" w:cs="Times New Roman" w:eastAsia="Times New Roman" w:hAnsi="Times New Roman"/>
          <w:sz w:val="19"/>
          <w:szCs w:val="19"/>
        </w:rPr>
        <w:t xml:space="preserve">Generate and verify a Groth16 proof that Poseidon(secret, expiry) equals the public commitment and that t ≤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trike/>
          <w:color w:val="FF0000"/>
          <w:sz w:val="19"/>
          <w:szCs w:val="19"/>
        </w:rPr>
        <w:t xml:space="preserve">, and record proof_mode = groth16</w:t>
      </w:r>
      <w:r>
        <w:rPr>
          <w:rFonts w:ascii="Times New Roman" w:cs="Times New Roman" w:eastAsia="Times New Roman" w:hAnsi="Times New Roman"/>
          <w:color w:val="FF0000"/>
          <w:sz w:val="19"/>
          <w:szCs w:val="19"/>
        </w:rPr>
        <w:t xml:space="preserve">   ▷ in the prototype, the proof is generated and verified before the decision matrix is evaluated</w:t>
      </w:r>
    </w:p>
    <w:p>
      <w:pPr>
        <w:keepNext/>
        <w:spacing w:after="10"/>
        <w:ind w:left="240"/>
      </w:pPr>
      <w:r>
        <w:rPr>
          <w:rFonts w:ascii="Times New Roman" w:cs="Times New Roman" w:eastAsia="Times New Roman" w:hAnsi="Times New Roman"/>
          <w:color w:val="555555"/>
          <w:sz w:val="16"/>
          <w:szCs w:val="16"/>
        </w:rPr>
        <w:t xml:space="preserve">29: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the proof does not verify </w:t>
      </w:r>
      <w:r>
        <w:rPr>
          <w:rFonts w:ascii="Times New Roman" w:cs="Times New Roman" w:eastAsia="Times New Roman" w:hAnsi="Times New Roman"/>
          <w:b/>
          <w:bCs/>
          <w:sz w:val="19"/>
          <w:szCs w:val="19"/>
        </w:rPr>
        <w:t xml:space="preserve">then</w:t>
      </w:r>
      <w:r>
        <w:rPr>
          <w:rFonts w:ascii="Times New Roman" w:cs="Times New Roman" w:eastAsia="Times New Roman" w:hAnsi="Times New Roman"/>
          <w:sz w:val="19"/>
          <w:szCs w:val="19"/>
        </w:rPr>
        <w:t xml:space="preserve"> Record denied decision and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30:  </w:t>
      </w:r>
      <w:r>
        <w:rPr>
          <w:rFonts w:ascii="Times New Roman" w:cs="Times New Roman" w:eastAsia="Times New Roman" w:hAnsi="Times New Roman"/>
          <w:sz w:val="19"/>
          <w:szCs w:val="19"/>
        </w:rPr>
        <w:t xml:space="preserve">Retrieve authorised healthcare data</w:t>
      </w:r>
    </w:p>
    <w:p>
      <w:pPr>
        <w:keepNext/>
        <w:spacing w:after="10"/>
        <w:ind w:left="240"/>
      </w:pPr>
      <w:r>
        <w:rPr>
          <w:rFonts w:ascii="Times New Roman" w:cs="Times New Roman" w:eastAsia="Times New Roman" w:hAnsi="Times New Roman"/>
          <w:color w:val="555555"/>
          <w:sz w:val="16"/>
          <w:szCs w:val="16"/>
        </w:rPr>
        <w:t xml:space="preserve">31:  </w:t>
      </w:r>
      <w:r>
        <w:rPr>
          <w:rFonts w:ascii="Times New Roman" w:cs="Times New Roman" w:eastAsia="Times New Roman" w:hAnsi="Times New Roman"/>
          <w:sz w:val="19"/>
          <w:szCs w:val="19"/>
        </w:rPr>
        <w:t xml:space="preserve">Record granted decision</w:t>
      </w:r>
      <w:r>
        <w:rPr>
          <w:rFonts w:ascii="Times New Roman" w:cs="Times New Roman" w:eastAsia="Times New Roman" w:hAnsi="Times New Roman"/>
          <w:color w:val="FF0000"/>
          <w:sz w:val="19"/>
          <w:szCs w:val="19"/>
        </w:rPr>
        <w:t xml:space="preserve"> with proof_mode = groth16</w:t>
      </w:r>
    </w:p>
    <w:p>
      <w:pPr>
        <w:keepNext w:val="false"/>
        <w:spacing w:after="10"/>
        <w:ind w:left="240"/>
      </w:pPr>
      <w:r>
        <w:rPr>
          <w:rFonts w:ascii="Times New Roman" w:cs="Times New Roman" w:eastAsia="Times New Roman" w:hAnsi="Times New Roman"/>
          <w:color w:val="555555"/>
          <w:sz w:val="16"/>
          <w:szCs w:val="16"/>
        </w:rPr>
        <w:t xml:space="preserve">32: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ALLOW</w:t>
      </w:r>
    </w:p>
    <w:p>
      <w:pPr>
        <w:pBdr>
          <w:bottom w:val="single" w:color="000000" w:sz="12"/>
        </w:pBdr>
        <w:spacing w:after="200"/>
      </w:pPr>
    </w:p>
    <w:p>
      <w:pPr>
        <w:spacing w:after="110" w:line="264"/>
        <w:jc w:val="both"/>
      </w:pPr>
      <w:r>
        <w:rPr>
          <w:rFonts w:ascii="Times New Roman" w:cs="Times New Roman" w:eastAsia="Times New Roman" w:hAnsi="Times New Roman"/>
          <w:sz w:val="22"/>
          <w:szCs w:val="22"/>
        </w:rPr>
        <w:t xml:space="preserve">The algorithm demonstrates that policy evaluation is performed after identity and multi-party authorisation verification but before data release. This ordering is important because it prevents the system from treating identity validity or collective approval as unrestricted permission. A successfully authenticated participant is not automatically granted access. The system must not only determine whether a consent exists, but also evaluate whether the current request satisfies the consent's scope and purpose constraints. The decision is based on the conjunction of identity validity, active consent, sufficient multi-party approval, purpose compatibility, scope containment, temporal validity, and jurisdictional match. Once the request has been successfully authorised, the system retrieves only the healthcare data satisfying the authorised scope, so that the returned data remain a subset of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This prevents a mismatch between the policy decision and the actual data returned to the requester. Both granted and denied requests should be recorded to support accountability and auditability.</w:t>
      </w:r>
    </w:p>
    <w:p>
      <w:pPr>
        <w:pStyle w:val="Heading2"/>
        <w:keepNext/>
        <w:spacing w:after="120" w:before="240"/>
      </w:pPr>
      <w:r>
        <w:rPr>
          <w:rFonts w:ascii="Times New Roman" w:cs="Times New Roman" w:eastAsia="Times New Roman" w:hAnsi="Times New Roman"/>
          <w:b/>
          <w:bCs/>
          <w:sz w:val="26"/>
          <w:szCs w:val="26"/>
        </w:rPr>
        <w:t xml:space="preserve">9.4  </w:t>
      </w:r>
      <w:r>
        <w:rPr>
          <w:rFonts w:ascii="Times New Roman" w:cs="Times New Roman" w:eastAsia="Times New Roman" w:hAnsi="Times New Roman"/>
          <w:b/>
          <w:bCs/>
          <w:sz w:val="26"/>
          <w:szCs w:val="26"/>
        </w:rPr>
        <w:t xml:space="preserve">Implementation Qualifications</w:t>
      </w:r>
    </w:p>
    <w:p>
      <w:pPr>
        <w:spacing w:after="110" w:line="264"/>
        <w:jc w:val="both"/>
      </w:pPr>
      <w:r>
        <w:rPr>
          <w:rFonts w:ascii="Times New Roman" w:cs="Times New Roman" w:eastAsia="Times New Roman" w:hAnsi="Times New Roman"/>
          <w:sz w:val="22"/>
          <w:szCs w:val="22"/>
        </w:rPr>
        <w:t xml:space="preserve">If the policy evaluation succeeds, the system </w:t>
      </w:r>
      <w:r>
        <w:rPr>
          <w:rFonts w:ascii="Times New Roman" w:cs="Times New Roman" w:eastAsia="Times New Roman" w:hAnsi="Times New Roman"/>
          <w:strike/>
          <w:color w:val="FF0000"/>
          <w:sz w:val="22"/>
          <w:szCs w:val="22"/>
        </w:rPr>
        <w:t xml:space="preserve">generates and verifies</w:t>
      </w:r>
      <w:r>
        <w:rPr>
          <w:rFonts w:ascii="Times New Roman" w:cs="Times New Roman" w:eastAsia="Times New Roman" w:hAnsi="Times New Roman"/>
          <w:color w:val="FF0000"/>
          <w:sz w:val="22"/>
          <w:szCs w:val="22"/>
        </w:rPr>
        <w:t xml:space="preserve">requires</w:t>
      </w:r>
      <w:r>
        <w:rPr>
          <w:rFonts w:ascii="Times New Roman" w:cs="Times New Roman" w:eastAsia="Times New Roman" w:hAnsi="Times New Roman"/>
          <w:sz w:val="22"/>
          <w:szCs w:val="22"/>
        </w:rPr>
        <w:t xml:space="preserve"> the evidence supporting the access decision</w:t>
      </w:r>
      <w:r>
        <w:rPr>
          <w:rFonts w:ascii="Times New Roman" w:cs="Times New Roman" w:eastAsia="Times New Roman" w:hAnsi="Times New Roman"/>
          <w:strike/>
          <w:color w:val="FF0000"/>
          <w:sz w:val="22"/>
          <w:szCs w:val="22"/>
        </w:rPr>
        <w:t xml:space="preserve"> as</w:t>
      </w:r>
      <w:r>
        <w:rPr>
          <w:rFonts w:ascii="Times New Roman" w:cs="Times New Roman" w:eastAsia="Times New Roman" w:hAnsi="Times New Roman"/>
          <w:color w:val="FF0000"/>
          <w:sz w:val="22"/>
          <w:szCs w:val="22"/>
        </w:rPr>
        <w:t xml:space="preserve"> to be</w:t>
      </w:r>
      <w:r>
        <w:rPr>
          <w:rFonts w:ascii="Times New Roman" w:cs="Times New Roman" w:eastAsia="Times New Roman" w:hAnsi="Times New Roman"/>
          <w:sz w:val="22"/>
          <w:szCs w:val="22"/>
        </w:rPr>
        <w:t xml:space="preserve"> a Groth16 zero-knowledge proof</w:t>
      </w:r>
      <w:r>
        <w:rPr>
          <w:rFonts w:ascii="Times New Roman" w:cs="Times New Roman" w:eastAsia="Times New Roman" w:hAnsi="Times New Roman"/>
          <w:color w:val="FF0000"/>
          <w:sz w:val="22"/>
          <w:szCs w:val="22"/>
        </w:rPr>
        <w:t xml:space="preserve"> that has verified</w:t>
      </w:r>
      <w:r>
        <w:rPr>
          <w:rFonts w:ascii="Times New Roman" w:cs="Times New Roman" w:eastAsia="Times New Roman" w:hAnsi="Times New Roman"/>
          <w:color w:val="FF0000"/>
          <w:sz w:val="22"/>
          <w:szCs w:val="22"/>
        </w:rPr>
        <w:t xml:space="preserve">;</w:t>
      </w:r>
      <w:r>
        <w:rPr>
          <w:rFonts w:ascii="Times New Roman" w:cs="Times New Roman" w:eastAsia="Times New Roman" w:hAnsi="Times New Roman"/>
          <w:color w:val="FF0000"/>
          <w:sz w:val="22"/>
          <w:szCs w:val="22"/>
        </w:rPr>
        <w:t xml:space="preserve"> in the prototype, the doctor subsystem generates and verifies this proof before the decision matrix is evaluated</w:t>
      </w:r>
      <w:r>
        <w:rPr>
          <w:rFonts w:ascii="Times New Roman" w:cs="Times New Roman" w:eastAsia="Times New Roman" w:hAnsi="Times New Roman"/>
          <w:sz w:val="22"/>
          <w:szCs w:val="22"/>
        </w:rPr>
        <w:t xml:space="preserve">. The proof shows that the prover knows the secret and the expiry time </w:t>
      </w:r>
      <w:r>
        <w:rPr>
          <w:rFonts w:ascii="Times New Roman" w:cs="Times New Roman" w:eastAsia="Times New Roman" w:hAnsi="Times New Roman"/>
          <w:sz w:val="22"/>
          <w:szCs w:val="22"/>
        </w:rPr>
        <w:t xml:space="preserve">behind a Poseidon commitment [70] held</w:t>
      </w:r>
      <w:r>
        <w:rPr>
          <w:rFonts w:ascii="Times New Roman" w:cs="Times New Roman" w:eastAsia="Times New Roman" w:hAnsi="Times New Roman"/>
          <w:sz w:val="22"/>
          <w:szCs w:val="22"/>
        </w:rPr>
        <w:t xml:space="preserve"> in the application's consent record, and that the consent has not expired at time t. The proof mode is recorded with the decision in the audit ledger, and the proof constitutes the access evidence required by Algorithm 4 before any data are retrieved. This evidence provides an auditable relationship between the access request and the conditions that justified the resulting authorisation.</w:t>
      </w:r>
    </w:p>
    <w:p>
      <w:pPr>
        <w:spacing w:after="110" w:line="264"/>
        <w:jc w:val="both"/>
      </w:pPr>
      <w:r>
        <w:rPr>
          <w:rFonts w:ascii="Times New Roman" w:cs="Times New Roman" w:eastAsia="Times New Roman" w:hAnsi="Times New Roman"/>
          <w:sz w:val="22"/>
          <w:szCs w:val="22"/>
        </w:rPr>
        <w:t xml:space="preserve">In the demonstrated prototype, the doctor does not declare a separate request purpose. The consent purpose is validated to ensure that the purpose is explicitly specified and conforms to the supported healthcare-use policies of Treatment, Research, and Emergency. The purpose is subsequently bound to the consent object as keccak256(purpose) stored on-chain. Consequently,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does not yet compare the purpose specified in the access request with the purpose permitted by the consent object. The formal analysis showing that there is no execution path where the system can violate the privacy policy will be conducted as part of next stage works.</w:t>
      </w:r>
    </w:p>
    <w:p>
      <w:pPr>
        <w:spacing w:after="110" w:line="264"/>
        <w:jc w:val="both"/>
      </w:pPr>
      <w:r>
        <w:rPr>
          <w:rFonts w:ascii="Times New Roman" w:cs="Times New Roman" w:eastAsia="Times New Roman" w:hAnsi="Times New Roman"/>
          <w:sz w:val="22"/>
          <w:szCs w:val="22"/>
        </w:rPr>
        <w:t xml:space="preserve">The denial for a consent that is not ACTIVE is reported in the doctor interface but is not written to the audit ledger in the current prototype. Only requests evaluated against an ACTIVE consent produce the STATE_CHECK and DATA_ACCESS records, whether the decision is GRANTED or DENIED, and the refusal that follows revocation is therefore evidenced by the interface and the automated tests rather than by a ledger row.</w:t>
      </w:r>
      <w:r>
        <w:rPr>
          <w:rFonts w:ascii="Times New Roman" w:cs="Times New Roman" w:eastAsia="Times New Roman" w:hAnsi="Times New Roman"/>
          <w:strike/>
          <w:color w:val="FF0000"/>
          <w:sz w:val="22"/>
          <w:szCs w:val="22"/>
        </w:rPr>
        <w:t xml:space="preserve"> The system verifies whether the multi-party authorisation requirement associated with consent object C has been satisfied, under the N-of-N approval rule described in Section 8.</w:t>
      </w:r>
    </w:p>
    <w:p>
      <w:pPr>
        <w:pStyle w:val="Heading2"/>
        <w:keepNext/>
        <w:spacing w:after="120" w:before="240"/>
      </w:pPr>
      <w:r>
        <w:rPr>
          <w:rFonts w:ascii="Times New Roman" w:cs="Times New Roman" w:eastAsia="Times New Roman" w:hAnsi="Times New Roman"/>
          <w:b/>
          <w:bCs/>
          <w:sz w:val="26"/>
          <w:szCs w:val="26"/>
        </w:rPr>
        <w:t xml:space="preserve">9.5  </w:t>
      </w:r>
      <w:r>
        <w:rPr>
          <w:rFonts w:ascii="Times New Roman" w:cs="Times New Roman" w:eastAsia="Times New Roman" w:hAnsi="Times New Roman"/>
          <w:b/>
          <w:bCs/>
          <w:sz w:val="26"/>
          <w:szCs w:val="26"/>
        </w:rPr>
        <w:t xml:space="preserve">Outcome of RO4</w:t>
      </w:r>
    </w:p>
    <w:p>
      <w:pPr>
        <w:spacing w:after="110" w:line="264"/>
        <w:jc w:val="both"/>
      </w:pPr>
      <w:r>
        <w:rPr>
          <w:rFonts w:ascii="Times New Roman" w:cs="Times New Roman" w:eastAsia="Times New Roman" w:hAnsi="Times New Roman"/>
          <w:sz w:val="22"/>
          <w:szCs w:val="22"/>
        </w:rPr>
        <w:t xml:space="preserve">RO4 has been completed at the conceptual and prototype level. RO4 represents the third layer of the framework beyond identity and multi-party approval. In the formal model,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evaluates to 0 for the over-scope request given above, and the prototype refuses such a request with the scope named as the failed check. The interface itself allows a requested scope to be selected from the consent scope only. The unit-level adversarial tests verify that a participant cannot obtain healthcare resources outside the scope authorised by the patient's consent, even when the participant possesses a valid identity and authority credential. The adversarial test set is particularly important because a framework should not only demonstrate that legitimate requests succeed, but also demonstrate resilience against foreseeable attempts to bypass its security controls. An empty request scope was blocked only by the interface before the hardening of 1 October 2026, and it is now also refused by the scope check itself.</w:t>
      </w:r>
    </w:p>
    <w:p>
      <w:pPr>
        <w:spacing w:after="110" w:line="264"/>
        <w:jc w:val="both"/>
      </w:pPr>
      <w:r>
        <w:rPr>
          <w:rFonts w:ascii="Times New Roman" w:cs="Times New Roman" w:eastAsia="Times New Roman" w:hAnsi="Times New Roman"/>
          <w:sz w:val="22"/>
          <w:szCs w:val="22"/>
        </w:rPr>
        <w:t xml:space="preserve">Every denial names the failed checks in the interface. Each consent specification and access request is accepted only when the required fields are valid. Malformed identifiers, scopes, and jurisdictions therefore do not reach the decision logic. The procedure also implements the principle of least privilege through the explicit scope-containment condition S</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Consequently, even when a participant possesses a valid DID, a valid VC, and sufficient authority, the participant cannot retrieve healthcare resources outside the scope explicitly authorised by the consent. Similarly, a valid consent cannot be used for an unsupported purpose or before the required multi-party authorisation threshold has been reached.</w:t>
      </w:r>
    </w:p>
    <w:p>
      <w:pPr>
        <w:spacing w:after="110" w:line="264"/>
        <w:jc w:val="both"/>
      </w:pPr>
      <w:r>
        <w:rPr>
          <w:rFonts w:ascii="Times New Roman" w:cs="Times New Roman" w:eastAsia="Times New Roman" w:hAnsi="Times New Roman"/>
          <w:sz w:val="22"/>
          <w:szCs w:val="22"/>
        </w:rPr>
        <w:t xml:space="preserve">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 This architecture transforms healthcare data access from a simple credential-based permission check into an evidence-based authorisation process. Consent therefore becomes an active authorisation constraint rather than a historical indication that a participant was once granted permission. Section 11 demonstrates on the live system that a request is permitted only when the requested data scope is contained within the authorised scope.</w:t>
      </w:r>
    </w:p>
    <w:p>
      <w:pPr>
        <w:pStyle w:val="Heading1"/>
        <w:pageBreakBefore/>
        <w:spacing w:after="200" w:before="120"/>
      </w:pPr>
      <w:r>
        <w:rPr>
          <w:rFonts w:ascii="Times New Roman" w:cs="Times New Roman" w:eastAsia="Times New Roman" w:hAnsi="Times New Roman"/>
          <w:b/>
          <w:bCs/>
          <w:sz w:val="32"/>
          <w:szCs w:val="32"/>
        </w:rPr>
        <w:t xml:space="preserve">10.  The Proposed Solution for RO5</w:t>
      </w:r>
    </w:p>
    <w:p>
      <w:pPr>
        <w:spacing w:after="140" w:before="0"/>
      </w:pPr>
      <w:r>
        <w:rPr>
          <w:rFonts w:ascii="Times New Roman" w:cs="Times New Roman" w:eastAsia="Times New Roman" w:hAnsi="Times New Roman"/>
          <w:b/>
          <w:bCs/>
          <w:i/>
          <w:iCs/>
          <w:sz w:val="26"/>
          <w:szCs w:val="26"/>
        </w:rPr>
        <w:t xml:space="preserve">RO5 – Temporal and Lifecycle Trust</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In Progress (partially completed)</w:t>
      </w:r>
    </w:p>
    <w:p>
      <w:pPr>
        <w:spacing w:after="110" w:line="264"/>
        <w:jc w:val="both"/>
      </w:pPr>
      <w:r>
        <w:rPr>
          <w:rFonts w:ascii="Times New Roman" w:cs="Times New Roman" w:eastAsia="Times New Roman" w:hAnsi="Times New Roman"/>
          <w:sz w:val="22"/>
          <w:szCs w:val="22"/>
        </w:rPr>
        <w:t xml:space="preserve">RO5 addresses RQ5 and extends the foundational authorisation model with temporal validity and consent lifecycle controls. This objective </w:t>
      </w:r>
      <w:r>
        <w:rPr>
          <w:rFonts w:ascii="Times New Roman" w:cs="Times New Roman" w:eastAsia="Times New Roman" w:hAnsi="Times New Roman"/>
          <w:sz w:val="22"/>
          <w:szCs w:val="22"/>
        </w:rPr>
        <w:t xml:space="preserve">was originally planned for the next stage because</w:t>
      </w:r>
      <w:r>
        <w:rPr>
          <w:rFonts w:ascii="Times New Roman" w:cs="Times New Roman" w:eastAsia="Times New Roman" w:hAnsi="Times New Roman"/>
          <w:sz w:val="22"/>
          <w:szCs w:val="22"/>
        </w:rPr>
        <w:t xml:space="preserve"> it investigates how an authorisation remains trustworthy as time passes and as the consent state changes. The objective is to ensure that an authorisation remains valid only within its permitted time interval and lifecycle state. It must also ensure that expiration, revocation, and unauthorised state transitions are correctly enforced.</w:t>
      </w:r>
    </w:p>
    <w:p>
      <w:pPr>
        <w:pStyle w:val="Heading2"/>
        <w:keepNext/>
        <w:spacing w:after="120" w:before="240"/>
      </w:pPr>
      <w:r>
        <w:rPr>
          <w:rFonts w:ascii="Times New Roman" w:cs="Times New Roman" w:eastAsia="Times New Roman" w:hAnsi="Times New Roman"/>
          <w:b/>
          <w:bCs/>
          <w:sz w:val="26"/>
          <w:szCs w:val="26"/>
        </w:rPr>
        <w:t xml:space="preserve">10.1  </w:t>
      </w:r>
      <w:r>
        <w:rPr>
          <w:rFonts w:ascii="Times New Roman" w:cs="Times New Roman" w:eastAsia="Times New Roman" w:hAnsi="Times New Roman"/>
          <w:b/>
          <w:bCs/>
          <w:sz w:val="26"/>
          <w:szCs w:val="26"/>
        </w:rPr>
        <w:t xml:space="preserve">Temporal </w:t>
      </w:r>
      <w:r>
        <w:rPr>
          <w:rFonts w:ascii="Times New Roman" w:cs="Times New Roman" w:eastAsia="Times New Roman" w:hAnsi="Times New Roman"/>
          <w:b/>
          <w:bCs/>
          <w:strike/>
          <w:color w:val="FF0000"/>
          <w:sz w:val="26"/>
          <w:szCs w:val="26"/>
        </w:rPr>
        <w:t xml:space="preserve">and Jurisdictional </w:t>
      </w:r>
      <w:r>
        <w:rPr>
          <w:rFonts w:ascii="Times New Roman" w:cs="Times New Roman" w:eastAsia="Times New Roman" w:hAnsi="Times New Roman"/>
          <w:b/>
          <w:bCs/>
          <w:sz w:val="26"/>
          <w:szCs w:val="26"/>
        </w:rPr>
        <w:t xml:space="preserve">Trust Conditions</w:t>
      </w:r>
    </w:p>
    <w:p>
      <w:pPr>
        <w:spacing w:after="110" w:line="264"/>
        <w:jc w:val="both"/>
      </w:pPr>
      <w:r>
        <w:rPr>
          <w:rFonts w:ascii="Times New Roman" w:cs="Times New Roman" w:eastAsia="Times New Roman" w:hAnsi="Times New Roman"/>
          <w:sz w:val="22"/>
          <w:szCs w:val="22"/>
        </w:rPr>
        <w:t xml:space="preserve">Trustworthy authorisation is inherently dynamic. A consent that is valid at one point in time cannot necessarily be assumed to remain valid indefinitely. The system compares the current time t with the consent validity interval, and Equation (20) defines the temporal predicate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T</w:t>
      </w:r>
      <w:r>
        <w:rPr>
          <w:rFonts w:ascii="Cambria Math" w:cs="Cambria Math" w:eastAsia="Cambria Math" w:hAnsi="Cambria Math"/>
          <w:i w:val="false"/>
          <w:iCs w:val="false"/>
          <w:sz w:val="21"/>
          <w:szCs w:val="21"/>
        </w:rPr>
        <w:t xml:space="preserve">(C, t) = 1 if t</w:t>
      </w:r>
      <w:r>
        <w:rPr>
          <w:rFonts w:ascii="Cambria Math" w:cs="Cambria Math" w:eastAsia="Cambria Math" w:hAnsi="Cambria Math"/>
          <w:i w:val="false"/>
          <w:iCs w:val="false"/>
          <w:sz w:val="21"/>
          <w:szCs w:val="21"/>
          <w:vertAlign w:val="subscript"/>
        </w:rPr>
        <w:t xml:space="preserve">s</w:t>
      </w:r>
      <w:r>
        <w:rPr>
          <w:rFonts w:ascii="Cambria Math" w:cs="Cambria Math" w:eastAsia="Cambria Math" w:hAnsi="Cambria Math"/>
          <w:i w:val="false"/>
          <w:iCs w:val="false"/>
          <w:sz w:val="21"/>
          <w:szCs w:val="21"/>
        </w:rPr>
        <w:t xml:space="preserve"> ≤ t ≤ t</w:t>
      </w:r>
      <w:r>
        <w:rPr>
          <w:rFonts w:ascii="Cambria Math" w:cs="Cambria Math" w:eastAsia="Cambria Math" w:hAnsi="Cambria Math"/>
          <w:i w:val="false"/>
          <w:iCs w:val="false"/>
          <w:sz w:val="21"/>
          <w:szCs w:val="21"/>
          <w:vertAlign w:val="subscript"/>
        </w:rPr>
        <w:t xml:space="preserve">e</w:t>
      </w:r>
      <w:r>
        <w:rPr>
          <w:rFonts w:ascii="Cambria Math" w:cs="Cambria Math" w:eastAsia="Cambria Math" w:hAnsi="Cambria Math"/>
          <w:i w:val="false"/>
          <w:iCs w:val="false"/>
          <w:sz w:val="21"/>
          <w:szCs w:val="21"/>
        </w:rPr>
        <w:t xml:space="preserve">, and 0 otherwise.</w:t>
      </w:r>
      <w:r>
        <w:rPr>
          <w:rFonts w:ascii="Times New Roman" w:cs="Times New Roman" w:eastAsia="Times New Roman" w:hAnsi="Times New Roman"/>
          <w:sz w:val="22"/>
          <w:szCs w:val="22"/>
        </w:rPr>
        <w:t xml:space="preserve">	(20)</w:t>
      </w:r>
    </w:p>
    <w:p>
      <w:pPr>
        <w:spacing w:after="110" w:line="264"/>
        <w:jc w:val="both"/>
      </w:pPr>
      <w:r>
        <w:rPr>
          <w:rFonts w:ascii="Times New Roman" w:cs="Times New Roman" w:eastAsia="Times New Roman" w:hAnsi="Times New Roman"/>
          <w:sz w:val="22"/>
          <w:szCs w:val="22"/>
        </w:rPr>
        <w:t xml:space="preserve">Equation (21) defines the jurisdictional predicate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which compares the jurisdiction of request R with the consent jurisdiction L, </w:t>
      </w:r>
      <w:r>
        <w:rPr>
          <w:rFonts w:ascii="Times New Roman" w:cs="Times New Roman" w:eastAsia="Times New Roman" w:hAnsi="Times New Roman"/>
          <w:sz w:val="22"/>
          <w:szCs w:val="22"/>
        </w:rPr>
        <w:t xml:space="preserve">where Jur(C) = L is the two-letter ISO code recorded with the consent and stored on-chain, and Jur(R) is the two-letter code declared with the request.</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L</w:t>
      </w:r>
      <w:r>
        <w:rPr>
          <w:rFonts w:ascii="Cambria Math" w:cs="Cambria Math" w:eastAsia="Cambria Math" w:hAnsi="Cambria Math"/>
          <w:i w:val="false"/>
          <w:iCs w:val="false"/>
          <w:sz w:val="21"/>
          <w:szCs w:val="21"/>
        </w:rPr>
        <w:t xml:space="preserve">(C, R) = 1 ⟺ Jur(R) = Jur(C) ∨ Jur(C) = ∅.</w:t>
      </w:r>
      <w:r>
        <w:rPr>
          <w:rFonts w:ascii="Times New Roman" w:cs="Times New Roman" w:eastAsia="Times New Roman" w:hAnsi="Times New Roman"/>
          <w:sz w:val="22"/>
          <w:szCs w:val="22"/>
        </w:rPr>
        <w:t xml:space="preserve">	(21)</w:t>
      </w:r>
    </w:p>
    <w:p>
      <w:pPr>
        <w:spacing w:after="110" w:line="264"/>
        <w:jc w:val="both"/>
      </w:pPr>
      <w:r>
        <w:rPr>
          <w:rFonts w:ascii="Times New Roman" w:cs="Times New Roman" w:eastAsia="Times New Roman" w:hAnsi="Times New Roman"/>
          <w:sz w:val="22"/>
          <w:szCs w:val="22"/>
        </w:rPr>
        <w:t xml:space="preserve">The specification is accepted only when the required fields are valid, and L is one of these fields. The disjunct Jur(C) = ∅ is therefore not reached for any consent created through the current interface, and the predicate reduces to strict equality. </w:t>
      </w:r>
      <w:r>
        <w:rPr>
          <w:rFonts w:ascii="Times New Roman" w:cs="Times New Roman" w:eastAsia="Times New Roman" w:hAnsi="Times New Roman"/>
          <w:sz w:val="22"/>
          <w:szCs w:val="22"/>
        </w:rPr>
        <w:t xml:space="preserve">As in Section 5.2, revocation and the token state remain part of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while the time-based states are evaluated within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An authorisation decision consequently requires both temporal and lifecycle validity. The extended authorisation decision is therefore given by Equation (22). A valid authorisation decision requires the simultaneous satisfaction of all relevant trust conditions. Consequently, failure of any individual condition results in denial. Temporal and lifecycle controls contribute dynamic validity.</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Decision(C, R, t) = ALLOW ⟺ V</w:t>
      </w:r>
      <w:r>
        <w:rPr>
          <w:rFonts w:ascii="Cambria Math" w:cs="Cambria Math" w:eastAsia="Cambria Math" w:hAnsi="Cambria Math"/>
          <w:i w:val="false"/>
          <w:iCs w:val="false"/>
          <w:sz w:val="18"/>
          <w:szCs w:val="18"/>
          <w:vertAlign w:val="subscript"/>
        </w:rPr>
        <w:t xml:space="preserve">I</w:t>
      </w:r>
      <w:r>
        <w:rPr>
          <w:rFonts w:ascii="Cambria Math" w:cs="Cambria Math" w:eastAsia="Cambria Math" w:hAnsi="Cambria Math"/>
          <w:i w:val="false"/>
          <w:iCs w:val="false"/>
          <w:sz w:val="18"/>
          <w:szCs w:val="18"/>
        </w:rPr>
        <w:t xml:space="preserve">(u) ∧ V</w:t>
      </w:r>
      <w:r>
        <w:rPr>
          <w:rFonts w:ascii="Cambria Math" w:cs="Cambria Math" w:eastAsia="Cambria Math" w:hAnsi="Cambria Math"/>
          <w:i w:val="false"/>
          <w:iCs w:val="false"/>
          <w:sz w:val="18"/>
          <w:szCs w:val="18"/>
          <w:vertAlign w:val="subscript"/>
        </w:rPr>
        <w:t xml:space="preserve">A</w:t>
      </w:r>
      <w:r>
        <w:rPr>
          <w:rFonts w:ascii="Cambria Math" w:cs="Cambria Math" w:eastAsia="Cambria Math" w:hAnsi="Cambria Math"/>
          <w:i w:val="false"/>
          <w:iCs w:val="false"/>
          <w:sz w:val="18"/>
          <w:szCs w:val="18"/>
        </w:rPr>
        <w:t xml:space="preserve">(C) ∧ V</w:t>
      </w:r>
      <w:r>
        <w:rPr>
          <w:rFonts w:ascii="Cambria Math" w:cs="Cambria Math" w:eastAsia="Cambria Math" w:hAnsi="Cambria Math"/>
          <w:i w:val="false"/>
          <w:iCs w:val="false"/>
          <w:sz w:val="18"/>
          <w:szCs w:val="18"/>
          <w:vertAlign w:val="subscript"/>
        </w:rPr>
        <w:t xml:space="preserve">P</w:t>
      </w:r>
      <w:r>
        <w:rPr>
          <w:rFonts w:ascii="Cambria Math" w:cs="Cambria Math" w:eastAsia="Cambria Math" w:hAnsi="Cambria Math"/>
          <w:i w:val="false"/>
          <w:iCs w:val="false"/>
          <w:sz w:val="18"/>
          <w:szCs w:val="18"/>
        </w:rPr>
        <w:t xml:space="preserve">(C, R) ∧ V</w:t>
      </w:r>
      <w:r>
        <w:rPr>
          <w:rFonts w:ascii="Cambria Math" w:cs="Cambria Math" w:eastAsia="Cambria Math" w:hAnsi="Cambria Math"/>
          <w:i w:val="false"/>
          <w:iCs w:val="false"/>
          <w:sz w:val="18"/>
          <w:szCs w:val="18"/>
          <w:vertAlign w:val="subscript"/>
        </w:rPr>
        <w:t xml:space="preserve">T</w:t>
      </w:r>
      <w:r>
        <w:rPr>
          <w:rFonts w:ascii="Cambria Math" w:cs="Cambria Math" w:eastAsia="Cambria Math" w:hAnsi="Cambria Math"/>
          <w:i w:val="false"/>
          <w:iCs w:val="false"/>
          <w:sz w:val="18"/>
          <w:szCs w:val="18"/>
        </w:rPr>
        <w:t xml:space="preserve">(C, t) ∧ V</w:t>
      </w:r>
      <w:r>
        <w:rPr>
          <w:rFonts w:ascii="Cambria Math" w:cs="Cambria Math" w:eastAsia="Cambria Math" w:hAnsi="Cambria Math"/>
          <w:i w:val="false"/>
          <w:iCs w:val="false"/>
          <w:sz w:val="18"/>
          <w:szCs w:val="18"/>
          <w:vertAlign w:val="subscript"/>
        </w:rPr>
        <w:t xml:space="preserve">L</w:t>
      </w:r>
      <w:r>
        <w:rPr>
          <w:rFonts w:ascii="Cambria Math" w:cs="Cambria Math" w:eastAsia="Cambria Math" w:hAnsi="Cambria Math"/>
          <w:i w:val="false"/>
          <w:iCs w:val="false"/>
          <w:sz w:val="18"/>
          <w:szCs w:val="18"/>
        </w:rPr>
        <w:t xml:space="preserve">(C, R).</w:t>
      </w:r>
      <w:r>
        <w:rPr>
          <w:rFonts w:ascii="Times New Roman" w:cs="Times New Roman" w:eastAsia="Times New Roman" w:hAnsi="Times New Roman"/>
          <w:sz w:val="22"/>
          <w:szCs w:val="22"/>
        </w:rPr>
        <w:t xml:space="preserve">	(22)</w:t>
      </w:r>
    </w:p>
    <w:p>
      <w:pPr>
        <w:spacing w:after="110" w:line="264"/>
        <w:jc w:val="both"/>
      </w:pPr>
      <w:r>
        <w:rPr>
          <w:rFonts w:ascii="Times New Roman" w:cs="Times New Roman" w:eastAsia="Times New Roman" w:hAnsi="Times New Roman"/>
          <w:sz w:val="22"/>
          <w:szCs w:val="22"/>
        </w:rPr>
        <w:t xml:space="preserve">Authorisation is not necessarily permanent. A consent that was valid when initially approved may subsequently become invalid due to expiration or revocation. This establishes that consent validity is not a static property. The purpose of RO5 is not simply to add an expiry field. It is to ensure that the validity of a consent depends on both its temporal interval and its current lifecycle state. A consent that has expired or been revoked must not remain usable merely because its original approval threshold was satisfied. The existence of a consent record in the system does not imply that the consent remains effective.</w:t>
      </w:r>
    </w:p>
    <w:p>
      <w:pPr>
        <w:pStyle w:val="Heading2"/>
        <w:keepNext/>
        <w:spacing w:after="120" w:before="240"/>
      </w:pPr>
      <w:r>
        <w:rPr>
          <w:rFonts w:ascii="Times New Roman" w:cs="Times New Roman" w:eastAsia="Times New Roman" w:hAnsi="Times New Roman"/>
          <w:b/>
          <w:bCs/>
          <w:sz w:val="26"/>
          <w:szCs w:val="26"/>
        </w:rPr>
        <w:t xml:space="preserve">10.2  </w:t>
      </w:r>
      <w:r>
        <w:rPr>
          <w:rFonts w:ascii="Times New Roman" w:cs="Times New Roman" w:eastAsia="Times New Roman" w:hAnsi="Times New Roman"/>
          <w:b/>
          <w:bCs/>
          <w:sz w:val="26"/>
          <w:szCs w:val="26"/>
        </w:rPr>
        <w:t xml:space="preserve">Implemented Temporal and Lifecycle Controls</w:t>
      </w:r>
    </w:p>
    <w:p>
      <w:pPr>
        <w:spacing w:after="110" w:line="264"/>
        <w:jc w:val="both"/>
      </w:pPr>
      <w:r>
        <w:rPr>
          <w:rFonts w:ascii="Times New Roman" w:cs="Times New Roman" w:eastAsia="Times New Roman" w:hAnsi="Times New Roman"/>
          <w:sz w:val="22"/>
          <w:szCs w:val="22"/>
        </w:rPr>
        <w:t xml:space="preserve">Figure 12 presents the RO5 workflow, which evaluates the consent’s temporal interval, lifecycle state, and revocation status before the system proceeds with the remaining authorisation conditions. This design ensures that a consent is not treated as permanently valid after it has expired or entered a state that no longer permits access. Temporal conditions and lifecycle state are represented in the Model, while their validity is evaluated by the Controller before an access decision is produced. The Consent Engine evaluates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and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from the application record, whereas the independent verification tool reads checkValid and checkValidAt on the deployed contract, which stores the notBefore and expiry fields.</w:t>
      </w:r>
    </w:p>
    <w:p>
      <w:pPr>
        <w:keepNext/>
        <w:spacing w:after="60" w:before="160"/>
        <w:jc w:val="center"/>
      </w:pPr>
      <w:r>
        <w:drawing>
          <wp:inline distT="0" distB="0" distL="0" distR="0">
            <wp:extent cx="2990850" cy="4286250"/>
            <wp:effectExtent t="0" r="0" b="0" l="0"/>
            <wp:docPr id="1" name="F15.png" descr="RO5 workflow for temporal and consent lifecycle trust" title="RO5 workflow for temporal and consent lifecycle tr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990850" cy="4286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12: </w:t>
      </w:r>
      <w:r>
        <w:rPr>
          <w:rFonts w:ascii="Times New Roman" w:cs="Times New Roman" w:eastAsia="Times New Roman" w:hAnsi="Times New Roman"/>
          <w:sz w:val="18"/>
          <w:szCs w:val="18"/>
        </w:rPr>
        <w:t xml:space="preserve">RO5 workflow for temporal and consent lifecycle trust</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current HALAH code already collects a start time and expiry time during consent creation, and three elements of RO5 are now enforced.</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Temporal validity.</w:t>
      </w:r>
      <w:r>
        <w:rPr>
          <w:rFonts w:ascii="Times New Roman" w:cs="Times New Roman" w:eastAsia="Times New Roman" w:hAnsi="Times New Roman"/>
          <w:sz w:val="22"/>
          <w:szCs w:val="22"/>
        </w:rPr>
        <w:t xml:space="preserve"> At every access request, the system compares the current time t with the consent validity interval. This step prevents a consent from being used before its effective start time or after its expiration time. At consent creation, the expiry time must be later than the start time. These temporal attributes define the period during which the consent is potentially valid.</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On-chain revocation.</w:t>
      </w:r>
      <w:r>
        <w:rPr>
          <w:rFonts w:ascii="Times New Roman" w:cs="Times New Roman" w:eastAsia="Times New Roman" w:hAnsi="Times New Roman"/>
          <w:sz w:val="22"/>
          <w:szCs w:val="22"/>
        </w:rPr>
        <w:t xml:space="preserve"> Revocation represents a deliberate termination of the previously granted consent and must therefore override an otherwise valid temporal interval. The patient's withdrawal is confirmed as a revoke transaction on Sepolia in block 11,771,307, after which the contract reports the token as no longer valid. The blockchain or token layer provides persistence, traceability, and evidence of the resulting state. For subsequent requests, the system explicitly checks whether consent object C has been revoked in the local store. If the state is not ACTIVE, the access request is denied, and the refusal is reported in the doctor interface rather than written to the audit ledger in the current prototype.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Lifecycle states.</w:t>
      </w:r>
      <w:r>
        <w:rPr>
          <w:rFonts w:ascii="Times New Roman" w:cs="Times New Roman" w:eastAsia="Times New Roman" w:hAnsi="Times New Roman"/>
          <w:sz w:val="22"/>
          <w:szCs w:val="22"/>
        </w:rPr>
        <w:t xml:space="preserve"> The lifecycle is an explicit state machine with six states PENDING_SIGNATURE, PENDING_TOKEN, NOT_STARTED, ACTIVE, EXPIRED, and REVOKED. Each evaluation derives the state from the distinct approvals of members of G, the token identifier, the revocation flag, and the current time.</w:t>
      </w:r>
      <w:r>
        <w:rPr>
          <w:rFonts w:ascii="Times New Roman" w:cs="Times New Roman" w:eastAsia="Times New Roman" w:hAnsi="Times New Roman"/>
          <w:color w:val="FF0000"/>
          <w:sz w:val="22"/>
          <w:szCs w:val="22"/>
        </w:rPr>
        <w:t xml:space="preserve"> PENDING_TOKEN is the brief state between the last verified approval and the recording of the local token identifier</w:t>
      </w:r>
      <w:r>
        <w:rPr>
          <w:rFonts w:ascii="Times New Roman" w:cs="Times New Roman" w:eastAsia="Times New Roman" w:hAnsi="Times New Roman"/>
          <w:color w:val="FF0000"/>
          <w:sz w:val="22"/>
          <w:szCs w:val="22"/>
        </w:rPr>
        <w:t xml:space="preserve">;</w:t>
      </w:r>
      <w:r>
        <w:rPr>
          <w:rFonts w:ascii="Times New Roman" w:cs="Times New Roman" w:eastAsia="Times New Roman" w:hAnsi="Times New Roman"/>
          <w:color w:val="FF0000"/>
          <w:sz w:val="22"/>
          <w:szCs w:val="22"/>
        </w:rPr>
        <w:t xml:space="preserve"> the implementation performs the two in one step, which is why Algorithm 3 and Figure 10 show them together.</w:t>
      </w:r>
      <w:r>
        <w:rPr>
          <w:rFonts w:ascii="Times New Roman" w:cs="Times New Roman" w:eastAsia="Times New Roman" w:hAnsi="Times New Roman"/>
          <w:sz w:val="22"/>
          <w:szCs w:val="22"/>
        </w:rPr>
        <w:t xml:space="preserve"> </w:t>
      </w:r>
      <w:r>
        <w:rPr>
          <w:rFonts w:ascii="Times New Roman" w:cs="Times New Roman" w:eastAsia="Times New Roman" w:hAnsi="Times New Roman"/>
          <w:strike/>
          <w:color w:val="FF0000"/>
          <w:sz w:val="22"/>
          <w:szCs w:val="22"/>
        </w:rPr>
        <w:t xml:space="preserve">In particular,</w:t>
      </w:r>
      <w:r>
        <w:rPr>
          <w:rFonts w:ascii="Times New Roman" w:cs="Times New Roman" w:eastAsia="Times New Roman" w:hAnsi="Times New Roman"/>
          <w:color w:val="FF0000"/>
          <w:sz w:val="22"/>
          <w:szCs w:val="22"/>
        </w:rPr>
        <w:t xml:space="preserve">At each evaluation,</w:t>
      </w:r>
      <w:r>
        <w:rPr>
          <w:rFonts w:ascii="Times New Roman" w:cs="Times New Roman" w:eastAsia="Times New Roman" w:hAnsi="Times New Roman"/>
          <w:sz w:val="22"/>
          <w:szCs w:val="22"/>
        </w:rPr>
        <w:t xml:space="preserve"> the system verifies that the consent has not expired, been revoked, or otherwise transitioned into an inactive state. The current state is used to determine whether the requested operation can legally and logically be performed.</w:t>
      </w:r>
    </w:p>
    <w:p>
      <w:pPr>
        <w:spacing w:after="110" w:line="264"/>
        <w:jc w:val="both"/>
      </w:pPr>
      <w:r>
        <w:rPr>
          <w:rFonts w:ascii="Times New Roman" w:cs="Times New Roman" w:eastAsia="Times New Roman" w:hAnsi="Times New Roman"/>
          <w:sz w:val="22"/>
          <w:szCs w:val="22"/>
        </w:rPr>
        <w:t xml:space="preserve">Figure 13 summarises the implemented lifecycle. Each STATE_CHECK event in the audit ledger, recorded at every access request evaluated against an ACTIVE consent, establishes an auditable relationship between the consent’s lifecycle state and the operation performed at a particular point in time. Rather than treating authorisation as a one-time event, this approach enables the system to determine whether authorisation remains valid at the precise time an operation is requested. The expiry path is not shown in the demonstration, because a window long enough for screenshots cannot expire during it, but the automated tests in Section 11 exercise it.</w:t>
      </w:r>
    </w:p>
    <w:p>
      <w:pPr>
        <w:keepNext/>
        <w:spacing w:after="60" w:before="160"/>
        <w:jc w:val="center"/>
      </w:pPr>
      <w:r>
        <w:drawing>
          <wp:inline distT="0" distB="0" distL="0" distR="0">
            <wp:extent cx="4476750" cy="1762125"/>
            <wp:effectExtent t="0" r="0" b="0" l="0"/>
            <wp:docPr id="1" name="F35.png" descr="Implemented consent lifecycle: grey transitions are derived by the Consent Engine from the approvals, the token identifier and the current time, red transitions are anchored as Sepolia transactions, and dashed transitions show revocation before a token exists (off-chain only)" title="Implemented consent lifecycle: grey transitions are derived by the Consent Engine from the approvals, the token identifier and the current time, red transitions are anchored as Sepolia transactions, and dashed transitions show revocation before a token exists (off-chai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176212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13: </w:t>
      </w:r>
      <w:r>
        <w:rPr>
          <w:rFonts w:ascii="Times New Roman" w:cs="Times New Roman" w:eastAsia="Times New Roman" w:hAnsi="Times New Roman"/>
          <w:sz w:val="18"/>
          <w:szCs w:val="18"/>
        </w:rPr>
        <w:t xml:space="preserve">Implemented consent lifecycle: grey transitions are derived by the Consent Engine from the approvals, the token identifier and the current time, red transitions are anchored as Sepolia transactions, and dashed transitions show revocation before a token exists (off-chain only)</w:t>
      </w:r>
      <w:r>
        <w:rPr>
          <w:rFonts w:ascii="Times New Roman" w:cs="Times New Roman" w:eastAsia="Times New Roman" w:hAnsi="Times New Roman"/>
          <w:sz w:val="18"/>
          <w:szCs w:val="18"/>
        </w:rPr>
        <w:t xml:space="preserve">.</w:t>
      </w:r>
    </w:p>
    <w:p>
      <w:pPr>
        <w:pStyle w:val="Heading2"/>
        <w:keepNext/>
        <w:spacing w:after="120" w:before="240"/>
      </w:pPr>
      <w:r>
        <w:rPr>
          <w:rFonts w:ascii="Times New Roman" w:cs="Times New Roman" w:eastAsia="Times New Roman" w:hAnsi="Times New Roman"/>
          <w:b/>
          <w:bCs/>
          <w:sz w:val="26"/>
          <w:szCs w:val="26"/>
        </w:rPr>
        <w:t xml:space="preserve">10.3  </w:t>
      </w:r>
      <w:r>
        <w:rPr>
          <w:rFonts w:ascii="Times New Roman" w:cs="Times New Roman" w:eastAsia="Times New Roman" w:hAnsi="Times New Roman"/>
          <w:b/>
          <w:bCs/>
          <w:sz w:val="26"/>
          <w:szCs w:val="26"/>
        </w:rPr>
        <w:t xml:space="preserve">Remaining Work and Expected Outcome</w:t>
      </w:r>
    </w:p>
    <w:p>
      <w:pPr>
        <w:spacing w:after="110" w:line="264"/>
        <w:jc w:val="both"/>
      </w:pPr>
      <w:r>
        <w:rPr>
          <w:rFonts w:ascii="Times New Roman" w:cs="Times New Roman" w:eastAsia="Times New Roman" w:hAnsi="Times New Roman"/>
          <w:sz w:val="22"/>
          <w:szCs w:val="22"/>
        </w:rPr>
        <w:t xml:space="preserve">In dynamic consent environments, permissions may expire, be revoked, suspended, renewed, or otherwise modified during the lifecycle of a healthcare data-sharing relationship. </w:t>
      </w:r>
      <w:r>
        <w:rPr>
          <w:rFonts w:ascii="Times New Roman" w:cs="Times New Roman" w:eastAsia="Times New Roman" w:hAnsi="Times New Roman"/>
          <w:sz w:val="22"/>
          <w:szCs w:val="22"/>
        </w:rPr>
        <w:t xml:space="preserve">Five elements remain for the next stage.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Consent modification.</w:t>
      </w:r>
      <w:r>
        <w:rPr>
          <w:rFonts w:ascii="Times New Roman" w:cs="Times New Roman" w:eastAsia="Times New Roman" w:hAnsi="Times New Roman"/>
          <w:sz w:val="22"/>
          <w:szCs w:val="22"/>
        </w:rPr>
        <w:t xml:space="preserve"> The current prototype assumes that the consent terms do not change after approval. </w:t>
      </w:r>
      <w:r>
        <w:rPr>
          <w:rFonts w:ascii="Times New Roman" w:cs="Times New Roman" w:eastAsia="Times New Roman" w:hAnsi="Times New Roman"/>
          <w:sz w:val="22"/>
          <w:szCs w:val="22"/>
        </w:rPr>
        <w:t xml:space="preserve">The next stage will therefore extend</w:t>
      </w:r>
      <w:r>
        <w:rPr>
          <w:rFonts w:ascii="Times New Roman" w:cs="Times New Roman" w:eastAsia="Times New Roman" w:hAnsi="Times New Roman"/>
          <w:sz w:val="22"/>
          <w:szCs w:val="22"/>
        </w:rPr>
        <w:t xml:space="preserve"> the consent model to explicitly represent governed modification.</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Delegation.</w:t>
      </w:r>
      <w:r>
        <w:rPr>
          <w:rFonts w:ascii="Times New Roman" w:cs="Times New Roman" w:eastAsia="Times New Roman" w:hAnsi="Times New Roman"/>
          <w:sz w:val="22"/>
          <w:szCs w:val="22"/>
        </w:rPr>
        <w:t xml:space="preserve"> The consent Model will be expanded to include the delegation of consent.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Guardian-set changes.</w:t>
      </w:r>
      <w:r>
        <w:rPr>
          <w:rFonts w:ascii="Times New Roman" w:cs="Times New Roman" w:eastAsia="Times New Roman" w:hAnsi="Times New Roman"/>
          <w:sz w:val="22"/>
          <w:szCs w:val="22"/>
        </w:rPr>
        <w:t xml:space="preserve"> Changes to the guardian set G after consent creation remain to be supported.</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Transition check.</w:t>
      </w:r>
      <w:r>
        <w:rPr>
          <w:rFonts w:ascii="Times New Roman" w:cs="Times New Roman" w:eastAsia="Times New Roman" w:hAnsi="Times New Roman"/>
          <w:sz w:val="22"/>
          <w:szCs w:val="22"/>
        </w:rPr>
        <w:t xml:space="preserve"> Lifecycle safety additionally requires that unauthorised state transitions be rejected. If the transition is not permitted, the system </w:t>
      </w:r>
      <w:r>
        <w:rPr>
          <w:rFonts w:ascii="Times New Roman" w:cs="Times New Roman" w:eastAsia="Times New Roman" w:hAnsi="Times New Roman"/>
          <w:strike/>
          <w:color w:val="FF0000"/>
          <w:sz w:val="22"/>
          <w:szCs w:val="22"/>
        </w:rPr>
        <w:t xml:space="preserve">records</w:t>
      </w:r>
      <w:r>
        <w:rPr>
          <w:rFonts w:ascii="Times New Roman" w:cs="Times New Roman" w:eastAsia="Times New Roman" w:hAnsi="Times New Roman"/>
          <w:color w:val="FF0000"/>
          <w:sz w:val="22"/>
          <w:szCs w:val="22"/>
        </w:rPr>
        <w:t xml:space="preserve">will record</w:t>
      </w:r>
      <w:r>
        <w:rPr>
          <w:rFonts w:ascii="Times New Roman" w:cs="Times New Roman" w:eastAsia="Times New Roman" w:hAnsi="Times New Roman"/>
          <w:sz w:val="22"/>
          <w:szCs w:val="22"/>
        </w:rPr>
        <w:t xml:space="preserve"> an unauthorised state-transition event and </w:t>
      </w:r>
      <w:r>
        <w:rPr>
          <w:rFonts w:ascii="Times New Roman" w:cs="Times New Roman" w:eastAsia="Times New Roman" w:hAnsi="Times New Roman"/>
          <w:strike/>
          <w:color w:val="FF0000"/>
          <w:sz w:val="22"/>
          <w:szCs w:val="22"/>
        </w:rPr>
        <w:t xml:space="preserve">returns</w:t>
      </w:r>
      <w:r>
        <w:rPr>
          <w:rFonts w:ascii="Times New Roman" w:cs="Times New Roman" w:eastAsia="Times New Roman" w:hAnsi="Times New Roman"/>
          <w:color w:val="FF0000"/>
          <w:sz w:val="22"/>
          <w:szCs w:val="22"/>
        </w:rPr>
        <w:t xml:space="preserve">return</w:t>
      </w:r>
      <w:r>
        <w:rPr>
          <w:rFonts w:ascii="Times New Roman" w:cs="Times New Roman" w:eastAsia="Times New Roman" w:hAnsi="Times New Roman"/>
          <w:sz w:val="22"/>
          <w:szCs w:val="22"/>
        </w:rPr>
        <w:t xml:space="preserve"> INVALID, but this </w:t>
      </w:r>
      <w:r>
        <w:rPr>
          <w:rFonts w:ascii="Times New Roman" w:cs="Times New Roman" w:eastAsia="Times New Roman" w:hAnsi="Times New Roman"/>
          <w:strike/>
          <w:color w:val="FF0000"/>
          <w:sz w:val="22"/>
          <w:szCs w:val="22"/>
        </w:rPr>
        <w:t xml:space="preserve">is the only step not yet implemented.</w:t>
      </w:r>
      <w:r>
        <w:rPr>
          <w:rFonts w:ascii="Times New Roman" w:cs="Times New Roman" w:eastAsia="Times New Roman" w:hAnsi="Times New Roman"/>
          <w:color w:val="FF0000"/>
          <w:sz w:val="22"/>
          <w:szCs w:val="22"/>
        </w:rPr>
        <w:t xml:space="preserve">check is not yet implemented.</w:t>
      </w:r>
      <w:r>
        <w:rPr>
          <w:rFonts w:ascii="Times New Roman" w:cs="Times New Roman" w:eastAsia="Times New Roman" w:hAnsi="Times New Roman"/>
          <w:sz w:val="22"/>
          <w:szCs w:val="22"/>
        </w:rPr>
        <w:t xml:space="preserve"> </w:t>
      </w:r>
      <w:r>
        <w:rPr>
          <w:rFonts w:ascii="Times New Roman" w:cs="Times New Roman" w:eastAsia="Times New Roman" w:hAnsi="Times New Roman"/>
          <w:strike/>
          <w:color w:val="FF0000"/>
          <w:sz w:val="22"/>
          <w:szCs w:val="22"/>
        </w:rPr>
        <w:t xml:space="preserve">It therefore ensures</w:t>
      </w:r>
      <w:r>
        <w:rPr>
          <w:rFonts w:ascii="Times New Roman" w:cs="Times New Roman" w:eastAsia="Times New Roman" w:hAnsi="Times New Roman"/>
          <w:color w:val="FF0000"/>
          <w:sz w:val="22"/>
          <w:szCs w:val="22"/>
        </w:rPr>
        <w:t xml:space="preserve">The implemented temporal and revocation checks already ensure</w:t>
      </w:r>
      <w:r>
        <w:rPr>
          <w:rFonts w:ascii="Times New Roman" w:cs="Times New Roman" w:eastAsia="Times New Roman" w:hAnsi="Times New Roman"/>
          <w:sz w:val="22"/>
          <w:szCs w:val="22"/>
        </w:rPr>
        <w:t xml:space="preserve"> that a previously valid consent cannot be treated as permanently valid after expiration or revocation, but unauthorised transitions are examined only in part.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Formal lifecycle model.</w:t>
      </w:r>
      <w:r>
        <w:rPr>
          <w:rFonts w:ascii="Times New Roman" w:cs="Times New Roman" w:eastAsia="Times New Roman" w:hAnsi="Times New Roman"/>
          <w:sz w:val="22"/>
          <w:szCs w:val="22"/>
        </w:rPr>
        <w:t xml:space="preserve"> The consent lifecycle will also be extended to represent controlled transitions formally. Unauthorised transitions are thereby excluded by construction, with the central invariant that no REVOKED or EXPIRED consent can re-enter the ACTIVE state.</w:t>
      </w:r>
    </w:p>
    <w:p>
      <w:pPr>
        <w:spacing w:after="110" w:line="264"/>
        <w:jc w:val="both"/>
      </w:pPr>
      <w:r>
        <w:rPr>
          <w:rFonts w:ascii="Times New Roman" w:cs="Times New Roman" w:eastAsia="Times New Roman" w:hAnsi="Times New Roman"/>
          <w:sz w:val="22"/>
          <w:szCs w:val="22"/>
        </w:rPr>
        <w:t xml:space="preserve">The expected outcome is a lifecycle-aware consent mechanism capable of rejecting access after expiration or revocation and preventing unauthorised lifecycle transitions. The lifecycle invariant will be verified by model checking of the state machine or by proof over the predicate definitions, with the formal component of RO6 in Section 11. </w:t>
      </w:r>
      <w:r>
        <w:rPr>
          <w:rFonts w:ascii="Times New Roman" w:cs="Times New Roman" w:eastAsia="Times New Roman" w:hAnsi="Times New Roman"/>
          <w:sz w:val="22"/>
          <w:szCs w:val="22"/>
        </w:rPr>
        <w:t xml:space="preserve">This work will be a major part of the next stage. The main activities of the next stage</w:t>
      </w:r>
      <w:r>
        <w:rPr>
          <w:rFonts w:ascii="Times New Roman" w:cs="Times New Roman" w:eastAsia="Times New Roman" w:hAnsi="Times New Roman"/>
          <w:sz w:val="22"/>
          <w:szCs w:val="22"/>
        </w:rPr>
        <w:t xml:space="preserve"> and their expected outcomes are summarised in Section 13.</w:t>
      </w:r>
    </w:p>
    <w:p>
      <w:pPr>
        <w:pStyle w:val="Heading1"/>
        <w:pageBreakBefore/>
        <w:spacing w:after="200" w:before="120"/>
      </w:pPr>
      <w:r>
        <w:rPr>
          <w:rFonts w:ascii="Times New Roman" w:cs="Times New Roman" w:eastAsia="Times New Roman" w:hAnsi="Times New Roman"/>
          <w:b/>
          <w:bCs/>
          <w:sz w:val="32"/>
          <w:szCs w:val="32"/>
        </w:rPr>
        <w:t xml:space="preserve">11.  The Proposed Solution for RO6</w:t>
      </w:r>
    </w:p>
    <w:p>
      <w:pPr>
        <w:spacing w:after="140" w:before="0"/>
      </w:pPr>
      <w:r>
        <w:rPr>
          <w:rFonts w:ascii="Times New Roman" w:cs="Times New Roman" w:eastAsia="Times New Roman" w:hAnsi="Times New Roman"/>
          <w:b/>
          <w:bCs/>
          <w:i/>
          <w:iCs/>
          <w:sz w:val="26"/>
          <w:szCs w:val="26"/>
        </w:rPr>
        <w:t xml:space="preserve">RO6 – Formal Security Assurance and Empirical Validation</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Partially completed (for RQ1 to RQ4)</w:t>
      </w:r>
    </w:p>
    <w:p>
      <w:pPr>
        <w:spacing w:after="110" w:line="264"/>
        <w:jc w:val="both"/>
      </w:pPr>
      <w:r>
        <w:rPr>
          <w:rFonts w:ascii="Times New Roman" w:cs="Times New Roman" w:eastAsia="Times New Roman" w:hAnsi="Times New Roman"/>
          <w:sz w:val="22"/>
          <w:szCs w:val="22"/>
        </w:rPr>
        <w:t xml:space="preserve">RO6 addresses RQ6 by formally analysing and empirically evaluating whether the proposed trust-oriented authorisation framework satisfies its defined security and authorisation properties. 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 RO6 is partially completed through the implementation and scenario-based validation of the HALAH prototype for RQ1 to RQ4. The complete formal analysis and comprehensive empirical validation </w:t>
      </w:r>
      <w:r>
        <w:rPr>
          <w:rFonts w:ascii="Times New Roman" w:cs="Times New Roman" w:eastAsia="Times New Roman" w:hAnsi="Times New Roman"/>
          <w:sz w:val="22"/>
          <w:szCs w:val="22"/>
        </w:rPr>
        <w:t xml:space="preserve">will be conducted in the next stage.</w:t>
      </w:r>
    </w:p>
    <w:p>
      <w:pPr>
        <w:pStyle w:val="Heading2"/>
        <w:keepNext/>
        <w:spacing w:after="120" w:before="240"/>
      </w:pPr>
      <w:r>
        <w:rPr>
          <w:rFonts w:ascii="Times New Roman" w:cs="Times New Roman" w:eastAsia="Times New Roman" w:hAnsi="Times New Roman"/>
          <w:b/>
          <w:bCs/>
          <w:sz w:val="26"/>
          <w:szCs w:val="26"/>
        </w:rPr>
        <w:t xml:space="preserve">11.1  </w:t>
      </w:r>
      <w:r>
        <w:rPr>
          <w:rFonts w:ascii="Times New Roman" w:cs="Times New Roman" w:eastAsia="Times New Roman" w:hAnsi="Times New Roman"/>
          <w:b/>
          <w:bCs/>
          <w:sz w:val="26"/>
          <w:szCs w:val="26"/>
        </w:rPr>
        <w:t xml:space="preserve">Validation Approach</w:t>
      </w:r>
    </w:p>
    <w:p>
      <w:pPr>
        <w:spacing w:after="110" w:line="264"/>
        <w:jc w:val="both"/>
      </w:pPr>
      <w:r>
        <w:rPr>
          <w:rFonts w:ascii="Times New Roman" w:cs="Times New Roman" w:eastAsia="Times New Roman" w:hAnsi="Times New Roman"/>
          <w:sz w:val="22"/>
          <w:szCs w:val="22"/>
        </w:rPr>
        <w:t xml:space="preserve">Figure 14 presents the RO6 workflow for formal security assurance and empirical validation. The formal and empirical components are complementary. Formal reasoning defines what the framework should guarantee, while empirical testing examines whether the implementation satisfies those guarantees in representative operational scenarios.</w:t>
      </w:r>
    </w:p>
    <w:p>
      <w:pPr>
        <w:keepNext/>
        <w:spacing w:after="60" w:before="160"/>
        <w:jc w:val="center"/>
      </w:pPr>
      <w:r>
        <w:drawing>
          <wp:inline distT="0" distB="0" distL="0" distR="0">
            <wp:extent cx="3819525" cy="4286250"/>
            <wp:effectExtent t="0" r="0" b="0" l="0"/>
            <wp:docPr id="1" name="F16.png" descr="RO6 workflow for formal security assurance and empirical validation" title="RO6 workflow for formal security assurance and empirical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9525" cy="4286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14: </w:t>
      </w:r>
      <w:r>
        <w:rPr>
          <w:rFonts w:ascii="Times New Roman" w:cs="Times New Roman" w:eastAsia="Times New Roman" w:hAnsi="Times New Roman"/>
          <w:sz w:val="18"/>
          <w:szCs w:val="18"/>
        </w:rPr>
        <w:t xml:space="preserve">RO6 workflow for formal security assurance and empirical validation</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first step is to define the security and authorisation properties P = {P</w:t>
      </w:r>
      <w:r>
        <w:rPr>
          <w:rFonts w:ascii="Times New Roman" w:cs="Times New Roman" w:eastAsia="Times New Roman" w:hAnsi="Times New Roman"/>
          <w:sz w:val="22"/>
          <w:szCs w:val="22"/>
          <w:vertAlign w:val="subscript"/>
        </w:rPr>
        <w:t xml:space="preserve">sound</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deny</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threshold</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policy</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scope</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audit</w:t>
      </w:r>
      <w:r>
        <w:rPr>
          <w:rFonts w:ascii="Times New Roman" w:cs="Times New Roman" w:eastAsia="Times New Roman" w:hAnsi="Times New Roman"/>
          <w:sz w:val="22"/>
          <w:szCs w:val="22"/>
        </w:rPr>
        <w:t xml:space="preserve">} that the framework is expected to satisfy. The three scenario classes are combined into the complete validation set S = S</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negative</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adv</w:t>
      </w:r>
      <w:r>
        <w:rPr>
          <w:rFonts w:ascii="Times New Roman" w:cs="Times New Roman" w:eastAsia="Times New Roman" w:hAnsi="Times New Roman"/>
          <w:sz w:val="22"/>
          <w:szCs w:val="22"/>
        </w:rPr>
        <w:t xml:space="preserve">.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The observed decision is compared with the expected decision defined for scenario s, and the fundamental scenario-level validation criterion is Pass(s) ⟺ D</w:t>
      </w:r>
      <w:r>
        <w:rPr>
          <w:rFonts w:ascii="Times New Roman" w:cs="Times New Roman" w:eastAsia="Times New Roman" w:hAnsi="Times New Roman"/>
          <w:sz w:val="22"/>
          <w:szCs w:val="22"/>
          <w:vertAlign w:val="subscript"/>
        </w:rPr>
        <w:t xml:space="preserve">obs</w:t>
      </w:r>
      <w:r>
        <w:rPr>
          <w:rFonts w:ascii="Times New Roman" w:cs="Times New Roman" w:eastAsia="Times New Roman" w:hAnsi="Times New Roman"/>
          <w:sz w:val="22"/>
          <w:szCs w:val="22"/>
        </w:rPr>
        <w:t xml:space="preserve">(s) = D</w:t>
      </w:r>
      <w:r>
        <w:rPr>
          <w:rFonts w:ascii="Times New Roman" w:cs="Times New Roman" w:eastAsia="Times New Roman" w:hAnsi="Times New Roman"/>
          <w:sz w:val="22"/>
          <w:szCs w:val="22"/>
          <w:vertAlign w:val="subscript"/>
        </w:rPr>
        <w:t xml:space="preserve">exp</w:t>
      </w:r>
      <w:r>
        <w:rPr>
          <w:rFonts w:ascii="Times New Roman" w:cs="Times New Roman" w:eastAsia="Times New Roman" w:hAnsi="Times New Roman"/>
          <w:sz w:val="22"/>
          <w:szCs w:val="22"/>
        </w:rPr>
        <w:t xml:space="preserve">(s). Otherwise, the scenario is classified as a validation failure. The framework is considered empirically consistent with the specified authorisation model when the observed decisions satisfy the expected outcomes across the defined validation scenarios and no critical security property is violated. This procedure establishes a distinction between functional correctness and security correctness. The proposed validation therefore does not treat successful execution as sufficient evidence of correctness. Equation (23) expresses, in its foundational three-predicate form, the soundness requirement that every granted request must satisfy the identity, authorisation, and policy conditions.</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Decision(C, R, t) = ALLOW ⇒ V</w:t>
      </w:r>
      <w:r>
        <w:rPr>
          <w:rFonts w:ascii="Cambria Math" w:cs="Cambria Math" w:eastAsia="Cambria Math" w:hAnsi="Cambria Math"/>
          <w:i w:val="false"/>
          <w:iCs w:val="false"/>
          <w:sz w:val="21"/>
          <w:szCs w:val="21"/>
          <w:vertAlign w:val="subscript"/>
        </w:rPr>
        <w:t xml:space="preserve">I</w:t>
      </w:r>
      <w:r>
        <w:rPr>
          <w:rFonts w:ascii="Cambria Math" w:cs="Cambria Math" w:eastAsia="Cambria Math" w:hAnsi="Cambria Math"/>
          <w:i w:val="false"/>
          <w:iCs w:val="false"/>
          <w:sz w:val="21"/>
          <w:szCs w:val="21"/>
        </w:rPr>
        <w:t xml:space="preserve">(u)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(C) ∧ V</w:t>
      </w:r>
      <w:r>
        <w:rPr>
          <w:rFonts w:ascii="Cambria Math" w:cs="Cambria Math" w:eastAsia="Cambria Math" w:hAnsi="Cambria Math"/>
          <w:i w:val="false"/>
          <w:iCs w:val="false"/>
          <w:sz w:val="21"/>
          <w:szCs w:val="21"/>
          <w:vertAlign w:val="subscript"/>
        </w:rPr>
        <w:t xml:space="preserve">P</w:t>
      </w:r>
      <w:r>
        <w:rPr>
          <w:rFonts w:ascii="Cambria Math" w:cs="Cambria Math" w:eastAsia="Cambria Math" w:hAnsi="Cambria Math"/>
          <w:i w:val="false"/>
          <w:iCs w:val="false"/>
          <w:sz w:val="21"/>
          <w:szCs w:val="21"/>
        </w:rPr>
        <w:t xml:space="preserve">(C, R).</w:t>
      </w:r>
      <w:r>
        <w:rPr>
          <w:rFonts w:ascii="Times New Roman" w:cs="Times New Roman" w:eastAsia="Times New Roman" w:hAnsi="Times New Roman"/>
          <w:sz w:val="22"/>
          <w:szCs w:val="22"/>
        </w:rPr>
        <w:t xml:space="preserve">	(23)</w:t>
      </w:r>
    </w:p>
    <w:p>
      <w:pPr>
        <w:spacing w:after="110" w:line="264"/>
        <w:jc w:val="both"/>
      </w:pPr>
      <w:r>
        <w:rPr>
          <w:rFonts w:ascii="Times New Roman" w:cs="Times New Roman" w:eastAsia="Times New Roman" w:hAnsi="Times New Roman"/>
          <w:sz w:val="22"/>
          <w:szCs w:val="22"/>
        </w:rPr>
        <w:t xml:space="preserve">Equivalently, Equation (24), the contrapositive of Equation (23), states that if any mandatory condition is violated, the request must be denied. Equation (23) is therefore examined through the granted requests and Equation (24) through the negative scenarios, while the valid scenarios examine the opposite direction, namely that a request satisfying all conditions is granted. A valid authorisation decision requires the simultaneous satisfaction of all relevant trust conditions. Each </w:t>
      </w:r>
      <w:r>
        <w:rPr>
          <w:rFonts w:ascii="Times New Roman" w:cs="Times New Roman" w:eastAsia="Times New Roman" w:hAnsi="Times New Roman"/>
          <w:strike/>
          <w:color w:val="FF0000"/>
          <w:sz w:val="22"/>
          <w:szCs w:val="22"/>
        </w:rPr>
        <w:t xml:space="preserve">predicate of Section 10</w:t>
      </w:r>
      <w:r>
        <w:rPr>
          <w:rFonts w:ascii="Times New Roman" w:cs="Times New Roman" w:eastAsia="Times New Roman" w:hAnsi="Times New Roman"/>
          <w:color w:val="FF0000"/>
          <w:sz w:val="22"/>
          <w:szCs w:val="22"/>
        </w:rPr>
        <w:t xml:space="preserve">of the five predicates of Equation (22)</w:t>
      </w:r>
      <w:r>
        <w:rPr>
          <w:rFonts w:ascii="Times New Roman" w:cs="Times New Roman" w:eastAsia="Times New Roman" w:hAnsi="Times New Roman"/>
          <w:sz w:val="22"/>
          <w:szCs w:val="22"/>
        </w:rPr>
        <w:t xml:space="preserve"> has a dedicated failure test, because successful operation under valid conditions alone cannot demonstrate that unauthorised access is reliably prevented. The tests confirm that failure of any individual condition results in denial.</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I</w:t>
      </w:r>
      <w:r>
        <w:rPr>
          <w:rFonts w:ascii="Cambria Math" w:cs="Cambria Math" w:eastAsia="Cambria Math" w:hAnsi="Cambria Math"/>
          <w:i w:val="false"/>
          <w:iCs w:val="false"/>
          <w:sz w:val="21"/>
          <w:szCs w:val="21"/>
        </w:rPr>
        <w:t xml:space="preserve">(u)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(C) ∨ ¬V</w:t>
      </w:r>
      <w:r>
        <w:rPr>
          <w:rFonts w:ascii="Cambria Math" w:cs="Cambria Math" w:eastAsia="Cambria Math" w:hAnsi="Cambria Math"/>
          <w:i w:val="false"/>
          <w:iCs w:val="false"/>
          <w:sz w:val="21"/>
          <w:szCs w:val="21"/>
          <w:vertAlign w:val="subscript"/>
        </w:rPr>
        <w:t xml:space="preserve">P</w:t>
      </w:r>
      <w:r>
        <w:rPr>
          <w:rFonts w:ascii="Cambria Math" w:cs="Cambria Math" w:eastAsia="Cambria Math" w:hAnsi="Cambria Math"/>
          <w:i w:val="false"/>
          <w:iCs w:val="false"/>
          <w:sz w:val="21"/>
          <w:szCs w:val="21"/>
        </w:rPr>
        <w:t xml:space="preserve">(C, R) ⇒ Decision(C, R, t) = DENY.</w:t>
      </w:r>
      <w:r>
        <w:rPr>
          <w:rFonts w:ascii="Times New Roman" w:cs="Times New Roman" w:eastAsia="Times New Roman" w:hAnsi="Times New Roman"/>
          <w:sz w:val="22"/>
          <w:szCs w:val="22"/>
        </w:rPr>
        <w:t xml:space="preserve">	(24)</w:t>
      </w:r>
    </w:p>
    <w:p>
      <w:pPr>
        <w:spacing w:after="110" w:line="264"/>
        <w:jc w:val="both"/>
      </w:pPr>
      <w:r>
        <w:rPr>
          <w:rFonts w:ascii="Times New Roman" w:cs="Times New Roman" w:eastAsia="Times New Roman" w:hAnsi="Times New Roman"/>
          <w:sz w:val="22"/>
          <w:szCs w:val="22"/>
        </w:rPr>
        <w:t xml:space="preserve">The empirical component evaluates the implementation through representative consent workflows, negative and adversarial scenarios. Its 23 functional and regression tests examine whether access is denied when identity verification fails, when the required authorisation threshold is not satisfied, or when the requested purpose or data scope violates the consent policy. They also cover invalid EIP-712 guardian signatures and tampered or expired zero-knowledge proofs, whereas the 13 adversarial tests cover a baseline and twelve attack scenarios.</w:t>
      </w:r>
    </w:p>
    <w:p>
      <w:pPr>
        <w:pStyle w:val="Heading2"/>
        <w:keepNext/>
        <w:spacing w:after="120" w:before="240"/>
      </w:pPr>
      <w:r>
        <w:rPr>
          <w:rFonts w:ascii="Times New Roman" w:cs="Times New Roman" w:eastAsia="Times New Roman" w:hAnsi="Times New Roman"/>
          <w:b/>
          <w:bCs/>
          <w:sz w:val="26"/>
          <w:szCs w:val="26"/>
        </w:rPr>
        <w:t xml:space="preserve">11.2  </w:t>
      </w:r>
      <w:r>
        <w:rPr>
          <w:rFonts w:ascii="Times New Roman" w:cs="Times New Roman" w:eastAsia="Times New Roman" w:hAnsi="Times New Roman"/>
          <w:b/>
          <w:bCs/>
          <w:sz w:val="26"/>
          <w:szCs w:val="26"/>
        </w:rPr>
        <w:t xml:space="preserve">The HALAH Prototype and Live Scenarios</w:t>
      </w:r>
    </w:p>
    <w:p>
      <w:pPr>
        <w:spacing w:after="110" w:line="264"/>
        <w:jc w:val="both"/>
      </w:pPr>
      <w:r>
        <w:rPr>
          <w:rFonts w:ascii="Times New Roman" w:cs="Times New Roman" w:eastAsia="Times New Roman" w:hAnsi="Times New Roman"/>
          <w:sz w:val="22"/>
          <w:szCs w:val="22"/>
        </w:rPr>
        <w:t xml:space="preserve">The HALAH prototype provides the implementation basis for this evaluation. HALAH (History Access Link for Authorised Healthcare) is a role-based consent management platform. The current system includes separate patient, guardian, doctor, and auditor interfaces. It also records consent creation, guardian approval, token minting, state checks, and data-access events. Following successful threshold satisfaction, the system generates activation or token evidence associated with the authorisation decision through ConsentSBTv3, compiled in Remix and deployed via MetaMask. Each token stores the pseudonymous patient and requester addresses, a hash of the purpose, the validity window, a two-letter jurisdiction code, and a revocation flag. </w:t>
      </w:r>
      <w:r>
        <w:rPr>
          <w:rFonts w:ascii="Times New Roman" w:cs="Times New Roman" w:eastAsia="Times New Roman" w:hAnsi="Times New Roman"/>
          <w:sz w:val="22"/>
          <w:szCs w:val="22"/>
        </w:rPr>
        <w:t xml:space="preserve">The SBT, a soulbound ERC-721 token [71] that follows ERC-5484 [72] and whose transfer between accounts is blocked,</w:t>
      </w:r>
      <w:r>
        <w:rPr>
          <w:rFonts w:ascii="Times New Roman" w:cs="Times New Roman" w:eastAsia="Times New Roman" w:hAnsi="Times New Roman"/>
          <w:sz w:val="22"/>
          <w:szCs w:val="22"/>
        </w:rPr>
        <w:t xml:space="preserve"> should be interpreted as an activation or representation mechanism for the consent state rather than as the fundamental source of trust. The blockchain or token layer provides persistence, traceability, and evidence of the resulting state. Blockchain or other tamper-resistant storage mechanisms may be integrated as infrastructure for preserving selected authorisation evidence, and no medical content is written to the chain. However, the plaintext purpose is passed as a parameter of the mint transaction and is therefore visible in the public transaction input. The current prototype provides a practical environment for evaluating the trust-oriented authorisation model using synthetic healthcare records. The system represents patients and healthcare participants using decentralised identities and provides mechanisms for consent creation, participant verification, multi-party approval, and access-control evaluation. Synthetic healthcare records derived from the Synthea dataset are used to construct representative consent workflows.</w:t>
      </w:r>
    </w:p>
    <w:p>
      <w:pPr>
        <w:spacing w:after="110" w:line="264"/>
        <w:jc w:val="both"/>
      </w:pPr>
      <w:r>
        <w:rPr>
          <w:rFonts w:ascii="Times New Roman" w:cs="Times New Roman" w:eastAsia="Times New Roman" w:hAnsi="Times New Roman"/>
          <w:sz w:val="22"/>
          <w:szCs w:val="22"/>
        </w:rPr>
        <w:t xml:space="preserve">The evaluated consent, f050c29a, was carried through the complete lifecycle as token #1, being granted access, refused access, and finally revoked. </w:t>
      </w:r>
      <w:r>
        <w:rPr>
          <w:rFonts w:ascii="Times New Roman" w:cs="Times New Roman" w:eastAsia="Times New Roman" w:hAnsi="Times New Roman"/>
          <w:sz w:val="22"/>
          <w:szCs w:val="22"/>
        </w:rPr>
        <w:t xml:space="preserve">The creation, approval, and record-display screens (Figure 15, Figure 16 and Figure 18) were captured from a second lifecycle, 04da25f5, which used the same code, contract, and configuration and was anchored as token #2. Figure 17 shows the evaluated consent f050c29a.</w:t>
      </w:r>
      <w:r>
        <w:rPr>
          <w:rFonts w:ascii="Times New Roman" w:cs="Times New Roman" w:eastAsia="Times New Roman" w:hAnsi="Times New Roman"/>
          <w:sz w:val="22"/>
          <w:szCs w:val="22"/>
        </w:rPr>
        <w:t xml:space="preserve"> The evaluation considers both successful and unsuccessful authorisation scenarios.</w:t>
      </w:r>
    </w:p>
    <w:p>
      <w:pPr>
        <w:spacing w:after="110" w:line="264"/>
        <w:jc w:val="both"/>
      </w:pPr>
      <w:r>
        <w:rPr>
          <w:rFonts w:ascii="Times New Roman" w:cs="Times New Roman" w:eastAsia="Times New Roman" w:hAnsi="Times New Roman"/>
          <w:b/>
          <w:bCs/>
          <w:sz w:val="22"/>
          <w:szCs w:val="22"/>
        </w:rPr>
        <w:t xml:space="preserve">Scenario 1: consent creation (validates RQ1).</w:t>
      </w:r>
      <w:r>
        <w:rPr>
          <w:rFonts w:ascii="Times New Roman" w:cs="Times New Roman" w:eastAsia="Times New Roman" w:hAnsi="Times New Roman"/>
          <w:sz w:val="22"/>
          <w:szCs w:val="22"/>
        </w:rPr>
        <w:t xml:space="preserve">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 and the jurisdiction. As shown in Figure 15, all four EMR modules were selected, two guardians were designated, and the jurisdiction was AU. The specification is accepted only when the required fields are valid. For example, the expiry time must be later than the start time. A consent with an empty data scope is rejected, and every guardian entry must be a well-formed DID. The validated information is combined to construct the consent object C = (I, A, P, T, L, E) of Section 6. After validation, the system creates the consent object, assigns a consent identifier, persists the record, and records the creation event in the audit layer. The system therefore maintains the consent in a PENDING state rather than activating access, as PENDING_SIGNATURE, held only in the application ledger. This process ensures that the consent object contains sufficient information for subsequent identity verification, multi-party authorisation, policy evaluation, and auditability. Consequently, the resulting consent object serves not merely as a record of patient preference, but as a structured authorisation artefact that can provide evidence for subsequent healthcare data-access decisions.</w:t>
      </w:r>
    </w:p>
    <w:p>
      <w:pPr>
        <w:keepNext/>
        <w:spacing w:after="60" w:before="160"/>
        <w:jc w:val="center"/>
      </w:pPr>
      <w:r>
        <w:drawing>
          <wp:inline distT="0" distB="0" distL="0" distR="0">
            <wp:extent cx="4476750" cy="3314700"/>
            <wp:effectExtent t="0" r="0" b="0" l="0"/>
            <wp:docPr id="1" name="F21.png" descr="Patient subsystem after consent creation, in the state PENDING_SIGNATURE" title="Patient subsystem after consent creation, in the state PENDING_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33147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15: </w:t>
      </w:r>
      <w:r>
        <w:rPr>
          <w:rFonts w:ascii="Times New Roman" w:cs="Times New Roman" w:eastAsia="Times New Roman" w:hAnsi="Times New Roman"/>
          <w:sz w:val="18"/>
          <w:szCs w:val="18"/>
        </w:rPr>
        <w:t xml:space="preserve">Patient subsystem after consent creation, in the state PENDING_SIGNATURE.</w:t>
      </w:r>
    </w:p>
    <w:p>
      <w:pPr>
        <w:spacing w:after="110" w:line="264"/>
        <w:jc w:val="both"/>
      </w:pPr>
      <w:r>
        <w:rPr>
          <w:rFonts w:ascii="Times New Roman" w:cs="Times New Roman" w:eastAsia="Times New Roman" w:hAnsi="Times New Roman"/>
          <w:b/>
          <w:bCs/>
          <w:sz w:val="22"/>
          <w:szCs w:val="22"/>
        </w:rPr>
        <w:t xml:space="preserve">Scenario 2: guardian approval and activation (validates RQ2 and RQ3).</w:t>
      </w:r>
      <w:r>
        <w:rPr>
          <w:rFonts w:ascii="Times New Roman" w:cs="Times New Roman" w:eastAsia="Times New Roman" w:hAnsi="Times New Roman"/>
          <w:sz w:val="22"/>
          <w:szCs w:val="22"/>
        </w:rPr>
        <w:t xml:space="preserve"> Rather than relying on a single approval authority, the procedure requires a predefined number of eligible participants to independently provide valid approvals. Each participant must submit an approval that can be independently verified. Each guardian approves the consent with an EIP-712 typed-data signature that binds the approval to this consent, to this guardian, and to the Sepolia network (chainId 11155111). The system recovers the signer address and compares it with the address associated with the guardian DID, so a signature produced for another consent, another guardian, or another chain is rejected. If the participant has already submitted a valid approval, the system rejects the additional approval. Invalid approvals are rejected and must not contribute to the threshold count. Valid approvals are recorded and the current approval count is updated. In the implemented configuration, N = |G|, so all eligible participants must independently approve the consent before the authorisation becomes active. In this case, one valid approval is insufficient, whereas two valid approvals satisfy the threshold condition of Section 8. This mechanism allows the framework to distinguish between insufficient and sufficient collective authorisation. The prototype demonstrates that a consent object remains unable to establish valid authorisation until the required number of independently verified participants has approved it. When the threshold is reached, the implementation assigns an SBT identifier and records the corresponding minting event, and the anchoring starts in the background, as shown in Figure 16. </w:t>
      </w:r>
      <w:r>
        <w:rPr>
          <w:rFonts w:ascii="Times New Roman" w:cs="Times New Roman" w:eastAsia="Times New Roman" w:hAnsi="Times New Roman"/>
          <w:sz w:val="22"/>
          <w:szCs w:val="22"/>
        </w:rPr>
        <w:t xml:space="preserve">The public anchoring of the evaluated consent f050c29a in block 11,771,243 (block 11,771,581 for consent 04da25f5 in Figure 16)</w:t>
      </w:r>
      <w:r>
        <w:rPr>
          <w:rFonts w:ascii="Times New Roman" w:cs="Times New Roman" w:eastAsia="Times New Roman" w:hAnsi="Times New Roman"/>
          <w:sz w:val="22"/>
          <w:szCs w:val="22"/>
        </w:rPr>
        <w:t xml:space="preserve"> provides an immutable or otherwise tamper-evident record of the transition from a pending consent state to an active authorisation state. The trust decision is established by the verification of participants and the satisfaction of the authorisation threshold.</w:t>
      </w:r>
    </w:p>
    <w:p>
      <w:pPr>
        <w:keepNext/>
        <w:spacing w:after="60" w:before="160"/>
        <w:jc w:val="center"/>
      </w:pPr>
      <w:r>
        <w:drawing>
          <wp:inline distT="0" distB="0" distL="0" distR="0">
            <wp:extent cx="4476750" cy="2047875"/>
            <wp:effectExtent t="0" r="0" b="0" l="0"/>
            <wp:docPr id="1" name="F23.png" descr="Guardian subsystem at the second approval: EIP-712 signature verified and 2/2 threshold reached" title="Guardian subsystem at the second approval: EIP-712 signature verified and 2/2 threshold re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76750" cy="204787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16: </w:t>
      </w:r>
      <w:r>
        <w:rPr>
          <w:rFonts w:ascii="Times New Roman" w:cs="Times New Roman" w:eastAsia="Times New Roman" w:hAnsi="Times New Roman"/>
          <w:sz w:val="18"/>
          <w:szCs w:val="18"/>
        </w:rPr>
        <w:t xml:space="preserve">Guardian subsystem at the second approval: EIP-712 signature verified and 2/2 threshold reached.</w:t>
      </w:r>
    </w:p>
    <w:p>
      <w:pPr>
        <w:spacing w:after="110" w:line="264"/>
        <w:jc w:val="both"/>
      </w:pPr>
      <w:r>
        <w:rPr>
          <w:rFonts w:ascii="Times New Roman" w:cs="Times New Roman" w:eastAsia="Times New Roman" w:hAnsi="Times New Roman"/>
          <w:b/>
          <w:bCs/>
          <w:sz w:val="22"/>
          <w:szCs w:val="22"/>
        </w:rPr>
        <w:t xml:space="preserve">Scenario 3: authorised doctor access (validates RQ4).</w:t>
      </w:r>
      <w:r>
        <w:rPr>
          <w:rFonts w:ascii="Times New Roman" w:cs="Times New Roman" w:eastAsia="Times New Roman" w:hAnsi="Times New Roman"/>
          <w:sz w:val="22"/>
          <w:szCs w:val="22"/>
        </w:rPr>
        <w:t xml:space="preserve"> The Doctor interface retrieves a consent, evaluates its state, allows a requested scope to be selected from the consent scope, generates a proof, checks the requested scope, and invokes the authorisation function before returning data. As shown in Figure 17, the decision matrix enables validation results to be traced from the final decision back to the individual authorisation conditions that produced that decision. A request is permitted only when the consent purpose is a supported healthcare use and the requested data scope is non-empty and contained within the authorised scope. Consequently, a valid identity and sufficient multi-party approval are necessary but not sufficient conditions for access. Here, the system generates or verifies the evidence supporting the access decision as a Groth16 zero-knowledge proof. Because the prover and the verifier run on the same server, the proof demonstrates the integration of the zero-knowledge toolchain rather than an additional privacy guarantee. As shown in Figure 18, once the request has been successfully authorised, the system retrieves only the healthcare data satisfying the authorised scope and displays them per EMR module. This rule prevents a legitimate participant from obtaining data outside the patient’s authorised scope.</w:t>
      </w:r>
    </w:p>
    <w:p>
      <w:pPr>
        <w:keepNext/>
        <w:spacing w:after="60" w:before="160"/>
        <w:jc w:val="center"/>
      </w:pPr>
      <w:r>
        <w:drawing>
          <wp:inline distT="0" distB="0" distL="0" distR="0">
            <wp:extent cx="4476750" cy="3524250"/>
            <wp:effectExtent t="0" r="0" b="0" l="0"/>
            <wp:docPr id="1" name="F27.png" descr="Doctor subsystem for the evaluated consent f050c29a with requester jurisdiction AU: all five checks pass" title="Doctor subsystem for the evaluated consent f050c29a with requester jurisdiction AU: all five checks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3524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17: </w:t>
      </w:r>
      <w:r>
        <w:rPr>
          <w:rFonts w:ascii="Times New Roman" w:cs="Times New Roman" w:eastAsia="Times New Roman" w:hAnsi="Times New Roman"/>
          <w:sz w:val="18"/>
          <w:szCs w:val="18"/>
        </w:rPr>
        <w:t xml:space="preserve">Doctor subsystem for the evaluated consent f050c29a with requester jurisdiction AU: all five checks pass</w:t>
      </w:r>
      <w:r>
        <w:rPr>
          <w:rFonts w:ascii="Times New Roman" w:cs="Times New Roman" w:eastAsia="Times New Roman" w:hAnsi="Times New Roman"/>
          <w:sz w:val="18"/>
          <w:szCs w:val="18"/>
        </w:rPr>
        <w:t xml:space="preserve">.</w:t>
      </w:r>
    </w:p>
    <w:p>
      <w:pPr>
        <w:keepNext/>
        <w:spacing w:after="60" w:before="160"/>
        <w:jc w:val="center"/>
      </w:pPr>
      <w:r>
        <w:drawing>
          <wp:inline distT="0" distB="0" distL="0" distR="0">
            <wp:extent cx="4695825" cy="5334000"/>
            <wp:effectExtent t="0" r="0" b="0" l="0"/>
            <wp:docPr id="1" name="F29.png" descr="Doctor subsystem after verification for consent 04da25f5 (two captures joined): access granted and records displayed per EMR module" title="Doctor subsystem after verification for consent 04da25f5 (two captures joined): access granted and records displayed per EM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695825"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18: </w:t>
      </w:r>
      <w:r>
        <w:rPr>
          <w:rFonts w:ascii="Times New Roman" w:cs="Times New Roman" w:eastAsia="Times New Roman" w:hAnsi="Times New Roman"/>
          <w:sz w:val="18"/>
          <w:szCs w:val="18"/>
        </w:rPr>
        <w:t xml:space="preserve">Doctor subsystem after verification for consent 04da25f5 (two captures joined): access granted and records displayed per EMR module</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b/>
          <w:bCs/>
          <w:sz w:val="22"/>
          <w:szCs w:val="22"/>
        </w:rPr>
        <w:t xml:space="preserve">Scenario 4: jurisdiction violation (validates RQ4).</w:t>
      </w:r>
      <w:r>
        <w:rPr>
          <w:rFonts w:ascii="Times New Roman" w:cs="Times New Roman" w:eastAsia="Times New Roman" w:hAnsi="Times New Roman"/>
          <w:sz w:val="22"/>
          <w:szCs w:val="22"/>
        </w:rPr>
        <w:t xml:space="preserve"> A valid identity and sufficient approval do not necessarily imply that every requested operation is permitted. The same doctor repeated the request for the evaluated consent, which remained ACTIVE, while declaring the requester jurisdiction as SA, whereas the consent was issued for AU, and all checks except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passed. Here,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 FAIL and ALLOW = FAIL reflect a conjunctive trust model in which the failure of any required condition prevents the final authorisation decision. If any required condition is violated, the framework should produce a denial decision and preserve sufficient evidence to explain the reason for that decision, as the refusal in Figure 19 shows. Therefore, a consent object does not automatically imply that every subsequent request is authorised. Instead, the object provides the conditions against which a request can be evaluated.</w:t>
      </w:r>
    </w:p>
    <w:p>
      <w:pPr>
        <w:keepNext/>
        <w:spacing w:after="60" w:before="160"/>
        <w:jc w:val="center"/>
      </w:pPr>
      <w:r>
        <w:drawing>
          <wp:inline distT="0" distB="0" distL="0" distR="0">
            <wp:extent cx="4476750" cy="2209800"/>
            <wp:effectExtent t="0" r="0" b="0" l="0"/>
            <wp:docPr id="1" name="F32.png" descr="Refused request naming VL as the failed check" title="Refused request naming VL as the failed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76750" cy="22098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19: </w:t>
      </w:r>
      <w:r>
        <w:rPr>
          <w:rFonts w:ascii="Times New Roman" w:cs="Times New Roman" w:eastAsia="Times New Roman" w:hAnsi="Times New Roman"/>
          <w:sz w:val="18"/>
          <w:szCs w:val="18"/>
        </w:rPr>
        <w:t xml:space="preserve">Refused request naming V</w:t>
      </w:r>
      <w:r>
        <w:rPr>
          <w:rFonts w:ascii="Times New Roman" w:cs="Times New Roman" w:eastAsia="Times New Roman" w:hAnsi="Times New Roman"/>
          <w:sz w:val="18"/>
          <w:szCs w:val="18"/>
          <w:vertAlign w:val="subscript"/>
        </w:rPr>
        <w:t xml:space="preserve">L</w:t>
      </w:r>
      <w:r>
        <w:rPr>
          <w:rFonts w:ascii="Times New Roman" w:cs="Times New Roman" w:eastAsia="Times New Roman" w:hAnsi="Times New Roman"/>
          <w:sz w:val="18"/>
          <w:szCs w:val="18"/>
        </w:rPr>
        <w:t xml:space="preserve"> as the failed check.</w:t>
      </w:r>
    </w:p>
    <w:p>
      <w:pPr>
        <w:spacing w:after="110" w:line="264"/>
        <w:jc w:val="both"/>
      </w:pPr>
      <w:r>
        <w:rPr>
          <w:rFonts w:ascii="Times New Roman" w:cs="Times New Roman" w:eastAsia="Times New Roman" w:hAnsi="Times New Roman"/>
          <w:b/>
          <w:bCs/>
          <w:sz w:val="22"/>
          <w:szCs w:val="22"/>
        </w:rPr>
        <w:t xml:space="preserve">Scenario 5: revocation followed by refusal (validates the revocation control of RQ5).</w:t>
      </w:r>
      <w:r>
        <w:rPr>
          <w:rFonts w:ascii="Times New Roman" w:cs="Times New Roman" w:eastAsia="Times New Roman" w:hAnsi="Times New Roman"/>
          <w:sz w:val="22"/>
          <w:szCs w:val="22"/>
        </w:rPr>
        <w:t xml:space="preserve"> Revocation should invalidate a previously established consent rather than merely create a new record indicating that the consent has changed. The patient revokes the evaluated consent, the system submits a revoke transaction to the contract, and the consent is displayed as REVOKED with its token number. A subsequent request by the doctor </w:t>
      </w:r>
      <w:r>
        <w:rPr>
          <w:rFonts w:ascii="Times New Roman" w:cs="Times New Roman" w:eastAsia="Times New Roman" w:hAnsi="Times New Roman"/>
          <w:strike/>
          <w:color w:val="FF0000"/>
          <w:sz w:val="22"/>
          <w:szCs w:val="22"/>
        </w:rPr>
        <w:t xml:space="preserve">fails at V</w:t>
      </w:r>
      <w:r>
        <w:rPr>
          <w:rFonts w:ascii="Times New Roman" w:cs="Times New Roman" w:eastAsia="Times New Roman" w:hAnsi="Times New Roman"/>
          <w:strike/>
          <w:color w:val="FF0000"/>
          <w:sz w:val="22"/>
          <w:szCs w:val="22"/>
          <w:vertAlign w:val="subscript"/>
        </w:rPr>
        <w:t xml:space="preserve">A</w:t>
      </w:r>
      <w:r>
        <w:rPr>
          <w:rFonts w:ascii="Times New Roman" w:cs="Times New Roman" w:eastAsia="Times New Roman" w:hAnsi="Times New Roman"/>
          <w:strike/>
          <w:color w:val="FF0000"/>
          <w:sz w:val="22"/>
          <w:szCs w:val="22"/>
        </w:rPr>
        <w:t xml:space="preserve">, because the system verifies that the consent has not been revoked or otherwise transitioned into an inactive state.</w:t>
      </w:r>
      <w:r>
        <w:rPr>
          <w:rFonts w:ascii="Times New Roman" w:cs="Times New Roman" w:eastAsia="Times New Roman" w:hAnsi="Times New Roman"/>
          <w:color w:val="FF0000"/>
          <w:sz w:val="22"/>
          <w:szCs w:val="22"/>
        </w:rPr>
        <w:t xml:space="preserve">is refused by the doctor subsystem at the consent-state check, because the consent is no longer ACTIVE</w:t>
      </w:r>
      <w:r>
        <w:rPr>
          <w:rFonts w:ascii="Times New Roman" w:cs="Times New Roman" w:eastAsia="Times New Roman" w:hAnsi="Times New Roman"/>
          <w:color w:val="FF0000"/>
          <w:sz w:val="22"/>
          <w:szCs w:val="22"/>
        </w:rPr>
        <w:t xml:space="preserve">;</w:t>
      </w:r>
      <w:r>
        <w:rPr>
          <w:rFonts w:ascii="Times New Roman" w:cs="Times New Roman" w:eastAsia="Times New Roman" w:hAnsi="Times New Roman"/>
          <w:color w:val="FF0000"/>
          <w:sz w:val="22"/>
          <w:szCs w:val="22"/>
        </w:rPr>
        <w:t xml:space="preserve"> the V</w:t>
      </w:r>
      <w:r>
        <w:rPr>
          <w:rFonts w:ascii="Times New Roman" w:cs="Times New Roman" w:eastAsia="Times New Roman" w:hAnsi="Times New Roman"/>
          <w:color w:val="FF0000"/>
          <w:sz w:val="22"/>
          <w:szCs w:val="22"/>
          <w:vertAlign w:val="subscript"/>
        </w:rPr>
        <w:t xml:space="preserve">A</w:t>
      </w:r>
      <w:r>
        <w:rPr>
          <w:rFonts w:ascii="Times New Roman" w:cs="Times New Roman" w:eastAsia="Times New Roman" w:hAnsi="Times New Roman"/>
          <w:color w:val="FF0000"/>
          <w:sz w:val="22"/>
          <w:szCs w:val="22"/>
        </w:rPr>
        <w:t xml:space="preserve"> predicate itself rejects a revoked consent, which test A8 exercises.</w:t>
      </w:r>
      <w:r>
        <w:rPr>
          <w:rFonts w:ascii="Times New Roman" w:cs="Times New Roman" w:eastAsia="Times New Roman" w:hAnsi="Times New Roman"/>
          <w:sz w:val="22"/>
          <w:szCs w:val="22"/>
        </w:rPr>
        <w:t xml:space="preserve"> Revocation represents a deliberate termination of the previously granted consent and must therefore override an otherwise valid temporal interval. The revocation control allows the framework to distinguish between a consent that was previously valid and a consent that remains valid at the time of a particular access request, and Figure 20 shows the publicly verifiable revocation transaction in block 11,771,307. The doctor subsystem does not read the chain, so this refusal follows from the revocation flag in the local store, while the on-chain state corroborates it separately.</w:t>
      </w:r>
    </w:p>
    <w:p>
      <w:pPr>
        <w:keepNext/>
        <w:spacing w:after="60" w:before="160"/>
        <w:jc w:val="center"/>
      </w:pPr>
      <w:r>
        <w:drawing>
          <wp:inline distT="0" distB="0" distL="0" distR="0">
            <wp:extent cx="5715000" cy="5153025"/>
            <wp:effectExtent t="0" r="0" b="0" l="0"/>
            <wp:docPr id="1" name="F37.png" descr="Revocation transaction on Sepolia Etherscan, block 11,771,307" title="Revocation transaction on Sepolia Etherscan, block 11,77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515302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20: </w:t>
      </w:r>
      <w:r>
        <w:rPr>
          <w:rFonts w:ascii="Times New Roman" w:cs="Times New Roman" w:eastAsia="Times New Roman" w:hAnsi="Times New Roman"/>
          <w:sz w:val="18"/>
          <w:szCs w:val="18"/>
        </w:rPr>
        <w:t xml:space="preserve">Revocation transaction on Sepolia Etherscan, block 11,771,307</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b/>
          <w:bCs/>
          <w:sz w:val="22"/>
          <w:szCs w:val="22"/>
        </w:rPr>
        <w:t xml:space="preserve">Scenario 6: audit and independent verification (supports RQ1 to RQ4).</w:t>
      </w:r>
      <w:r>
        <w:rPr>
          <w:rFonts w:ascii="Times New Roman" w:cs="Times New Roman" w:eastAsia="Times New Roman" w:hAnsi="Times New Roman"/>
          <w:sz w:val="22"/>
          <w:szCs w:val="22"/>
        </w:rPr>
        <w:t xml:space="preserve"> An auditor can examine not only whether access occurred, but also whether the requester possessed a valid identity, whether the required authorisation threshold was satisfied, whether the requested data complied with the authorised scope, and which conditions produced the final decision. As shown in Figure 21, the auditor subsystem provides an auditable record that can be used to reconstruct and verify the consent lifecycle. For the evaluated consent, audit records are generated throughout the workflow to provide evidence of consent creation, participant verification, approval events, authorisation-state evaluation, data-access decisions, and relevant lifecycle transitions, including the on-chain mint and the revocation. However, the blockchain itself is not treated as the source of trust. Its role is to strengthen integrity, non-repudiation, and auditability of the evidence generated by the authorisation process. Because an application ledger could in principle contain fabricated entries, an independent verification tool fetches the receipt of every recorded transaction from Sepolia and </w:t>
      </w:r>
      <w:r>
        <w:rPr>
          <w:rFonts w:ascii="Times New Roman" w:cs="Times New Roman" w:eastAsia="Times New Roman" w:hAnsi="Times New Roman"/>
          <w:sz w:val="22"/>
          <w:szCs w:val="22"/>
        </w:rPr>
        <w:t xml:space="preserve">compares the on-chain record and revocation state of tokens #1 and #2 on the current contract with the local state, with the result shown in Figure 22. Token #8 of the earlier deployment is skipped by the tool.</w:t>
      </w:r>
    </w:p>
    <w:p>
      <w:pPr>
        <w:keepNext/>
        <w:spacing w:after="60" w:before="160"/>
        <w:jc w:val="center"/>
      </w:pPr>
      <w:r>
        <w:drawing>
          <wp:inline distT="0" distB="0" distL="0" distR="0">
            <wp:extent cx="5715000" cy="3067050"/>
            <wp:effectExtent t="0" r="0" b="0" l="0"/>
            <wp:docPr id="1" name="F39.png" descr="Auditor subsystem (two captures joined): aggregate indicators and the audit ledger rows of the evaluated consent" title="Auditor subsystem (two captures joined): aggregate indicators and the audit ledger rows of the evaluated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0670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21: </w:t>
      </w:r>
      <w:r>
        <w:rPr>
          <w:rFonts w:ascii="Times New Roman" w:cs="Times New Roman" w:eastAsia="Times New Roman" w:hAnsi="Times New Roman"/>
          <w:sz w:val="18"/>
          <w:szCs w:val="18"/>
        </w:rPr>
        <w:t xml:space="preserve">Auditor subsystem </w:t>
      </w:r>
      <w:r>
        <w:rPr>
          <w:rFonts w:ascii="Times New Roman" w:cs="Times New Roman" w:eastAsia="Times New Roman" w:hAnsi="Times New Roman"/>
          <w:sz w:val="18"/>
          <w:szCs w:val="18"/>
        </w:rPr>
        <w:t xml:space="preserve">(two captures joined)</w:t>
      </w:r>
      <w:r>
        <w:rPr>
          <w:rFonts w:ascii="Times New Roman" w:cs="Times New Roman" w:eastAsia="Times New Roman" w:hAnsi="Times New Roman"/>
          <w:sz w:val="18"/>
          <w:szCs w:val="18"/>
        </w:rPr>
        <w:t xml:space="preserve">: aggregate indicators and the audit ledger rows of the evaluated consent.</w:t>
      </w:r>
    </w:p>
    <w:p>
      <w:pPr>
        <w:keepNext/>
        <w:spacing w:after="60" w:before="160"/>
        <w:jc w:val="center"/>
      </w:pPr>
      <w:r>
        <w:drawing>
          <wp:inline distT="0" distB="0" distL="0" distR="0">
            <wp:extent cx="5715000" cy="3295650"/>
            <wp:effectExtent t="0" r="0" b="0" l="0"/>
            <wp:docPr id="1" name="F40.png" descr="Independent verification against Sepolia, abridged (hashes and addresses shortened, the notes on the earlier deployment added, and the lines for unanchored consents and the skipped token #8 omitted): RESULT: ALL CHECKS PASSED" title="Independent verification against Sepolia, abridged (hashes and addresses shortened, the notes on the earlier deployment added, and the lines for unanchored consents and the skipped token #8 omitted): RESULT: ALL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2956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22: </w:t>
      </w:r>
      <w:r>
        <w:rPr>
          <w:rFonts w:ascii="Times New Roman" w:cs="Times New Roman" w:eastAsia="Times New Roman" w:hAnsi="Times New Roman"/>
          <w:sz w:val="18"/>
          <w:szCs w:val="18"/>
        </w:rPr>
        <w:t xml:space="preserve">Independent verification against Sepolia, abridged (hashes and addresses shortened, the notes on the earlier deployment added, and the lines for unanchored consents and the skipped token #8 omitted): RESULT: ALL CHECKS PASSED</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Table 7 maps the framework components, each corresponding to a distinct responsibility within the trust-oriented authorisation process, to the HALAH subsystems. The mapping shows that the subsystems cooperate through a controlled authorisation sequence rather than through unrestricted direct communication. The subsystems represent different interaction responsibilities but share the same architectural principle: none of them independently determines whether access should be granted.</w:t>
      </w:r>
    </w:p>
    <w:p>
      <w:pPr>
        <w:keepNext/>
        <w:spacing w:after="80" w:before="200"/>
        <w:jc w:val="center"/>
      </w:pPr>
      <w:r>
        <w:rPr>
          <w:rFonts w:ascii="Times New Roman" w:cs="Times New Roman" w:eastAsia="Times New Roman" w:hAnsi="Times New Roman"/>
          <w:b/>
          <w:bCs/>
          <w:sz w:val="18"/>
          <w:szCs w:val="18"/>
        </w:rPr>
        <w:t xml:space="preserve">Table 7: </w:t>
      </w:r>
      <w:r>
        <w:rPr>
          <w:rFonts w:ascii="Times New Roman" w:cs="Times New Roman" w:eastAsia="Times New Roman" w:hAnsi="Times New Roman"/>
          <w:sz w:val="18"/>
          <w:szCs w:val="18"/>
        </w:rPr>
        <w:t xml:space="preserve">Correspondence between the HALAH framework components and the implemented subsystems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2828"/>
        <w:gridCol w:w="2828"/>
        <w:gridCol w:w="3472"/>
      </w:tblGrid>
      <w:tr>
        <w:trPr>
          <w:cantSplit/>
          <w:tblHeader/>
        </w:trPr>
        <w:tc>
          <w:tcPr>
            <w:tcW w:type="dxa" w:w="282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HALAH Framework Component</w:t>
            </w:r>
          </w:p>
        </w:tc>
        <w:tc>
          <w:tcPr>
            <w:tcW w:type="dxa" w:w="282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Implementation Subsystem</w:t>
            </w:r>
          </w:p>
        </w:tc>
        <w:tc>
          <w:tcPr>
            <w:tcW w:type="dxa" w:w="347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Main Function</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Consent Object Construction</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Create Smart Consent Contract</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Defines patient, authorised doctor, data scope, guardians, jurisdiction and temporal validity</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Identity &amp; Authorisation</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Guardian Cryptographic Approval</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Checks the guardian DID format and verifies the EIP-712 signatures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Multi-party Consent</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Guardian Cryptographic Approval</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Implements the 2-of-2 approval condition</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Consent Activation</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Guardian Cryptographic Approval</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Mints the SBT on Sepolia and marks the consent as fully activated</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Consent-State Management</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Checks whether the consent is ACTIVE</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Scope Enforcement</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Restricts access to authorised EMR modules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Cryptographic Access Control</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Verifies the request, including a Groth16 proof, before granting data</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Jurisdictional Constraint (L)</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Refuses requests whose declared jurisdiction differs from the consent</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Healthcare Data Access</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Provides the authorised Observation, Medication, Condition and Procedure records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Authorisation Evidence / Revocation (E)</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My Consents (Patient)</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Revokes the consent locally and on-chain</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Lifecycle Traceability</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Blockchain Audit &amp; Consent Lifecycle</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Reconstructs the chronological consent process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Accountability</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Detailed Audit Records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Provides event-level evidence with transaction hashes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Ledger Integrity</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Complete Ledger + independent verification</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Confirms the anchored part of the recorded history against Sepolia</w:t>
            </w:r>
          </w:p>
        </w:tc>
      </w:tr>
    </w:tbl>
    <w:p>
      <w:pPr>
        <w:spacing w:after="160"/>
      </w:pPr>
    </w:p>
    <w:p>
      <w:pPr>
        <w:pStyle w:val="Heading2"/>
        <w:keepNext/>
        <w:spacing w:after="120" w:before="240"/>
      </w:pPr>
      <w:r>
        <w:rPr>
          <w:rFonts w:ascii="Times New Roman" w:cs="Times New Roman" w:eastAsia="Times New Roman" w:hAnsi="Times New Roman"/>
          <w:b/>
          <w:bCs/>
          <w:sz w:val="26"/>
          <w:szCs w:val="26"/>
        </w:rPr>
        <w:t xml:space="preserve">11.3  </w:t>
      </w:r>
      <w:r>
        <w:rPr>
          <w:rFonts w:ascii="Times New Roman" w:cs="Times New Roman" w:eastAsia="Times New Roman" w:hAnsi="Times New Roman"/>
          <w:b/>
          <w:bCs/>
          <w:sz w:val="26"/>
          <w:szCs w:val="26"/>
        </w:rPr>
        <w:t xml:space="preserve">Measured Results</w:t>
      </w:r>
    </w:p>
    <w:p>
      <w:pPr>
        <w:spacing w:after="110" w:line="264"/>
        <w:jc w:val="both"/>
      </w:pPr>
      <w:r>
        <w:rPr>
          <w:rFonts w:ascii="Times New Roman" w:cs="Times New Roman" w:eastAsia="Times New Roman" w:hAnsi="Times New Roman"/>
          <w:sz w:val="22"/>
          <w:szCs w:val="22"/>
        </w:rPr>
        <w:t xml:space="preserve">The measurements are not intended as a high-throughput performance benchmark. The measurements are taken from the exported 60-event audit ledger, the receipts of the five anchored transactions, and repeated runs on 1 October 2026 in the development container used for the demonstration. Table 8 presents the on-chain cost and the submit-to-confirmation latency of the five anchored transactions. The submit-to-confirmation time is the interval between the ledger timestamps of the local and on-chain events, so it includes signing and submission as well as the wait for the receipt.</w:t>
      </w:r>
    </w:p>
    <w:p>
      <w:pPr>
        <w:keepNext/>
        <w:spacing w:after="80" w:before="200"/>
        <w:jc w:val="center"/>
      </w:pPr>
      <w:r>
        <w:rPr>
          <w:rFonts w:ascii="Times New Roman" w:cs="Times New Roman" w:eastAsia="Times New Roman" w:hAnsi="Times New Roman"/>
          <w:b/>
          <w:bCs/>
          <w:sz w:val="18"/>
          <w:szCs w:val="18"/>
        </w:rPr>
        <w:t xml:space="preserve">Table 8: </w:t>
      </w:r>
      <w:r>
        <w:rPr>
          <w:rFonts w:ascii="Times New Roman" w:cs="Times New Roman" w:eastAsia="Times New Roman" w:hAnsi="Times New Roman"/>
          <w:sz w:val="18"/>
          <w:szCs w:val="18"/>
        </w:rPr>
        <w:t xml:space="preserve">On-chain cost and submit-to-confirmation latency of the five anchored Sepolia transactions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657"/>
        <w:gridCol w:w="1365"/>
        <w:gridCol w:w="1170"/>
        <w:gridCol w:w="1033"/>
        <w:gridCol w:w="1033"/>
        <w:gridCol w:w="1170"/>
        <w:gridCol w:w="1700"/>
      </w:tblGrid>
      <w:tr>
        <w:trPr>
          <w:cantSplit/>
          <w:tblHeader/>
        </w:trPr>
        <w:tc>
          <w:tcPr>
            <w:tcW w:type="dxa" w:w="1657"/>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Transaction</w:t>
            </w:r>
          </w:p>
        </w:tc>
        <w:tc>
          <w:tcPr>
            <w:tcW w:type="dxa" w:w="1365"/>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Consent and token</w:t>
            </w:r>
          </w:p>
        </w:tc>
        <w:tc>
          <w:tcPr>
            <w:tcW w:type="dxa" w:w="117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Block</w:t>
            </w:r>
          </w:p>
        </w:tc>
        <w:tc>
          <w:tcPr>
            <w:tcW w:type="dxa" w:w="10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Gas used</w:t>
            </w:r>
          </w:p>
        </w:tc>
        <w:tc>
          <w:tcPr>
            <w:tcW w:type="dxa" w:w="10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Gas price (gwei)</w:t>
            </w:r>
          </w:p>
        </w:tc>
        <w:tc>
          <w:tcPr>
            <w:tcW w:type="dxa" w:w="117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Fee (ETH)</w:t>
            </w:r>
          </w:p>
        </w:tc>
        <w:tc>
          <w:tcPr>
            <w:tcW w:type="dxa" w:w="17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Submit-to-confirmation (s)</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Mint, previous deployment</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011bbb21, token #8</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11,757,272</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156,589</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1.07</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0.000167</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11.5</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Revoke, previous deployment</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011bbb21, token #8</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11,757,344</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46,226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1.10</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0.000051</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13.5</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Mint, ConsentSBTv3</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f050c29a, token #1</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11,771,243</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196,406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1.06</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0.000209</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4.9</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Revoke, ConsentSBTv3</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f050c29a, token #1</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11,771,307</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32,980</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1.04</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0.000034</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10.4</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Mint, ConsentSBTv3</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04da25f5, token #2</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11,771,581</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179,306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1.05</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0.000189</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22.1</w:t>
            </w:r>
          </w:p>
        </w:tc>
      </w:tr>
    </w:tbl>
    <w:p>
      <w:pPr>
        <w:spacing w:after="160"/>
      </w:pPr>
    </w:p>
    <w:p>
      <w:pPr>
        <w:spacing w:after="110" w:line="264"/>
        <w:jc w:val="both"/>
      </w:pPr>
      <w:r>
        <w:rPr>
          <w:rFonts w:ascii="Times New Roman" w:cs="Times New Roman" w:eastAsia="Times New Roman" w:hAnsi="Times New Roman"/>
          <w:sz w:val="22"/>
          <w:szCs w:val="22"/>
        </w:rPr>
        <w:t xml:space="preserve">As shown in Figure 23, on the current contract the revocation of token #1 used about one sixth of the gas of its mint, because a mint creates a token and writes a complete consent record, while a revocation changes only a single flag. No fee exceeded 0.00021 ETH, but Sepolia ether has no monetary value, so the portable measure of cost is the gas used rather than the fee.</w:t>
      </w:r>
    </w:p>
    <w:p>
      <w:pPr>
        <w:keepNext/>
        <w:spacing w:after="60" w:before="160"/>
        <w:jc w:val="center"/>
      </w:pPr>
      <w:r>
        <w:drawing>
          <wp:inline distT="0" distB="0" distL="0" distR="0">
            <wp:extent cx="5715000" cy="3181350"/>
            <wp:effectExtent t="0" r="0" b="0" l="0"/>
            <wp:docPr id="1" name="F41.png" descr="Gas used by the five anchored Sepolia transactions" title="Gas used by the five anchored Sepolia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1813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23: </w:t>
      </w:r>
      <w:r>
        <w:rPr>
          <w:rFonts w:ascii="Times New Roman" w:cs="Times New Roman" w:eastAsia="Times New Roman" w:hAnsi="Times New Roman"/>
          <w:sz w:val="18"/>
          <w:szCs w:val="18"/>
        </w:rPr>
        <w:t xml:space="preserve">Gas used by the five anchored Sepolia transactions.</w:t>
      </w:r>
    </w:p>
    <w:p>
      <w:pPr>
        <w:spacing w:after="110" w:line="264"/>
        <w:jc w:val="both"/>
      </w:pPr>
      <w:r>
        <w:rPr>
          <w:rFonts w:ascii="Times New Roman" w:cs="Times New Roman" w:eastAsia="Times New Roman" w:hAnsi="Times New Roman"/>
          <w:sz w:val="22"/>
          <w:szCs w:val="22"/>
        </w:rPr>
        <w:t xml:space="preserve">Table 9 shows how the validation procedure provides traceability between the final access decision and its supporting evidence. The ledger row of the single logged DENY, the jurisdiction scenario, records the proof check as passed and the scope as valid, so the refusal was produced by the decision matrix alone</w:t>
      </w:r>
      <w:r>
        <w:rPr>
          <w:rFonts w:ascii="Times New Roman" w:cs="Times New Roman" w:eastAsia="Times New Roman" w:hAnsi="Times New Roman"/>
          <w:color w:val="FF0000"/>
          <w:sz w:val="22"/>
          <w:szCs w:val="22"/>
        </w:rPr>
        <w:t xml:space="preserve">;</w:t>
      </w:r>
      <w:r>
        <w:rPr>
          <w:rFonts w:ascii="Times New Roman" w:cs="Times New Roman" w:eastAsia="Times New Roman" w:hAnsi="Times New Roman"/>
          <w:color w:val="FF0000"/>
          <w:sz w:val="22"/>
          <w:szCs w:val="22"/>
        </w:rPr>
        <w:t xml:space="preserve"> the proof mode itself is written only on granted rows, which is why Table 9 shows it as not logged for that row</w:t>
      </w:r>
      <w:r>
        <w:rPr>
          <w:rFonts w:ascii="Times New Roman" w:cs="Times New Roman" w:eastAsia="Times New Roman" w:hAnsi="Times New Roman"/>
          <w:sz w:val="22"/>
          <w:szCs w:val="22"/>
        </w:rPr>
        <w:t xml:space="preserve">. In each of the six logged evaluations, the recorded audit evidence is consistent with the actual authorisation decision. Consequently, validation does not merely determine whether the final output is ALLOW or DENY</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it also determines whether the underlying evidence is consistent with the decision. In the logged decisions, the implementation consistently produces an ALLOW decision only when the required trust conditions are satisfied and produces a DENY decision when one or more required conditions are violated. The three earlier grants of 22 September 2026 predate the logging of the matrix and of the proof mode. Similarly, the refusal after revocation has no ledger row, because the doctor subsystem stops the request before it can be submitted.</w:t>
      </w:r>
    </w:p>
    <w:p>
      <w:pPr>
        <w:keepNext/>
        <w:spacing w:after="80" w:before="200"/>
        <w:jc w:val="center"/>
      </w:pPr>
      <w:r>
        <w:rPr>
          <w:rFonts w:ascii="Times New Roman" w:cs="Times New Roman" w:eastAsia="Times New Roman" w:hAnsi="Times New Roman"/>
          <w:b/>
          <w:bCs/>
          <w:sz w:val="18"/>
          <w:szCs w:val="18"/>
        </w:rPr>
        <w:t xml:space="preserve">Table 9: </w:t>
      </w:r>
      <w:r>
        <w:rPr>
          <w:rFonts w:ascii="Times New Roman" w:cs="Times New Roman" w:eastAsia="Times New Roman" w:hAnsi="Times New Roman"/>
          <w:sz w:val="18"/>
          <w:szCs w:val="18"/>
        </w:rPr>
        <w:t xml:space="preserve">Access decisions recorded in the audit ledger, with the decision matrix of each logged evaluation and the access result that followed. Rows are the index numbers of the exported ledger, counted from 0, and n/l means not logged</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682"/>
        <w:gridCol w:w="975"/>
        <w:gridCol w:w="1033"/>
        <w:gridCol w:w="682"/>
        <w:gridCol w:w="682"/>
        <w:gridCol w:w="682"/>
        <w:gridCol w:w="682"/>
        <w:gridCol w:w="682"/>
        <w:gridCol w:w="975"/>
        <w:gridCol w:w="1072"/>
        <w:gridCol w:w="981"/>
      </w:tblGrid>
      <w:tr>
        <w:trPr>
          <w:cantSplit/>
          <w:tblHeader/>
        </w:trPr>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Rows</w:t>
            </w:r>
          </w:p>
        </w:tc>
        <w:tc>
          <w:tcPr>
            <w:tcW w:type="dxa" w:w="975"/>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Date and time</w:t>
            </w:r>
          </w:p>
        </w:tc>
        <w:tc>
          <w:tcPr>
            <w:tcW w:type="dxa" w:w="10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Consent</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I</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A</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P</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T</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L</w:t>
            </w:r>
          </w:p>
        </w:tc>
        <w:tc>
          <w:tcPr>
            <w:tcW w:type="dxa" w:w="975"/>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Decision</w:t>
            </w:r>
          </w:p>
        </w:tc>
        <w:tc>
          <w:tcPr>
            <w:tcW w:type="dxa" w:w="107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Access result</w:t>
            </w:r>
          </w:p>
        </w:tc>
        <w:tc>
          <w:tcPr>
            <w:tcW w:type="dxa" w:w="98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Proof mode</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41, 42</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24 Sep 09:51:36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f050c29a</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43, 44</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24 Sep 09:51:39</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f050c29a</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45, 46</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24 Sep 10:02:50</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f050c29a</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FAIL</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DENY</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DENIED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54, 55</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24 Sep 11:02:52</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04da25f5</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56, 57</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24 Sep 11:04:16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04da25f5</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58, 59</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24 Sep 11:04:26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04da25f5</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8, 21, 32</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22 Sep 10:07 to 10:21</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f5a8ad89, cd9a24bd, 011bbb21</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GRANTED (3)</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r>
    </w:tbl>
    <w:p>
      <w:pPr>
        <w:spacing w:after="160"/>
      </w:pPr>
    </w:p>
    <w:p>
      <w:pPr>
        <w:spacing w:after="110" w:line="264"/>
        <w:jc w:val="both"/>
      </w:pPr>
      <w:r>
        <w:rPr>
          <w:rFonts w:ascii="Times New Roman" w:cs="Times New Roman" w:eastAsia="Times New Roman" w:hAnsi="Times New Roman"/>
          <w:sz w:val="22"/>
          <w:szCs w:val="22"/>
        </w:rPr>
        <w:t xml:space="preserve">Table 10 summarises the processing time of the decision components, with the decision rule timed over 1,000 evaluations of the five predicates on a loaded consent object without signature recovery.</w:t>
      </w:r>
    </w:p>
    <w:p>
      <w:pPr>
        <w:keepNext/>
        <w:spacing w:after="80" w:before="200"/>
        <w:jc w:val="center"/>
      </w:pPr>
      <w:r>
        <w:rPr>
          <w:rFonts w:ascii="Times New Roman" w:cs="Times New Roman" w:eastAsia="Times New Roman" w:hAnsi="Times New Roman"/>
          <w:b/>
          <w:bCs/>
          <w:sz w:val="18"/>
          <w:szCs w:val="18"/>
        </w:rPr>
        <w:t xml:space="preserve">Table 10: </w:t>
      </w:r>
      <w:r>
        <w:rPr>
          <w:rFonts w:ascii="Times New Roman" w:cs="Times New Roman" w:eastAsia="Times New Roman" w:hAnsi="Times New Roman"/>
          <w:sz w:val="18"/>
          <w:szCs w:val="18"/>
        </w:rPr>
        <w:t xml:space="preserve">Processing time of the decision components and of the on-chain reads of the verification tool, measured in the development container</w:t>
      </w:r>
      <w:r>
        <w:rPr>
          <w:rFonts w:ascii="Times New Roman" w:cs="Times New Roman" w:eastAsia="Times New Roman" w:hAnsi="Times New Roman"/>
          <w:sz w:val="18"/>
          <w:szCs w:val="18"/>
        </w:rPr>
        <w:t xml:space="preserve"> used for the demonstration, with the anchoring confirmation taken from Table 8</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3081"/>
        <w:gridCol w:w="1209"/>
        <w:gridCol w:w="1209"/>
        <w:gridCol w:w="1209"/>
        <w:gridCol w:w="1209"/>
        <w:gridCol w:w="1211"/>
      </w:tblGrid>
      <w:tr>
        <w:trPr>
          <w:cantSplit/>
          <w:tblHeader/>
        </w:trPr>
        <w:tc>
          <w:tcPr>
            <w:tcW w:type="dxa" w:w="308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Component</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Median</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Mean</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Minimum</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Maximum</w:t>
            </w:r>
          </w:p>
        </w:tc>
        <w:tc>
          <w:tcPr>
            <w:tcW w:type="dxa" w:w="121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n</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Decision rule, five predicates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2.37 µs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2.60 µs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2.32 µs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31.59 µs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1,000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EIP-712 signature recovery, one signature</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10.93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11.67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10.55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15.64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 proof generation</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1,401.1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1,597.0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1,342.8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5,349.6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 proof verification</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465.3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472.5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441.0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525.1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On-chain checkValid read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573.5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587.4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568.2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715.5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On-chain checkValidAt read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574.6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592.7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568.2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745.6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Anchoring confirmation</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11.5 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12.5 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4.9 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22.1 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w:t>
            </w:r>
          </w:p>
        </w:tc>
      </w:tr>
    </w:tbl>
    <w:p>
      <w:pPr>
        <w:spacing w:after="160"/>
      </w:pPr>
    </w:p>
    <w:p>
      <w:pPr>
        <w:spacing w:after="110" w:line="264"/>
        <w:jc w:val="both"/>
      </w:pPr>
      <w:r>
        <w:rPr>
          <w:rFonts w:ascii="Times New Roman" w:cs="Times New Roman" w:eastAsia="Times New Roman" w:hAnsi="Times New Roman"/>
          <w:sz w:val="22"/>
          <w:szCs w:val="22"/>
        </w:rPr>
        <w:t xml:space="preserve">As shown in Figure 24, the time taken to evaluate the decision rule is negligible, and signature recovery takes about 11 ms per guardian, whereas the Groth16 proof dominates the interactive path of an access request. The proof times include process start-up as well as cryptographic work, and at the median the proof takes more than 98 per cent of the roughly 1.9 s of one access request. Anchoring confirmation is the slowest step, but it runs in the background, so it delays neither the guardians nor the doctor.</w:t>
      </w:r>
    </w:p>
    <w:p>
      <w:pPr>
        <w:keepNext/>
        <w:spacing w:after="60" w:before="160"/>
        <w:jc w:val="center"/>
      </w:pPr>
      <w:r>
        <w:drawing>
          <wp:inline distT="0" distB="0" distL="0" distR="0">
            <wp:extent cx="5715000" cy="2876550"/>
            <wp:effectExtent t="0" r="0" b="0" l="0"/>
            <wp:docPr id="1" name="F42.png" descr="Processing time of the decision components on a logarithmic axis (median and minimum to maximum). The checkValid read of Table 10 is not plotted, as its values are close to those of the checkValidAt read" title="Processing time of the decision components on a logarithmic axis (median and minimum to maximum). The checkValid read of Table 10 is not plotted, as its values are close to those of the checkValidAt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8765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24: </w:t>
      </w:r>
      <w:r>
        <w:rPr>
          <w:rFonts w:ascii="Times New Roman" w:cs="Times New Roman" w:eastAsia="Times New Roman" w:hAnsi="Times New Roman"/>
          <w:sz w:val="18"/>
          <w:szCs w:val="18"/>
        </w:rPr>
        <w:t xml:space="preserve">Processing time of the decision components on a logarithmic axis (median and minimum to maximum). The checkValid read of Table 10 is not plotted, as its values are close to those of the checkValidAt read</w:t>
      </w:r>
      <w:r>
        <w:rPr>
          <w:rFonts w:ascii="Times New Roman" w:cs="Times New Roman" w:eastAsia="Times New Roman" w:hAnsi="Times New Roman"/>
          <w:sz w:val="18"/>
          <w:szCs w:val="18"/>
        </w:rPr>
        <w:t xml:space="preserve">.</w:t>
      </w:r>
    </w:p>
    <w:p>
      <w:pPr>
        <w:pStyle w:val="Heading2"/>
        <w:keepNext/>
        <w:spacing w:after="120" w:before="240"/>
      </w:pPr>
      <w:r>
        <w:rPr>
          <w:rFonts w:ascii="Times New Roman" w:cs="Times New Roman" w:eastAsia="Times New Roman" w:hAnsi="Times New Roman"/>
          <w:b/>
          <w:bCs/>
          <w:sz w:val="26"/>
          <w:szCs w:val="26"/>
        </w:rPr>
        <w:t xml:space="preserve">11.4  </w:t>
      </w:r>
      <w:r>
        <w:rPr>
          <w:rFonts w:ascii="Times New Roman" w:cs="Times New Roman" w:eastAsia="Times New Roman" w:hAnsi="Times New Roman"/>
          <w:b/>
          <w:bCs/>
          <w:sz w:val="26"/>
          <w:szCs w:val="26"/>
        </w:rPr>
        <w:t xml:space="preserve">Unit-Level Adversarial Tests</w:t>
      </w:r>
    </w:p>
    <w:p>
      <w:pPr>
        <w:spacing w:after="110" w:line="264"/>
        <w:jc w:val="both"/>
      </w:pPr>
      <w:r>
        <w:rPr>
          <w:rFonts w:ascii="Times New Roman" w:cs="Times New Roman" w:eastAsia="Times New Roman" w:hAnsi="Times New Roman"/>
          <w:sz w:val="22"/>
          <w:szCs w:val="22"/>
        </w:rPr>
        <w:t xml:space="preserve">The adversarial test set is particularly important because a framework should not only demonstrate that legitimate requests succeed, but also demonstrate resilience against foreseeable attempts to bypass its security controls. The adversarial tests assume honest infrastructure and exercise the decision functions, the proof verifier, the audit digest function, and the contract at unit level, never the running application, its data store, or the Sepolia deployment. The adversary, whether an outside requester or a participant of the consent, tries to obtain or keep access without satisfying a condition of C, or to alter the anchored consent or the recorded evidence of a decision. It can supply crafted inputs to the decision functions, alter the bits of a Groth16 proof or its public signals, and send transactions to the contract from an account that is not its owner. Several capabilities are outside the scope of this evaluation because the prototype does not defend against them, for example, the interface authenticates no role and guardian signing keys derive from the public guardian DIDs. The adversary is also assumed to have no write access to the stores, apart from rewriting an audit event, and no control of the server clock.</w:t>
      </w:r>
    </w:p>
    <w:p>
      <w:pPr>
        <w:spacing w:after="110" w:line="264"/>
        <w:jc w:val="both"/>
      </w:pPr>
      <w:r>
        <w:rPr>
          <w:rFonts w:ascii="Times New Roman" w:cs="Times New Roman" w:eastAsia="Times New Roman" w:hAnsi="Times New Roman"/>
          <w:sz w:val="22"/>
          <w:szCs w:val="22"/>
        </w:rPr>
        <w:t xml:space="preserve">The twelve scenarios A1 to A12 include replayed approvals, duplicate approvals, unauthorised participants attempting to satisfy a threshold, attempts to access data outside the authorised scope, and attempts to use a revoked or expired consent object. Each scenario is associated with an expected authorisation outcome and the security properties that it is intended to evaluate. A scenario is counted as refused when the targeted predicate fails and the decision is DENY, or when the scope check, the Groth16 prover or verifier, or the contract rejects the input.</w:t>
      </w:r>
    </w:p>
    <w:p>
      <w:pPr>
        <w:spacing w:after="110" w:line="264"/>
        <w:jc w:val="both"/>
      </w:pPr>
      <w:r>
        <w:rPr>
          <w:rFonts w:ascii="Times New Roman" w:cs="Times New Roman" w:eastAsia="Times New Roman" w:hAnsi="Times New Roman"/>
          <w:sz w:val="22"/>
          <w:szCs w:val="22"/>
        </w:rPr>
        <w:t xml:space="preserve">Table 11 and Figure 25 record whether each scenario has passed or failed. Before the hardening, three attacks, A1, A3, and A5, were accepted when the service functions were called directly. This confirms that a system may be conceptually correct but incorrectly implemented, or may pass functional tests while failing under invalid or adversarial conditions. Any failed scenario is analysed to determine the source and significance of the failure. The purpose of this analysis is not to conceal unsuccessful cases but to determine whether observed failures represent violations of the intended security properties or limitations that should be addressed in future work. None of the three was reachable through the interface as used in the demonstration of 24 September 2026, so they represent a gap in defence in depth rather than a demonstrated breach of the deployed system. Accordingly, in the service layer, invalid, unauthorised, or duplicate approval attempts are rejected and do not contribute to the valid approval count, and an empty request is refused. This ensures that the threshold cannot be artificially satisfied by repeated or illegitimate approval submissions. After this hardening, eleven of the twelve scenarios are refused and the full suite of 36 tests passes, while in the twelfth, A11, a rewritten audit event changes its digest, which no component of the prototype compares.</w:t>
      </w:r>
    </w:p>
    <w:p>
      <w:pPr>
        <w:keepNext/>
        <w:spacing w:after="80" w:before="200"/>
        <w:jc w:val="center"/>
      </w:pPr>
      <w:r>
        <w:rPr>
          <w:rFonts w:ascii="Times New Roman" w:cs="Times New Roman" w:eastAsia="Times New Roman" w:hAnsi="Times New Roman"/>
          <w:b/>
          <w:bCs/>
          <w:sz w:val="18"/>
          <w:szCs w:val="18"/>
        </w:rPr>
        <w:t xml:space="preserve">Table 11: </w:t>
      </w:r>
      <w:r>
        <w:rPr>
          <w:rFonts w:ascii="Times New Roman" w:cs="Times New Roman" w:eastAsia="Times New Roman" w:hAnsi="Times New Roman"/>
          <w:sz w:val="18"/>
          <w:szCs w:val="18"/>
        </w:rPr>
        <w:t xml:space="preserve">Unit-level adversarial tests A1 to A12, their targeted component and their outcome before the hardening and after the hardening of 1 October 2026</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585"/>
        <w:gridCol w:w="1560"/>
        <w:gridCol w:w="877"/>
        <w:gridCol w:w="1033"/>
        <w:gridCol w:w="1209"/>
        <w:gridCol w:w="1150"/>
        <w:gridCol w:w="2714"/>
      </w:tblGrid>
      <w:tr>
        <w:trPr>
          <w:cantSplit/>
          <w:tblHeader/>
        </w:trPr>
        <w:tc>
          <w:tcPr>
            <w:tcW w:type="dxa" w:w="585"/>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ID</w:t>
            </w:r>
          </w:p>
        </w:tc>
        <w:tc>
          <w:tcPr>
            <w:tcW w:type="dxa" w:w="156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Attack</w:t>
            </w:r>
          </w:p>
        </w:tc>
        <w:tc>
          <w:tcPr>
            <w:tcW w:type="dxa" w:w="877"/>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Target</w:t>
            </w:r>
          </w:p>
        </w:tc>
        <w:tc>
          <w:tcPr>
            <w:tcW w:type="dxa" w:w="10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Expected</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Before hardening</w:t>
            </w:r>
          </w:p>
        </w:tc>
        <w:tc>
          <w:tcPr>
            <w:tcW w:type="dxa" w:w="115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After hardening</w:t>
            </w:r>
          </w:p>
        </w:tc>
        <w:tc>
          <w:tcPr>
            <w:tcW w:type="dxa" w:w="271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Evidence</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A1</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Approval signed by a signer outside G</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Accepted at unit level (blocked in the interface)</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test_​A1_​signer_​outside_​G_​is_​not_​counted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A2</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Guardian signature replayed from another consent</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test_​A2_​replayed_​signature_​is_​rejected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A3</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Same guardian approves twice to reach N</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Accepted at unit level (blocked in the interface)</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test_​A3_​duplicate_​approval_​does_​not_​reach_​threshold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A4</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Requested scope exceeds the authorised scope</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 (scope check)</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test_​A4_​over_​scope_​request_​is_​rejected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A5</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Request with an empty scope</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 (scope check)</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Accepted at unit level (blocked in the interface)</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test_​A5_​empty_​scope_​is_​rejected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A6</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Request before notBefore or after expiry</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test_​A6_​outside_​validity_​interval_​is_​denied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A7</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Requester declares a different jurisdiction</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L</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test_​A7_​jurisdiction_​mismatch_​is_​denied. Live application decision, 24 Sep: Figure 19</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A8</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Access after revocation</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 (via VA)</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test_​A8_​revoked_​consent_​is_​denied (local flag). Separate on-chain revocation, Sepolia block 11,771,307, 24 Sep</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A9</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Tampered Groth16 proof or public signal</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test_​A9_​tampered_​proof_​fails_​verification</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A10</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Honest proof generation for an expired consent</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test_​A10_​honest_​prover_​cannot_​prove_​expired_​consent (honest prover only)</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A11</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Result field of a recorded audit event rewritten</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Digest differs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Digest differs</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Digest differs</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test_​A11_​rewritten_​event_​changes_​its_​digest (no component compares the digest)</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A12</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Mint or revoke by a non-owner, or token transfer</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Contract</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test_​A12_​non_​owner_​cannot_​mint_​or_​revoke (in-memory EVM, not Sepolia)</w:t>
            </w:r>
          </w:p>
        </w:tc>
      </w:tr>
    </w:tbl>
    <w:p>
      <w:pPr>
        <w:spacing w:after="160"/>
      </w:pPr>
    </w:p>
    <w:p>
      <w:pPr>
        <w:keepNext/>
        <w:spacing w:after="60" w:before="160"/>
        <w:jc w:val="center"/>
      </w:pPr>
      <w:r>
        <w:drawing>
          <wp:inline distT="0" distB="0" distL="0" distR="0">
            <wp:extent cx="5715000" cy="4181475"/>
            <wp:effectExtent t="0" r="0" b="0" l="0"/>
            <wp:docPr id="1" name="F43.png" descr="Adversarial evaluation matrix for scenarios A1 to A12 before and after the hardening of 1 October 2026" title="Adversarial evaluation matrix for scenarios A1 to A12 before and after the hardening of 1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418147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25: </w:t>
      </w:r>
      <w:r>
        <w:rPr>
          <w:rFonts w:ascii="Times New Roman" w:cs="Times New Roman" w:eastAsia="Times New Roman" w:hAnsi="Times New Roman"/>
          <w:sz w:val="18"/>
          <w:szCs w:val="18"/>
        </w:rPr>
        <w:t xml:space="preserve">Adversarial evaluation matrix for scenarios A1 to A12 before and after the hardening of 1 October 2026.</w:t>
      </w:r>
    </w:p>
    <w:p>
      <w:pPr>
        <w:spacing w:after="110" w:line="264"/>
        <w:jc w:val="both"/>
      </w:pPr>
      <w:r>
        <w:rPr>
          <w:rFonts w:ascii="Times New Roman" w:cs="Times New Roman" w:eastAsia="Times New Roman" w:hAnsi="Times New Roman"/>
          <w:sz w:val="22"/>
          <w:szCs w:val="22"/>
        </w:rPr>
        <w:t xml:space="preserve">The analysis distinguishes between implementation defects, policy-definition errors, integration problems, incomplete security controls, and limitations of the experimental environment. The evaluation has six limitations. First, A12 runs the contract source on an in-memory Ethereum virtual machine, so it does not show the behaviour of the deployed bytecode. Second, the SHA-256 digest of the audit ledger is neither keyed nor chained, so the ledger is not tamper-evident against a party with write access to the store. Third, the signed guardian message covers only the consent identifier, the guardian, and the network, so a change of scope, purpose, requester, expiry, or jurisdiction after approval is not detected. Fourth, A6 relies on the server clock, A7 on the jurisdiction declared by the requester, and A8 on the revocation flag of the local store. Fifth, the Groth16 result holds under a single-party development trusted setup, with the prover and the verifier on the same server. Sixth, the measurements come from a single container and five transactions, so they are indicative only.</w:t>
      </w:r>
    </w:p>
    <w:p>
      <w:pPr>
        <w:pStyle w:val="Heading2"/>
        <w:keepNext/>
        <w:spacing w:after="120" w:before="240"/>
      </w:pPr>
      <w:r>
        <w:rPr>
          <w:rFonts w:ascii="Times New Roman" w:cs="Times New Roman" w:eastAsia="Times New Roman" w:hAnsi="Times New Roman"/>
          <w:b/>
          <w:bCs/>
          <w:sz w:val="26"/>
          <w:szCs w:val="26"/>
        </w:rPr>
        <w:t xml:space="preserve">11.5  </w:t>
      </w:r>
      <w:r>
        <w:rPr>
          <w:rFonts w:ascii="Times New Roman" w:cs="Times New Roman" w:eastAsia="Times New Roman" w:hAnsi="Times New Roman"/>
          <w:b/>
          <w:bCs/>
          <w:sz w:val="26"/>
          <w:szCs w:val="26"/>
        </w:rPr>
        <w:t xml:space="preserve">Remaining Work for the Next Stage</w:t>
      </w:r>
    </w:p>
    <w:p>
      <w:pPr>
        <w:spacing w:after="110" w:line="264"/>
        <w:jc w:val="both"/>
      </w:pPr>
      <w:r>
        <w:rPr>
          <w:rFonts w:ascii="Times New Roman" w:cs="Times New Roman" w:eastAsia="Times New Roman" w:hAnsi="Times New Roman"/>
          <w:sz w:val="22"/>
          <w:szCs w:val="22"/>
        </w:rPr>
        <w:t xml:space="preserve">The remaining security assurance and comprehensive empirical evaluation </w:t>
      </w:r>
      <w:r>
        <w:rPr>
          <w:rFonts w:ascii="Times New Roman" w:cs="Times New Roman" w:eastAsia="Times New Roman" w:hAnsi="Times New Roman"/>
          <w:sz w:val="22"/>
          <w:szCs w:val="22"/>
        </w:rPr>
        <w:t xml:space="preserve">will be conducted in the next stage and consist</w:t>
      </w:r>
      <w:r>
        <w:rPr>
          <w:rFonts w:ascii="Times New Roman" w:cs="Times New Roman" w:eastAsia="Times New Roman" w:hAnsi="Times New Roman"/>
          <w:sz w:val="22"/>
          <w:szCs w:val="22"/>
        </w:rPr>
        <w:t xml:space="preserve"> of three parts.</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Formal assurance.</w:t>
      </w:r>
      <w:r>
        <w:rPr>
          <w:rFonts w:ascii="Times New Roman" w:cs="Times New Roman" w:eastAsia="Times New Roman" w:hAnsi="Times New Roman"/>
          <w:sz w:val="22"/>
          <w:szCs w:val="22"/>
        </w:rPr>
        <w:t xml:space="preserve"> The formal component will specify and analyse the security properties, consistency requirements, and soundness conditions of the trust-oriented authorisation mechanism. The soundness property Decision(C, R, t) = ALLOW ⇒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and the lifecycle invariant of Section 10 will be verified by model checking of the state machine or by proof over the predicate definitions. Formal analysis will be used to reason about whether unauthorised entities or invalid authorisation conditions can produce an apparently valid access decision under defined assumptions, and every property must be either verified or refuted by an explicit counterexample.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Full performance and scalability study.</w:t>
      </w:r>
      <w:r>
        <w:rPr>
          <w:rFonts w:ascii="Times New Roman" w:cs="Times New Roman" w:eastAsia="Times New Roman" w:hAnsi="Times New Roman"/>
          <w:sz w:val="22"/>
          <w:szCs w:val="22"/>
        </w:rPr>
        <w:t xml:space="preserve"> The preliminary measurements will be repeated over a larger number of consents, guardians, and access requests, and the end-to-end decision latency will be measured under concurrent load.</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Extended adversarial evaluation.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next stage will extend</w:t>
      </w:r>
      <w:r>
        <w:rPr>
          <w:rFonts w:ascii="Times New Roman" w:cs="Times New Roman" w:eastAsia="Times New Roman" w:hAnsi="Times New Roman"/>
          <w:sz w:val="22"/>
          <w:szCs w:val="22"/>
        </w:rPr>
        <w:t xml:space="preserve"> the current prototype-based evaluation to include both successful and adversarial access requests. The twelve attack scenarios will be extended to larger sets of positive, negative, and adversarial scenarios, and enforcement accuracy will be reported over this extended set. Particular attention will be given to the relationship between the formal security model and the observed behaviour of the implemented system.</w:t>
      </w:r>
    </w:p>
    <w:p>
      <w:pPr>
        <w:spacing w:after="110" w:line="264"/>
        <w:jc w:val="both"/>
      </w:pPr>
      <w:r>
        <w:rPr>
          <w:rFonts w:ascii="Times New Roman" w:cs="Times New Roman" w:eastAsia="Times New Roman" w:hAnsi="Times New Roman"/>
          <w:sz w:val="22"/>
          <w:szCs w:val="22"/>
        </w:rPr>
        <w:t xml:space="preserve">The next stage will address</w:t>
      </w:r>
      <w:r>
        <w:rPr>
          <w:rFonts w:ascii="Times New Roman" w:cs="Times New Roman" w:eastAsia="Times New Roman" w:hAnsi="Times New Roman"/>
          <w:sz w:val="22"/>
          <w:szCs w:val="22"/>
        </w:rPr>
        <w:t xml:space="preserve"> the prototype limitations that the evaluation has exposed, which include the N-of-N approval rule, the server-derived guardian keys, the unauthenticated requester role, the absence of cryptographic DID resolution and VC validation, </w:t>
      </w:r>
      <w:r>
        <w:rPr>
          <w:rFonts w:ascii="Times New Roman" w:cs="Times New Roman" w:eastAsia="Times New Roman" w:hAnsi="Times New Roman"/>
          <w:color w:val="FF0000"/>
          <w:sz w:val="22"/>
          <w:szCs w:val="22"/>
        </w:rPr>
        <w:t xml:space="preserve">the purpose check that does not yet compare a separately declared request purpose, </w:t>
      </w:r>
      <w:r>
        <w:rPr>
          <w:rFonts w:ascii="Times New Roman" w:cs="Times New Roman" w:eastAsia="Times New Roman" w:hAnsi="Times New Roman"/>
          <w:sz w:val="22"/>
          <w:szCs w:val="22"/>
        </w:rPr>
        <w:t xml:space="preserve">the missing lifecycle transition check, and the unkeyed and unchained audit digest. The purpose of this work is not merely to demonstrate that the prototype works under normal conditions, but to establish explicit security properties and determine whether the proposed authorisation model provides the expected protection when relevant security conditions are violated, and Section 13 sets out its schedule.</w:t>
      </w:r>
    </w:p>
    <w:p>
      <w:pPr>
        <w:pStyle w:val="Heading1"/>
        <w:pageBreakBefore/>
        <w:spacing w:after="200" w:before="120"/>
      </w:pPr>
      <w:r>
        <w:rPr>
          <w:rFonts w:ascii="Times New Roman" w:cs="Times New Roman" w:eastAsia="Times New Roman" w:hAnsi="Times New Roman"/>
          <w:b/>
          <w:bCs/>
          <w:sz w:val="32"/>
          <w:szCs w:val="32"/>
        </w:rPr>
        <w:t xml:space="preserve">12.  Publications Summary</w:t>
      </w:r>
    </w:p>
    <w:p>
      <w:pPr>
        <w:spacing w:after="110" w:line="264"/>
        <w:jc w:val="both"/>
      </w:pPr>
      <w:r>
        <w:rPr>
          <w:rFonts w:ascii="Times New Roman" w:cs="Times New Roman" w:eastAsia="Times New Roman" w:hAnsi="Times New Roman"/>
          <w:sz w:val="22"/>
          <w:szCs w:val="22"/>
        </w:rPr>
        <w:t xml:space="preserve">The publication activities associated with this research are summarised in Table 12 according to their current development status and their structural contribution to the thesis chapters and research questions.</w:t>
      </w:r>
    </w:p>
    <w:p>
      <w:pPr>
        <w:keepNext/>
        <w:spacing w:after="80" w:before="200"/>
        <w:jc w:val="center"/>
      </w:pPr>
      <w:r>
        <w:rPr>
          <w:rFonts w:ascii="Times New Roman" w:cs="Times New Roman" w:eastAsia="Times New Roman" w:hAnsi="Times New Roman"/>
          <w:b/>
          <w:bCs/>
          <w:sz w:val="18"/>
          <w:szCs w:val="18"/>
        </w:rPr>
        <w:t xml:space="preserve">Table 12: </w:t>
      </w:r>
      <w:r>
        <w:rPr>
          <w:rFonts w:ascii="Times New Roman" w:cs="Times New Roman" w:eastAsia="Times New Roman" w:hAnsi="Times New Roman"/>
          <w:sz w:val="18"/>
          <w:szCs w:val="18"/>
        </w:rPr>
        <w:t xml:space="preserve">Publications of the research and their current status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521"/>
        <w:gridCol w:w="3042"/>
        <w:gridCol w:w="1419"/>
        <w:gridCol w:w="1217"/>
        <w:gridCol w:w="1929"/>
      </w:tblGrid>
      <w:tr>
        <w:trPr>
          <w:cantSplit/>
          <w:tblHeader/>
        </w:trPr>
        <w:tc>
          <w:tcPr>
            <w:tcW w:type="dxa" w:w="152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Publication</w:t>
            </w:r>
          </w:p>
        </w:tc>
        <w:tc>
          <w:tcPr>
            <w:tcW w:type="dxa" w:w="304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Research output</w:t>
            </w:r>
          </w:p>
        </w:tc>
        <w:tc>
          <w:tcPr>
            <w:tcW w:type="dxa" w:w="141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Target venue</w:t>
            </w:r>
          </w:p>
        </w:tc>
        <w:tc>
          <w:tcPr>
            <w:tcW w:type="dxa" w:w="1217"/>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Related RQs</w:t>
            </w:r>
          </w:p>
        </w:tc>
        <w:tc>
          <w:tcPr>
            <w:tcW w:type="dxa" w:w="192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Status</w:t>
            </w:r>
          </w:p>
        </w:tc>
      </w:tr>
      <w:tr>
        <w:trPr>
          <w:cantSplit/>
        </w:trPr>
        <w:tc>
          <w:tcPr>
            <w:tcW w:type="dxa" w:w="152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1 (Conference)</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Trust-centric multi-party consent framework and the HALAH prototype on the Sepolia testnet</w:t>
            </w:r>
          </w:p>
        </w:tc>
        <w:tc>
          <w:tcPr>
            <w:tcW w:type="dxa" w:w="141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BWCCA 2026</w:t>
            </w:r>
          </w:p>
        </w:tc>
        <w:tc>
          <w:tcPr>
            <w:tcW w:type="dxa" w:w="121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RQ1 to RQ4</w:t>
            </w:r>
          </w:p>
        </w:tc>
        <w:tc>
          <w:tcPr>
            <w:tcW w:type="dxa" w:w="192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 Submitted (September 2026)</w:t>
            </w:r>
          </w:p>
        </w:tc>
      </w:tr>
      <w:tr>
        <w:trPr>
          <w:cantSplit/>
        </w:trPr>
        <w:tc>
          <w:tcPr>
            <w:tcW w:type="dxa" w:w="152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2 (Journal)</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Systematic literature review of blockchain-based multi-party patient consent (25 primary studies)</w:t>
            </w:r>
          </w:p>
        </w:tc>
        <w:tc>
          <w:tcPr>
            <w:tcW w:type="dxa" w:w="141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Journal</w:t>
            </w:r>
          </w:p>
        </w:tc>
        <w:tc>
          <w:tcPr>
            <w:tcW w:type="dxa" w:w="121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Section 2</w:t>
            </w:r>
          </w:p>
        </w:tc>
        <w:tc>
          <w:tcPr>
            <w:tcW w:type="dxa" w:w="192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 In Progress (October 2026)</w:t>
            </w:r>
          </w:p>
        </w:tc>
      </w:tr>
      <w:tr>
        <w:trPr>
          <w:cantSplit/>
        </w:trPr>
        <w:tc>
          <w:tcPr>
            <w:tcW w:type="dxa" w:w="152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3 (Journal)</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Formal security assurance, lifecycle trust and the complete evaluation of the HALAH framework</w:t>
            </w:r>
          </w:p>
        </w:tc>
        <w:tc>
          <w:tcPr>
            <w:tcW w:type="dxa" w:w="141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Journal</w:t>
            </w:r>
          </w:p>
        </w:tc>
        <w:tc>
          <w:tcPr>
            <w:tcW w:type="dxa" w:w="121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RQ5 and RQ6</w:t>
            </w:r>
          </w:p>
        </w:tc>
        <w:tc>
          <w:tcPr>
            <w:tcW w:type="dxa" w:w="192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 Planned (December 2026)</w:t>
            </w:r>
          </w:p>
        </w:tc>
      </w:tr>
    </w:tbl>
    <w:p>
      <w:pPr>
        <w:spacing w:after="160"/>
      </w:pPr>
    </w:p>
    <w:p>
      <w:pPr>
        <w:spacing w:after="110" w:line="264"/>
        <w:jc w:val="both"/>
      </w:pPr>
      <w:r>
        <w:rPr>
          <w:rFonts w:ascii="Times New Roman" w:cs="Times New Roman" w:eastAsia="Times New Roman" w:hAnsi="Times New Roman"/>
          <w:sz w:val="22"/>
          <w:szCs w:val="22"/>
        </w:rPr>
        <w:t xml:space="preserve">The publication strategy is aligned with the progression of the research. The current stage work establishes the conceptual and technical foundation, while the next stage work will strengthen the framework through formal analysis and comprehensive empirical validation. The second publication extends Section 2 into a stand-alone review, and the third publication completes the work that Sections 10 and 11 </w:t>
      </w:r>
      <w:r>
        <w:rPr>
          <w:rFonts w:ascii="Times New Roman" w:cs="Times New Roman" w:eastAsia="Times New Roman" w:hAnsi="Times New Roman"/>
          <w:sz w:val="22"/>
          <w:szCs w:val="22"/>
        </w:rPr>
        <w:t xml:space="preserve">identify as remaining for the next stage.</w:t>
      </w:r>
      <w:r>
        <w:rPr>
          <w:rFonts w:ascii="Times New Roman" w:cs="Times New Roman" w:eastAsia="Times New Roman" w:hAnsi="Times New Roman"/>
          <w:sz w:val="22"/>
          <w:szCs w:val="22"/>
        </w:rPr>
        <w:t xml:space="preserve"> RO5 and RO6 constitute </w:t>
      </w:r>
      <w:r>
        <w:rPr>
          <w:rFonts w:ascii="Times New Roman" w:cs="Times New Roman" w:eastAsia="Times New Roman" w:hAnsi="Times New Roman"/>
          <w:sz w:val="22"/>
          <w:szCs w:val="22"/>
        </w:rPr>
        <w:t xml:space="preserve">the principal research agenda for the next stage.</w:t>
      </w:r>
      <w:r>
        <w:rPr>
          <w:rFonts w:ascii="Times New Roman" w:cs="Times New Roman" w:eastAsia="Times New Roman" w:hAnsi="Times New Roman"/>
          <w:sz w:val="22"/>
          <w:szCs w:val="22"/>
        </w:rPr>
        <w:t xml:space="preserve"> RO5 extends the authorisation model with temporal and lifecycle trust, while RO6 provides formal security assurance and comprehensive empirical validation.</w:t>
      </w:r>
    </w:p>
    <w:p>
      <w:pPr>
        <w:pStyle w:val="Heading1"/>
        <w:pageBreakBefore/>
        <w:spacing w:after="200" w:before="120"/>
      </w:pPr>
      <w:r>
        <w:rPr>
          <w:rFonts w:ascii="Times New Roman" w:cs="Times New Roman" w:eastAsia="Times New Roman" w:hAnsi="Times New Roman"/>
          <w:b/>
          <w:bCs/>
          <w:sz w:val="32"/>
          <w:szCs w:val="32"/>
        </w:rPr>
        <w:t xml:space="preserve">13.  Research Plan</w:t>
      </w:r>
    </w:p>
    <w:p>
      <w:pPr>
        <w:spacing w:after="110" w:line="264"/>
        <w:jc w:val="both"/>
      </w:pPr>
      <w:r>
        <w:rPr>
          <w:rFonts w:ascii="Times New Roman" w:cs="Times New Roman" w:eastAsia="Times New Roman" w:hAnsi="Times New Roman"/>
          <w:sz w:val="22"/>
          <w:szCs w:val="22"/>
        </w:rPr>
        <w:t xml:space="preserve">The research plan is divided into two major stages corresponding to current and next stage, and Table 13 lists their tasks, target dates and status.</w:t>
      </w:r>
    </w:p>
    <w:p>
      <w:pPr>
        <w:keepNext/>
        <w:spacing w:after="80" w:before="200"/>
        <w:jc w:val="center"/>
      </w:pPr>
      <w:r>
        <w:rPr>
          <w:rFonts w:ascii="Times New Roman" w:cs="Times New Roman" w:eastAsia="Times New Roman" w:hAnsi="Times New Roman"/>
          <w:b/>
          <w:bCs/>
          <w:sz w:val="18"/>
          <w:szCs w:val="18"/>
        </w:rPr>
        <w:t xml:space="preserve">Table 13: </w:t>
      </w:r>
      <w:r>
        <w:rPr>
          <w:rFonts w:ascii="Times New Roman" w:cs="Times New Roman" w:eastAsia="Times New Roman" w:hAnsi="Times New Roman"/>
          <w:sz w:val="18"/>
          <w:szCs w:val="18"/>
        </w:rPr>
        <w:t xml:space="preserve">Research plan: thesis chapters, publications and assessments in chronological order</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2006"/>
        <w:gridCol w:w="3912"/>
        <w:gridCol w:w="1504"/>
        <w:gridCol w:w="1706"/>
      </w:tblGrid>
      <w:tr>
        <w:trPr>
          <w:cantSplit/>
          <w:tblHeader/>
        </w:trPr>
        <w:tc>
          <w:tcPr>
            <w:tcW w:type="dxa" w:w="2006"/>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Task</w:t>
            </w:r>
          </w:p>
        </w:tc>
        <w:tc>
          <w:tcPr>
            <w:tcW w:type="dxa" w:w="391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center"/>
            </w:pPr>
            <w:r>
              <w:rPr>
                <w:rFonts w:ascii="Times New Roman" w:cs="Times New Roman" w:eastAsia="Times New Roman" w:hAnsi="Times New Roman"/>
                <w:b/>
                <w:bCs/>
                <w:sz w:val="17"/>
                <w:szCs w:val="17"/>
              </w:rPr>
              <w:t xml:space="preserve">Description</w:t>
            </w:r>
          </w:p>
        </w:tc>
        <w:tc>
          <w:tcPr>
            <w:tcW w:type="dxa" w:w="150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center"/>
            </w:pPr>
            <w:r>
              <w:rPr>
                <w:rFonts w:ascii="Times New Roman" w:cs="Times New Roman" w:eastAsia="Times New Roman" w:hAnsi="Times New Roman"/>
                <w:b/>
                <w:bCs/>
                <w:sz w:val="17"/>
                <w:szCs w:val="17"/>
              </w:rPr>
              <w:t xml:space="preserve">Target date</w:t>
            </w:r>
          </w:p>
        </w:tc>
        <w:tc>
          <w:tcPr>
            <w:tcW w:type="dxa" w:w="1706"/>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center"/>
            </w:pPr>
            <w:r>
              <w:rPr>
                <w:rFonts w:ascii="Times New Roman" w:cs="Times New Roman" w:eastAsia="Times New Roman" w:hAnsi="Times New Roman"/>
                <w:b/>
                <w:bCs/>
                <w:sz w:val="17"/>
                <w:szCs w:val="17"/>
              </w:rPr>
              <w:t xml:space="preserve">Status</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Chapters 1–4</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Introduction, SLR, Research Questions and Objectives, Research Methodology</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Completed</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Done</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 5</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Research Architecture (MVC) and framework design</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May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Done</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 6</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Proposed solution for RQ1 to RQ4 and the HALAH prototype</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trike/>
                <w:color w:val="FF0000"/>
                <w:sz w:val="17"/>
                <w:szCs w:val="17"/>
              </w:rPr>
              <w:t xml:space="preserve">Jul 2026</w:t>
            </w:r>
            <w:r>
              <w:rPr>
                <w:rFonts w:ascii="Times New Roman" w:cs="Times New Roman" w:eastAsia="Times New Roman" w:hAnsi="Times New Roman"/>
                <w:b w:val="false"/>
                <w:bCs w:val="false"/>
                <w:color w:val="FF0000"/>
                <w:sz w:val="17"/>
                <w:szCs w:val="17"/>
              </w:rPr>
              <w:t xml:space="preserve">Jul–Oct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Done</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1 Conference</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Paper conference submission, BWCCA 2026: "A Trusted Multi-Party Consent Governance Framework for Decentralized Multi-Stakeholder Data Sharing"</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Sep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Done</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2 Journal</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SLR paper journal submission</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Oct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In Progress</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 7</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Complete prototype evaluation and integrated results</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Nov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3 Journal</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Journal paper on formal security assurance, lifecycle trust and the evaluation of HALAH</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Dec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 8</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Conclusion and future work</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Dec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Final Assessment</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Final candidature assessment defence</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Jan 2027</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Thesis submission</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Complete thesis submission</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Mar 2027</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bl>
    <w:p>
      <w:pPr>
        <w:spacing w:after="160"/>
      </w:pPr>
    </w:p>
    <w:p>
      <w:pPr>
        <w:spacing w:after="110" w:line="264"/>
        <w:jc w:val="both"/>
      </w:pPr>
      <w:r>
        <w:rPr>
          <w:rFonts w:ascii="Times New Roman" w:cs="Times New Roman" w:eastAsia="Times New Roman" w:hAnsi="Times New Roman"/>
          <w:sz w:val="22"/>
          <w:szCs w:val="22"/>
        </w:rPr>
        <w:t xml:space="preserve">As shown in Figure 26, the current stage focuses on establishing the foundational trust-oriented authorisation framework. The main activities are the development of the trust-centric consent model, decentralised identity and authority verification, multi-party authorisation, and policy-aware access control. The progression is RO1, RO2, RO3 and then RO4, which have been implemented and initially validated through the HALAH prototype. The next stage, which concentrates on RO5 and RO6, will build upon the foundational trust-oriented authorisation framework established during </w:t>
      </w:r>
      <w:r>
        <w:rPr>
          <w:rFonts w:ascii="Times New Roman" w:cs="Times New Roman" w:eastAsia="Times New Roman" w:hAnsi="Times New Roman"/>
          <w:color w:val="FF0000"/>
          <w:sz w:val="22"/>
          <w:szCs w:val="22"/>
        </w:rPr>
        <w:t xml:space="preserve">the </w:t>
      </w:r>
      <w:r>
        <w:rPr>
          <w:rFonts w:ascii="Times New Roman" w:cs="Times New Roman" w:eastAsia="Times New Roman" w:hAnsi="Times New Roman"/>
          <w:sz w:val="22"/>
          <w:szCs w:val="22"/>
        </w:rPr>
        <w:t xml:space="preserve">current stage and extend the research towards dynamic consent governance, formal security assurance, and comprehensive empirical validation. </w:t>
      </w:r>
      <w:r>
        <w:rPr>
          <w:rFonts w:ascii="Times New Roman" w:cs="Times New Roman" w:eastAsia="Times New Roman" w:hAnsi="Times New Roman"/>
          <w:color w:val="FF0000"/>
          <w:sz w:val="22"/>
          <w:szCs w:val="22"/>
        </w:rPr>
        <w:t xml:space="preserve">The lifecycle transition check, the formal lifecycle model, and c</w:t>
      </w:r>
      <w:r>
        <w:rPr>
          <w:rFonts w:ascii="Times New Roman" w:cs="Times New Roman" w:eastAsia="Times New Roman" w:hAnsi="Times New Roman"/>
          <w:strike/>
          <w:color w:val="FF0000"/>
          <w:sz w:val="22"/>
          <w:szCs w:val="22"/>
        </w:rPr>
        <w:t xml:space="preserve">C</w:t>
      </w:r>
      <w:r>
        <w:rPr>
          <w:rFonts w:ascii="Times New Roman" w:cs="Times New Roman" w:eastAsia="Times New Roman" w:hAnsi="Times New Roman"/>
          <w:sz w:val="22"/>
          <w:szCs w:val="22"/>
        </w:rPr>
        <w:t xml:space="preserve">onsent modification, delegation, and guardian-set changes extend the lifecycle trust of Section 10, while the formal security assurance and the full performance, scalability, and adversarial evaluation complete the work of Section 11.</w:t>
      </w:r>
    </w:p>
    <w:p>
      <w:pPr>
        <w:keepNext/>
        <w:spacing w:after="60" w:before="160"/>
        <w:jc w:val="center"/>
      </w:pPr>
      <w:r>
        <w:drawing>
          <wp:inline distT="0" distB="0" distL="0" distR="0">
            <wp:extent cx="5715000" cy="2514600"/>
            <wp:effectExtent t="0" r="0" b="0" l="0"/>
            <wp:docPr id="1" name="Fplan.png" descr="Research timeline: completed milestones, work in progress and the planned stages up to thesis submission" title="Research timeline: completed milestones, work in progress and the planned stages up to thesis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5146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26: </w:t>
      </w:r>
      <w:r>
        <w:rPr>
          <w:rFonts w:ascii="Times New Roman" w:cs="Times New Roman" w:eastAsia="Times New Roman" w:hAnsi="Times New Roman"/>
          <w:sz w:val="18"/>
          <w:szCs w:val="18"/>
        </w:rPr>
        <w:t xml:space="preserve">Research timeline: completed milestones, work in progress and the planned stages up to thesis submission</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major next stage activities and their expected outcomes are summarised in Table 14.</w:t>
      </w:r>
    </w:p>
    <w:p>
      <w:pPr>
        <w:keepNext/>
        <w:spacing w:after="80" w:before="200"/>
        <w:jc w:val="center"/>
      </w:pPr>
      <w:r>
        <w:rPr>
          <w:rFonts w:ascii="Times New Roman" w:cs="Times New Roman" w:eastAsia="Times New Roman" w:hAnsi="Times New Roman"/>
          <w:b/>
          <w:bCs/>
          <w:sz w:val="18"/>
          <w:szCs w:val="18"/>
        </w:rPr>
        <w:t xml:space="preserve">Table 14: </w:t>
      </w:r>
      <w:r>
        <w:rPr>
          <w:rFonts w:ascii="Times New Roman" w:cs="Times New Roman" w:eastAsia="Times New Roman" w:hAnsi="Times New Roman"/>
          <w:sz w:val="18"/>
          <w:szCs w:val="18"/>
        </w:rPr>
        <w:t xml:space="preserve">Next stage research activities and their expected outcomes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3042"/>
        <w:gridCol w:w="3042"/>
        <w:gridCol w:w="3044"/>
      </w:tblGrid>
      <w:tr>
        <w:trPr>
          <w:cantSplit/>
          <w:tblHeader/>
        </w:trPr>
        <w:tc>
          <w:tcPr>
            <w:tcW w:type="dxa" w:w="304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Research Focus</w:t>
            </w:r>
          </w:p>
        </w:tc>
        <w:tc>
          <w:tcPr>
            <w:tcW w:type="dxa" w:w="304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Planned Activities</w:t>
            </w:r>
          </w:p>
        </w:tc>
        <w:tc>
          <w:tcPr>
            <w:tcW w:type="dxa" w:w="304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Expected Outcome</w:t>
            </w:r>
          </w:p>
        </w:tc>
      </w:tr>
      <w:tr>
        <w:trPr>
          <w:cantSplit/>
        </w:trPr>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Modification, Delegation and Lifecycle Extensions</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Extend the implemented lifecycle mechanism to support consent modification, delegation</w:t>
            </w:r>
            <w:r>
              <w:rPr>
                <w:rFonts w:ascii="Times New Roman" w:cs="Times New Roman" w:eastAsia="Times New Roman" w:hAnsi="Times New Roman"/>
                <w:b w:val="false"/>
                <w:bCs w:val="false"/>
                <w:color w:val="FF0000"/>
                <w:sz w:val="17"/>
                <w:szCs w:val="17"/>
              </w:rPr>
              <w:t xml:space="preserve">, a declared request purpose</w:t>
            </w:r>
            <w:r>
              <w:rPr>
                <w:rFonts w:ascii="Times New Roman" w:cs="Times New Roman" w:eastAsia="Times New Roman" w:hAnsi="Times New Roman"/>
                <w:b w:val="false"/>
                <w:bCs w:val="false"/>
                <w:sz w:val="17"/>
                <w:szCs w:val="17"/>
              </w:rPr>
              <w:t xml:space="preserve"> and guardian-set changes, and formalise the state-transition model so that unauthorised transitions are excluded by construction. Evaluate access decisions under varying temporal and consent-state constraints.</w:t>
            </w:r>
          </w:p>
        </w:tc>
        <w:tc>
          <w:tcPr>
            <w:tcW w:type="dxa" w:w="30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dynamic consent management mechanism capable of validating whether an authorisation remains active at the precise point of access.</w:t>
            </w:r>
          </w:p>
        </w:tc>
      </w:tr>
      <w:tr>
        <w:trPr>
          <w:cantSplit/>
        </w:trPr>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Formal Security Assurance (Properties &amp; Verification)</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Formally define critical security properties and analyse system behaviour under adverse conditions, including invalid identities, insufficient multi-party approvals, policy violations, expired/revoked states, and illegal transitions.</w:t>
            </w:r>
          </w:p>
        </w:tc>
        <w:tc>
          <w:tcPr>
            <w:tcW w:type="dxa" w:w="30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rigorous formal security model and verification proof establishing explicit security guarantees for the trust-oriented authorisation framework.</w:t>
            </w:r>
          </w:p>
        </w:tc>
      </w:tr>
      <w:tr>
        <w:trPr>
          <w:cantSplit/>
        </w:trPr>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Empirical Validation (HALAH Prototype Scenarios)</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Scale and extend the HALAH prototype experiments, including the twelve attack scenarios of Section 11, to larger sets of positive, negative and adversarial healthcare data-sharing scenarios. Extend the preliminary measurements of runtime performance, overhead and enforcement accuracy to operation under load.</w:t>
            </w:r>
          </w:p>
        </w:tc>
        <w:tc>
          <w:tcPr>
            <w:tcW w:type="dxa" w:w="30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Empirical evidence and benchmark datasets demonstrating that the implementation consistently and efficiently enforces the proposed authorisation model.</w:t>
            </w:r>
          </w:p>
        </w:tc>
      </w:tr>
      <w:tr>
        <w:trPr>
          <w:cantSplit/>
        </w:trPr>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Integrated Framework Evaluation (Synthesis &amp; End-to-End)</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Integrate temporal, lifecycle, formal verification, and empirical modules into a unified, cohesive framework. Evaluate cross-component interactions, scalability bottlenecks, and end-to-end feasibility in real-world settings.</w:t>
            </w:r>
          </w:p>
        </w:tc>
        <w:tc>
          <w:tcPr>
            <w:tcW w:type="dxa" w:w="30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fully integrated, validated trust-oriented authorisation framework providing secure, multi-party patient consent and decentralised healthcare data sharing.</w:t>
            </w:r>
          </w:p>
        </w:tc>
      </w:tr>
    </w:tbl>
    <w:p>
      <w:pPr>
        <w:spacing w:after="160"/>
      </w:pPr>
    </w:p>
    <w:p>
      <w:pPr>
        <w:pStyle w:val="Heading1"/>
        <w:pageBreakBefore/>
        <w:spacing w:after="200"/>
      </w:pPr>
      <w:r>
        <w:rPr>
          <w:rFonts w:ascii="Times New Roman" w:cs="Times New Roman" w:eastAsia="Times New Roman" w:hAnsi="Times New Roman"/>
          <w:b/>
          <w:bCs/>
          <w:sz w:val="32"/>
          <w:szCs w:val="32"/>
        </w:rPr>
        <w:t xml:space="preserve">References</w:t>
      </w:r>
    </w:p>
    <w:p>
      <w:pPr>
        <w:tabs>
          <w:tab w:val="left" w:pos="560"/>
        </w:tabs>
        <w:spacing w:after="50" w:line="240"/>
        <w:ind w:left="560" w:hanging="560"/>
        <w:jc w:val="left"/>
      </w:pPr>
      <w:r>
        <w:rPr>
          <w:rFonts w:ascii="Times New Roman" w:cs="Times New Roman" w:eastAsia="Times New Roman" w:hAnsi="Times New Roman"/>
          <w:sz w:val="18"/>
          <w:szCs w:val="18"/>
        </w:rPr>
        <w:t xml:space="preserve">[1]	</w:t>
      </w:r>
      <w:r>
        <w:rPr>
          <w:rFonts w:ascii="Times New Roman" w:cs="Times New Roman" w:eastAsia="Times New Roman" w:hAnsi="Times New Roman"/>
          <w:sz w:val="18"/>
          <w:szCs w:val="18"/>
        </w:rPr>
        <w:t xml:space="preserve">A. Ghafoor, I. Symeonidis, A. Rydberg, C. Lindahl, and A. Q. Abbasi. Towards empowering stakeholders through decentralized trust and secure livestock data sharing. Cryptography, 9(3):52, 2025. doi:10.3390/cryptography9030052</w:t>
      </w:r>
    </w:p>
    <w:p>
      <w:pPr>
        <w:tabs>
          <w:tab w:val="left" w:pos="560"/>
        </w:tabs>
        <w:spacing w:after="50" w:line="240"/>
        <w:ind w:left="560" w:hanging="560"/>
        <w:jc w:val="left"/>
      </w:pPr>
      <w:r>
        <w:rPr>
          <w:rFonts w:ascii="Times New Roman" w:cs="Times New Roman" w:eastAsia="Times New Roman" w:hAnsi="Times New Roman"/>
          <w:sz w:val="18"/>
          <w:szCs w:val="18"/>
        </w:rPr>
        <w:t xml:space="preserve">[2]	</w:t>
      </w:r>
      <w:r>
        <w:rPr>
          <w:rFonts w:ascii="Times New Roman" w:cs="Times New Roman" w:eastAsia="Times New Roman" w:hAnsi="Times New Roman"/>
          <w:sz w:val="18"/>
          <w:szCs w:val="18"/>
        </w:rPr>
        <w:t xml:space="preserve">R. K. Lomotey, S. Kumi, and R. Deters. Data trusts as a service: Providing a platform for multi-party data sharing. International Journal of Information Management Data Insights, 2(1):100075, 2022. doi:10.1016/j.jjimei.2022.100075</w:t>
      </w:r>
    </w:p>
    <w:p>
      <w:pPr>
        <w:tabs>
          <w:tab w:val="left" w:pos="560"/>
        </w:tabs>
        <w:spacing w:after="50" w:line="240"/>
        <w:ind w:left="560" w:hanging="560"/>
        <w:jc w:val="left"/>
      </w:pPr>
      <w:r>
        <w:rPr>
          <w:rFonts w:ascii="Times New Roman" w:cs="Times New Roman" w:eastAsia="Times New Roman" w:hAnsi="Times New Roman"/>
          <w:sz w:val="18"/>
          <w:szCs w:val="18"/>
        </w:rPr>
        <w:t xml:space="preserve">[3]	</w:t>
      </w:r>
      <w:r>
        <w:rPr>
          <w:rFonts w:ascii="Times New Roman" w:cs="Times New Roman" w:eastAsia="Times New Roman" w:hAnsi="Times New Roman"/>
          <w:sz w:val="18"/>
          <w:szCs w:val="18"/>
        </w:rPr>
        <w:t xml:space="preserve">T. L. Nguyen, L. Nguyen, T. Hoang, D. Bandara, Q. Wang, Q. Lu, et al. Blockchain-empowered trustworthy data sharing: Fundamentals, applications, and challenges. ACM Computing Surveys, 57(8):195, 2025. doi:10.1145/3718082</w:t>
      </w:r>
    </w:p>
    <w:p>
      <w:pPr>
        <w:tabs>
          <w:tab w:val="left" w:pos="560"/>
        </w:tabs>
        <w:spacing w:after="50" w:line="240"/>
        <w:ind w:left="560" w:hanging="560"/>
        <w:jc w:val="left"/>
      </w:pPr>
      <w:r>
        <w:rPr>
          <w:rFonts w:ascii="Times New Roman" w:cs="Times New Roman" w:eastAsia="Times New Roman" w:hAnsi="Times New Roman"/>
          <w:sz w:val="18"/>
          <w:szCs w:val="18"/>
        </w:rPr>
        <w:t xml:space="preserve">[4]	</w:t>
      </w:r>
      <w:r>
        <w:rPr>
          <w:rFonts w:ascii="Times New Roman" w:cs="Times New Roman" w:eastAsia="Times New Roman" w:hAnsi="Times New Roman"/>
          <w:sz w:val="18"/>
          <w:szCs w:val="18"/>
        </w:rPr>
        <w:t xml:space="preserve">E. C. Webber, D. Brick, J. P. Scibilia, P. Dehnel, Council on Clinical Information Technology, et al. Electronic communication of the health record and information with pediatric patients and their guardians. Pediatrics, 144(1):e20191359, 2019. doi:10.1542/peds.2019-1359</w:t>
      </w:r>
    </w:p>
    <w:p>
      <w:pPr>
        <w:tabs>
          <w:tab w:val="left" w:pos="560"/>
        </w:tabs>
        <w:spacing w:after="50" w:line="240"/>
        <w:ind w:left="560" w:hanging="560"/>
        <w:jc w:val="left"/>
      </w:pPr>
      <w:r>
        <w:rPr>
          <w:rFonts w:ascii="Times New Roman" w:cs="Times New Roman" w:eastAsia="Times New Roman" w:hAnsi="Times New Roman"/>
          <w:sz w:val="18"/>
          <w:szCs w:val="18"/>
        </w:rPr>
        <w:t xml:space="preserve">[5]	</w:t>
      </w:r>
      <w:r>
        <w:rPr>
          <w:rFonts w:ascii="Times New Roman" w:cs="Times New Roman" w:eastAsia="Times New Roman" w:hAnsi="Times New Roman"/>
          <w:sz w:val="18"/>
          <w:szCs w:val="18"/>
        </w:rPr>
        <w:t xml:space="preserve">C. Welzel, M. Ostermann, H. L. Smith, T. Minssen, T. Kirsten, and S. Gilbert. Enabling secure and self determined health data sharing and consent management. npj Digital Medicine, 8(1):560, 2025. doi:10.1038/s41746-025-01945-z</w:t>
      </w:r>
    </w:p>
    <w:p>
      <w:pPr>
        <w:tabs>
          <w:tab w:val="left" w:pos="560"/>
        </w:tabs>
        <w:spacing w:after="50" w:line="240"/>
        <w:ind w:left="560" w:hanging="560"/>
        <w:jc w:val="left"/>
      </w:pPr>
      <w:r>
        <w:rPr>
          <w:rFonts w:ascii="Times New Roman" w:cs="Times New Roman" w:eastAsia="Times New Roman" w:hAnsi="Times New Roman"/>
          <w:sz w:val="18"/>
          <w:szCs w:val="18"/>
        </w:rPr>
        <w:t xml:space="preserve">[6]	</w:t>
      </w:r>
      <w:r>
        <w:rPr>
          <w:rFonts w:ascii="Times New Roman" w:cs="Times New Roman" w:eastAsia="Times New Roman" w:hAnsi="Times New Roman"/>
          <w:sz w:val="18"/>
          <w:szCs w:val="18"/>
        </w:rPr>
        <w:t xml:space="preserve">M. R. Narkhede, N. I. Wankhede, and A. M. Kamble. Enhancing patient autonomy in data ownership: Privacy models and consent frameworks for healthcare. Journal of Digital Health, 4(1):1–23, 2025. doi:10.55976/jdh.4202513361-23</w:t>
      </w:r>
    </w:p>
    <w:p>
      <w:pPr>
        <w:tabs>
          <w:tab w:val="left" w:pos="560"/>
        </w:tabs>
        <w:spacing w:after="50" w:line="240"/>
        <w:ind w:left="560" w:hanging="560"/>
        <w:jc w:val="left"/>
      </w:pPr>
      <w:r>
        <w:rPr>
          <w:rFonts w:ascii="Times New Roman" w:cs="Times New Roman" w:eastAsia="Times New Roman" w:hAnsi="Times New Roman"/>
          <w:sz w:val="18"/>
          <w:szCs w:val="18"/>
        </w:rPr>
        <w:t xml:space="preserve">[7]	</w:t>
      </w:r>
      <w:r>
        <w:rPr>
          <w:rFonts w:ascii="Times New Roman" w:cs="Times New Roman" w:eastAsia="Times New Roman" w:hAnsi="Times New Roman"/>
          <w:sz w:val="18"/>
          <w:szCs w:val="18"/>
        </w:rPr>
        <w:t xml:space="preserve">R. McClelland and C. M. Harper. Information privacy in healthcare — the vital role of informed consent. European Journal of Health Law, 30(4):469–480, 2023. doi:10.1163/15718093-bja10097</w:t>
      </w:r>
    </w:p>
    <w:p>
      <w:pPr>
        <w:tabs>
          <w:tab w:val="left" w:pos="560"/>
        </w:tabs>
        <w:spacing w:after="50" w:line="240"/>
        <w:ind w:left="560" w:hanging="560"/>
        <w:jc w:val="left"/>
      </w:pPr>
      <w:r>
        <w:rPr>
          <w:rFonts w:ascii="Times New Roman" w:cs="Times New Roman" w:eastAsia="Times New Roman" w:hAnsi="Times New Roman"/>
          <w:sz w:val="18"/>
          <w:szCs w:val="18"/>
        </w:rPr>
        <w:t xml:space="preserve">[8]	</w:t>
      </w:r>
      <w:r>
        <w:rPr>
          <w:rFonts w:ascii="Times New Roman" w:cs="Times New Roman" w:eastAsia="Times New Roman" w:hAnsi="Times New Roman"/>
          <w:sz w:val="18"/>
          <w:szCs w:val="18"/>
        </w:rPr>
        <w:t xml:space="preserve">K. Kaplow, M. Downey, D. Stewart, A. B. Massie, J. D. Motter, L. Taylor, et al. Data professionals’ attitudes on data privacy, sharing, and consent in healthcare and research. Digital Health, 10:20552076241290964, 2024. doi:10.1177/20552076241290964</w:t>
      </w:r>
    </w:p>
    <w:p>
      <w:pPr>
        <w:tabs>
          <w:tab w:val="left" w:pos="560"/>
        </w:tabs>
        <w:spacing w:after="50" w:line="240"/>
        <w:ind w:left="560" w:hanging="560"/>
        <w:jc w:val="left"/>
      </w:pPr>
      <w:r>
        <w:rPr>
          <w:rFonts w:ascii="Times New Roman" w:cs="Times New Roman" w:eastAsia="Times New Roman" w:hAnsi="Times New Roman"/>
          <w:sz w:val="18"/>
          <w:szCs w:val="18"/>
        </w:rPr>
        <w:t xml:space="preserve">[9]	</w:t>
      </w:r>
      <w:r>
        <w:rPr>
          <w:rFonts w:ascii="Times New Roman" w:cs="Times New Roman" w:eastAsia="Times New Roman" w:hAnsi="Times New Roman"/>
          <w:sz w:val="18"/>
          <w:szCs w:val="18"/>
        </w:rPr>
        <w:t xml:space="preserve">A. Nazir, M. H. Rehmani, B. Butler, and D. O’Shea. Access control in healthcare IoT: A comprehensive survey. Engineering Reports, 8(4):e70766, 2026. doi:10.1002/eng2.70766</w:t>
      </w:r>
    </w:p>
    <w:p>
      <w:pPr>
        <w:tabs>
          <w:tab w:val="left" w:pos="560"/>
        </w:tabs>
        <w:spacing w:after="50" w:line="240"/>
        <w:ind w:left="560" w:hanging="560"/>
        <w:jc w:val="left"/>
      </w:pPr>
      <w:r>
        <w:rPr>
          <w:rFonts w:ascii="Times New Roman" w:cs="Times New Roman" w:eastAsia="Times New Roman" w:hAnsi="Times New Roman"/>
          <w:sz w:val="18"/>
          <w:szCs w:val="18"/>
        </w:rPr>
        <w:t xml:space="preserve">[10]	</w:t>
      </w:r>
      <w:r>
        <w:rPr>
          <w:rFonts w:ascii="Times New Roman" w:cs="Times New Roman" w:eastAsia="Times New Roman" w:hAnsi="Times New Roman"/>
          <w:sz w:val="18"/>
          <w:szCs w:val="18"/>
        </w:rPr>
        <w:t xml:space="preserve">A. M. Tawfik, A. Al-Ahwal, A. S. Tag Eldien, and H. H. Zayed. Blockchain-based access control and privacy preservation in healthcare: A comprehensive survey. Cluster Computing, 28:529, 2025. doi:10.1007/s10586-025-05308-x</w:t>
      </w:r>
    </w:p>
    <w:p>
      <w:pPr>
        <w:tabs>
          <w:tab w:val="left" w:pos="560"/>
        </w:tabs>
        <w:spacing w:after="50" w:line="240"/>
        <w:ind w:left="560" w:hanging="560"/>
        <w:jc w:val="left"/>
      </w:pPr>
      <w:r>
        <w:rPr>
          <w:rFonts w:ascii="Times New Roman" w:cs="Times New Roman" w:eastAsia="Times New Roman" w:hAnsi="Times New Roman"/>
          <w:sz w:val="18"/>
          <w:szCs w:val="18"/>
        </w:rPr>
        <w:t xml:space="preserve">[11]	</w:t>
      </w:r>
      <w:r>
        <w:rPr>
          <w:rFonts w:ascii="Times New Roman" w:cs="Times New Roman" w:eastAsia="Times New Roman" w:hAnsi="Times New Roman"/>
          <w:sz w:val="18"/>
          <w:szCs w:val="18"/>
        </w:rPr>
        <w:t xml:space="preserve">A. M. Ibrahim, H. R. Abdel-Aziz, H. A. H. Mohamed, D. E. F. Zaghamir, N. M. I. Wahba, G. A. Hassan, et al. Balancing confidentiality and care coordination: Challenges in patient privacy. BMC Nursing, 23(1):564, 2024. doi:10.1186/s12912-024-02231-1</w:t>
      </w:r>
    </w:p>
    <w:p>
      <w:pPr>
        <w:tabs>
          <w:tab w:val="left" w:pos="560"/>
        </w:tabs>
        <w:spacing w:after="50" w:line="240"/>
        <w:ind w:left="560" w:hanging="560"/>
        <w:jc w:val="left"/>
      </w:pPr>
      <w:r>
        <w:rPr>
          <w:rFonts w:ascii="Times New Roman" w:cs="Times New Roman" w:eastAsia="Times New Roman" w:hAnsi="Times New Roman"/>
          <w:sz w:val="18"/>
          <w:szCs w:val="18"/>
        </w:rPr>
        <w:t xml:space="preserve">[12]	</w:t>
      </w:r>
      <w:r>
        <w:rPr>
          <w:rFonts w:ascii="Times New Roman" w:cs="Times New Roman" w:eastAsia="Times New Roman" w:hAnsi="Times New Roman"/>
          <w:sz w:val="18"/>
          <w:szCs w:val="18"/>
        </w:rPr>
        <w:t xml:space="preserve">L. Theodorakopoulos, A. Theodoropoulou, and C. Halkiopoulos. Enhancing decentralized decision-making with big data and blockchain technology: A comprehensive review. Applied Sciences, 14(16):7007, 2024. doi:10.3390/app14167007</w:t>
      </w:r>
    </w:p>
    <w:p>
      <w:pPr>
        <w:tabs>
          <w:tab w:val="left" w:pos="560"/>
        </w:tabs>
        <w:spacing w:after="50" w:line="240"/>
        <w:ind w:left="560" w:hanging="560"/>
        <w:jc w:val="left"/>
      </w:pPr>
      <w:r>
        <w:rPr>
          <w:rFonts w:ascii="Times New Roman" w:cs="Times New Roman" w:eastAsia="Times New Roman" w:hAnsi="Times New Roman"/>
          <w:sz w:val="18"/>
          <w:szCs w:val="18"/>
        </w:rPr>
        <w:t xml:space="preserve">[13]	</w:t>
      </w:r>
      <w:r>
        <w:rPr>
          <w:rFonts w:ascii="Times New Roman" w:cs="Times New Roman" w:eastAsia="Times New Roman" w:hAnsi="Times New Roman"/>
          <w:sz w:val="18"/>
          <w:szCs w:val="18"/>
        </w:rPr>
        <w:t xml:space="preserve">A. Al Mamun, S. Azam, and C. Gritti. Blockchain-based electronic health records management: A comprehensive review and future research direction. IEEE Access, 10:5768–5789, 2022. doi:10.1109/ACCESS.2022.3141079</w:t>
      </w:r>
    </w:p>
    <w:p>
      <w:pPr>
        <w:tabs>
          <w:tab w:val="left" w:pos="560"/>
        </w:tabs>
        <w:spacing w:after="50" w:line="240"/>
        <w:ind w:left="560" w:hanging="560"/>
        <w:jc w:val="left"/>
      </w:pPr>
      <w:r>
        <w:rPr>
          <w:rFonts w:ascii="Times New Roman" w:cs="Times New Roman" w:eastAsia="Times New Roman" w:hAnsi="Times New Roman"/>
          <w:sz w:val="18"/>
          <w:szCs w:val="18"/>
        </w:rPr>
        <w:t xml:space="preserve">[14]	</w:t>
      </w:r>
      <w:r>
        <w:rPr>
          <w:rFonts w:ascii="Times New Roman" w:cs="Times New Roman" w:eastAsia="Times New Roman" w:hAnsi="Times New Roman"/>
          <w:sz w:val="18"/>
          <w:szCs w:val="18"/>
        </w:rPr>
        <w:t xml:space="preserve">R. Hellstern, D. C. Park, V. Lemieux, and G. Salimjan. Leveraging blockchain-based archival solutions for sensitive documentation: A Xinjiang case study. Digital Society, 1(1):4, 2022. doi:10.1007/s44206-022-00007-1</w:t>
      </w:r>
    </w:p>
    <w:p>
      <w:pPr>
        <w:tabs>
          <w:tab w:val="left" w:pos="560"/>
        </w:tabs>
        <w:spacing w:after="50" w:line="240"/>
        <w:ind w:left="560" w:hanging="560"/>
        <w:jc w:val="left"/>
      </w:pPr>
      <w:r>
        <w:rPr>
          <w:rFonts w:ascii="Times New Roman" w:cs="Times New Roman" w:eastAsia="Times New Roman" w:hAnsi="Times New Roman"/>
          <w:sz w:val="18"/>
          <w:szCs w:val="18"/>
        </w:rPr>
        <w:t xml:space="preserve">[15]	</w:t>
      </w:r>
      <w:r>
        <w:rPr>
          <w:rFonts w:ascii="Times New Roman" w:cs="Times New Roman" w:eastAsia="Times New Roman" w:hAnsi="Times New Roman"/>
          <w:sz w:val="18"/>
          <w:szCs w:val="18"/>
        </w:rPr>
        <w:t xml:space="preserve">L. Li, C. Z. Liu, and S. Shrestha. Analytical entropy approach for measuring blockchain immutability and tamper-resilient trust. Entropy, 28(6):690, 2026. doi:10.3390/e28060690</w:t>
      </w:r>
    </w:p>
    <w:p>
      <w:pPr>
        <w:tabs>
          <w:tab w:val="left" w:pos="560"/>
        </w:tabs>
        <w:spacing w:after="50" w:line="240"/>
        <w:ind w:left="560" w:hanging="560"/>
        <w:jc w:val="left"/>
      </w:pPr>
      <w:r>
        <w:rPr>
          <w:rFonts w:ascii="Times New Roman" w:cs="Times New Roman" w:eastAsia="Times New Roman" w:hAnsi="Times New Roman"/>
          <w:sz w:val="18"/>
          <w:szCs w:val="18"/>
        </w:rPr>
        <w:t xml:space="preserve">[16]	</w:t>
      </w:r>
      <w:r>
        <w:rPr>
          <w:rFonts w:ascii="Times New Roman" w:cs="Times New Roman" w:eastAsia="Times New Roman" w:hAnsi="Times New Roman"/>
          <w:sz w:val="18"/>
          <w:szCs w:val="18"/>
        </w:rPr>
        <w:t xml:space="preserve">C. Mazzocca, A. Acar, A. S. Uluagac, R. Montanari, P. Bellavista, and M. Conti. A survey on decentralized identifiers and verifiable credentials. IEEE Communications Surveys &amp; Tutorials, 27(6):3641–3671, 2025. doi:10.1109/COMST.2025.3543197</w:t>
      </w:r>
    </w:p>
    <w:p>
      <w:pPr>
        <w:tabs>
          <w:tab w:val="left" w:pos="560"/>
        </w:tabs>
        <w:spacing w:after="50" w:line="240"/>
        <w:ind w:left="560" w:hanging="560"/>
        <w:jc w:val="left"/>
      </w:pPr>
      <w:r>
        <w:rPr>
          <w:rFonts w:ascii="Times New Roman" w:cs="Times New Roman" w:eastAsia="Times New Roman" w:hAnsi="Times New Roman"/>
          <w:sz w:val="18"/>
          <w:szCs w:val="18"/>
        </w:rPr>
        <w:t xml:space="preserve">[17]	</w:t>
      </w:r>
      <w:r>
        <w:rPr>
          <w:rFonts w:ascii="Times New Roman" w:cs="Times New Roman" w:eastAsia="Times New Roman" w:hAnsi="Times New Roman"/>
          <w:sz w:val="18"/>
          <w:szCs w:val="18"/>
        </w:rPr>
        <w:t xml:space="preserve">A. Flamini, G. Sciarretta, M. Scuro, A. Sharif, A. Tomasi, and S. Ranise. On cryptographic mechanisms for the selective disclosure of verifiable credentials. Journal of Information Security and Applications, 83:103789, 2024. doi:10.1016/j.jisa.2024.103789</w:t>
      </w:r>
    </w:p>
    <w:p>
      <w:pPr>
        <w:tabs>
          <w:tab w:val="left" w:pos="560"/>
        </w:tabs>
        <w:spacing w:after="50" w:line="240"/>
        <w:ind w:left="560" w:hanging="560"/>
        <w:jc w:val="left"/>
      </w:pPr>
      <w:r>
        <w:rPr>
          <w:rFonts w:ascii="Times New Roman" w:cs="Times New Roman" w:eastAsia="Times New Roman" w:hAnsi="Times New Roman"/>
          <w:sz w:val="18"/>
          <w:szCs w:val="18"/>
        </w:rPr>
        <w:t xml:space="preserve">[18]	</w:t>
      </w:r>
      <w:r>
        <w:rPr>
          <w:rFonts w:ascii="Times New Roman" w:cs="Times New Roman" w:eastAsia="Times New Roman" w:hAnsi="Times New Roman"/>
          <w:sz w:val="18"/>
          <w:szCs w:val="18"/>
        </w:rPr>
        <w:t xml:space="preserve">J. Andrew, D. P. Isravel, K. M. Sagayam, B. Bhushan, Y. Sei, and J. Eunice. Blockchain for healthcare systems: Architecture, security challenges, trends and future directions. Journal of Network and Computer Applications, 215:103633, 2023. doi:10.1016/j.jnca.2023.103633</w:t>
      </w:r>
    </w:p>
    <w:p>
      <w:pPr>
        <w:tabs>
          <w:tab w:val="left" w:pos="560"/>
        </w:tabs>
        <w:spacing w:after="50" w:line="240"/>
        <w:ind w:left="560" w:hanging="560"/>
        <w:jc w:val="left"/>
      </w:pPr>
      <w:r>
        <w:rPr>
          <w:rFonts w:ascii="Times New Roman" w:cs="Times New Roman" w:eastAsia="Times New Roman" w:hAnsi="Times New Roman"/>
          <w:sz w:val="18"/>
          <w:szCs w:val="18"/>
        </w:rPr>
        <w:t xml:space="preserve">[19]	</w:t>
      </w:r>
      <w:r>
        <w:rPr>
          <w:rFonts w:ascii="Times New Roman" w:cs="Times New Roman" w:eastAsia="Times New Roman" w:hAnsi="Times New Roman"/>
          <w:sz w:val="18"/>
          <w:szCs w:val="18"/>
        </w:rPr>
        <w:t xml:space="preserve">M. I. Khalid, M. Ahmed, M. Helfert, and J. Kim. Privacy-first paradigm for dynamic consent management systems: Empowering data subjects through decentralized data controllers and privacy-preserving techniques. Electronics, 12(24):4973, 2023. doi:10.3390/electronics12244973</w:t>
      </w:r>
    </w:p>
    <w:p>
      <w:pPr>
        <w:tabs>
          <w:tab w:val="left" w:pos="560"/>
        </w:tabs>
        <w:spacing w:after="50" w:line="240"/>
        <w:ind w:left="560" w:hanging="560"/>
        <w:jc w:val="left"/>
      </w:pPr>
      <w:r>
        <w:rPr>
          <w:rFonts w:ascii="Times New Roman" w:cs="Times New Roman" w:eastAsia="Times New Roman" w:hAnsi="Times New Roman"/>
          <w:sz w:val="18"/>
          <w:szCs w:val="18"/>
        </w:rPr>
        <w:t xml:space="preserve">[20]	</w:t>
      </w:r>
      <w:r>
        <w:rPr>
          <w:rFonts w:ascii="Times New Roman" w:cs="Times New Roman" w:eastAsia="Times New Roman" w:hAnsi="Times New Roman"/>
          <w:sz w:val="18"/>
          <w:szCs w:val="18"/>
        </w:rPr>
        <w:t xml:space="preserve">V. Jesus and H. J. Pandit. Consent receipts for a usable and auditable web of personal data. IEEE Access, 10:28545–28563, 2022. doi:10.1109/ACCESS.2022.3157850</w:t>
      </w:r>
    </w:p>
    <w:p>
      <w:pPr>
        <w:tabs>
          <w:tab w:val="left" w:pos="560"/>
        </w:tabs>
        <w:spacing w:after="50" w:line="240"/>
        <w:ind w:left="560" w:hanging="560"/>
        <w:jc w:val="left"/>
      </w:pPr>
      <w:r>
        <w:rPr>
          <w:rFonts w:ascii="Times New Roman" w:cs="Times New Roman" w:eastAsia="Times New Roman" w:hAnsi="Times New Roman"/>
          <w:sz w:val="18"/>
          <w:szCs w:val="18"/>
        </w:rPr>
        <w:t xml:space="preserve">[21]	</w:t>
      </w:r>
      <w:r>
        <w:rPr>
          <w:rFonts w:ascii="Times New Roman" w:cs="Times New Roman" w:eastAsia="Times New Roman" w:hAnsi="Times New Roman"/>
          <w:sz w:val="18"/>
          <w:szCs w:val="18"/>
        </w:rPr>
        <w:t xml:space="preserve">S. Phuyal, M. Bhandari, R. Bista, and J. C. Ferreira. Enabling cross-institution health data sharing in Norway: EUDI wallets, on-chain consent, and openEHR↔FHIR translation. IEEE Access, 14:20309–20327, 2026. doi:10.1109/ACCESS.2026.3661642</w:t>
      </w:r>
    </w:p>
    <w:p>
      <w:pPr>
        <w:tabs>
          <w:tab w:val="left" w:pos="560"/>
        </w:tabs>
        <w:spacing w:after="50" w:line="240"/>
        <w:ind w:left="560" w:hanging="560"/>
        <w:jc w:val="left"/>
      </w:pPr>
      <w:r>
        <w:rPr>
          <w:rFonts w:ascii="Times New Roman" w:cs="Times New Roman" w:eastAsia="Times New Roman" w:hAnsi="Times New Roman"/>
          <w:sz w:val="18"/>
          <w:szCs w:val="18"/>
        </w:rPr>
        <w:t xml:space="preserve">[22]	</w:t>
      </w:r>
      <w:r>
        <w:rPr>
          <w:rFonts w:ascii="Times New Roman" w:cs="Times New Roman" w:eastAsia="Times New Roman" w:hAnsi="Times New Roman"/>
          <w:sz w:val="18"/>
          <w:szCs w:val="18"/>
        </w:rPr>
        <w:t xml:space="preserve">Z. Wu and D. Zhang. HealthDID: An efficient and authorizable multi-party privacy-preserving EMR sharing system based on DID. Computer Standards &amp; Interfaces, 93:103967, 2025. doi:10.1016/j.csi.2024.103967</w:t>
      </w:r>
    </w:p>
    <w:p>
      <w:pPr>
        <w:tabs>
          <w:tab w:val="left" w:pos="560"/>
        </w:tabs>
        <w:spacing w:after="50" w:line="240"/>
        <w:ind w:left="560" w:hanging="560"/>
        <w:jc w:val="left"/>
      </w:pPr>
      <w:r>
        <w:rPr>
          <w:rFonts w:ascii="Times New Roman" w:cs="Times New Roman" w:eastAsia="Times New Roman" w:hAnsi="Times New Roman"/>
          <w:sz w:val="18"/>
          <w:szCs w:val="18"/>
        </w:rPr>
        <w:t xml:space="preserve">[23]	</w:t>
      </w:r>
      <w:r>
        <w:rPr>
          <w:rFonts w:ascii="Times New Roman" w:cs="Times New Roman" w:eastAsia="Times New Roman" w:hAnsi="Times New Roman"/>
          <w:sz w:val="18"/>
          <w:szCs w:val="18"/>
        </w:rPr>
        <w:t xml:space="preserve">M. M. Madine, K. Salah, R. Jayaraman, I. Yaqoob, Y. Al-Hammadi, S. Ellahham, et al. Fully decentralized multi-party consent management for secure sharing of patient health records. IEEE Access, 8:225777–225791, 2020. doi:10.1109/ACCESS.2020.3045048</w:t>
      </w:r>
    </w:p>
    <w:p>
      <w:pPr>
        <w:tabs>
          <w:tab w:val="left" w:pos="560"/>
        </w:tabs>
        <w:spacing w:after="50" w:line="240"/>
        <w:ind w:left="560" w:hanging="560"/>
        <w:jc w:val="left"/>
      </w:pPr>
      <w:r>
        <w:rPr>
          <w:rFonts w:ascii="Times New Roman" w:cs="Times New Roman" w:eastAsia="Times New Roman" w:hAnsi="Times New Roman"/>
          <w:sz w:val="18"/>
          <w:szCs w:val="18"/>
        </w:rPr>
        <w:t xml:space="preserve">[24]	</w:t>
      </w:r>
      <w:r>
        <w:rPr>
          <w:rFonts w:ascii="Times New Roman" w:cs="Times New Roman" w:eastAsia="Times New Roman" w:hAnsi="Times New Roman"/>
          <w:sz w:val="18"/>
          <w:szCs w:val="18"/>
        </w:rPr>
        <w:t xml:space="preserve">D. Tith, J.-S. Lee, H. Suzuki, W. M. A. B. Wijesundara, N. Taira, T. Obi, et al. Patient consent management by a purpose-based consent model for electronic health record based on blockchain technology. Healthcare Informatics Research, 26(4):265–273, 2020. doi:10.4258/hir.2020.26.4.265</w:t>
      </w:r>
    </w:p>
    <w:p>
      <w:pPr>
        <w:tabs>
          <w:tab w:val="left" w:pos="560"/>
        </w:tabs>
        <w:spacing w:after="50" w:line="240"/>
        <w:ind w:left="560" w:hanging="560"/>
        <w:jc w:val="left"/>
      </w:pPr>
      <w:r>
        <w:rPr>
          <w:rFonts w:ascii="Times New Roman" w:cs="Times New Roman" w:eastAsia="Times New Roman" w:hAnsi="Times New Roman"/>
          <w:sz w:val="18"/>
          <w:szCs w:val="18"/>
        </w:rPr>
        <w:t xml:space="preserve">[25]	</w:t>
      </w:r>
      <w:r>
        <w:rPr>
          <w:rFonts w:ascii="Times New Roman" w:cs="Times New Roman" w:eastAsia="Times New Roman" w:hAnsi="Times New Roman"/>
          <w:sz w:val="18"/>
          <w:szCs w:val="18"/>
        </w:rPr>
        <w:t xml:space="preserve">A. Punia, P. Gulia, N. S. Gill, D. Kaushik, N. Alduaiji, P. K. Shukla, et al. An access control system for cloud-based healthcare systems driven by blockchain. Journal of Cloud Computing, 14(1):78, 2025. doi:10.1186/s13677-025-00831-z</w:t>
      </w:r>
    </w:p>
    <w:p>
      <w:pPr>
        <w:tabs>
          <w:tab w:val="left" w:pos="560"/>
        </w:tabs>
        <w:spacing w:after="50" w:line="240"/>
        <w:ind w:left="560" w:hanging="560"/>
        <w:jc w:val="left"/>
      </w:pPr>
      <w:r>
        <w:rPr>
          <w:rFonts w:ascii="Times New Roman" w:cs="Times New Roman" w:eastAsia="Times New Roman" w:hAnsi="Times New Roman"/>
          <w:sz w:val="18"/>
          <w:szCs w:val="18"/>
        </w:rPr>
        <w:t xml:space="preserve">[26]	</w:t>
      </w:r>
      <w:r>
        <w:rPr>
          <w:rFonts w:ascii="Times New Roman" w:cs="Times New Roman" w:eastAsia="Times New Roman" w:hAnsi="Times New Roman"/>
          <w:sz w:val="18"/>
          <w:szCs w:val="18"/>
        </w:rPr>
        <w:t xml:space="preserve">K.-L. Tan, C.-H. Chi, and K.-Y. Lam. Secure and privacy-preserving sharing of personal health records with multi-party pre-authorization verification. Wireless Networks, 30(4):4773–4795, 2024. doi:10.1007/s11276-022-03114-6</w:t>
      </w:r>
    </w:p>
    <w:p>
      <w:pPr>
        <w:tabs>
          <w:tab w:val="left" w:pos="560"/>
        </w:tabs>
        <w:spacing w:after="50" w:line="240"/>
        <w:ind w:left="560" w:hanging="560"/>
        <w:jc w:val="left"/>
      </w:pPr>
      <w:r>
        <w:rPr>
          <w:rFonts w:ascii="Times New Roman" w:cs="Times New Roman" w:eastAsia="Times New Roman" w:hAnsi="Times New Roman"/>
          <w:sz w:val="18"/>
          <w:szCs w:val="18"/>
        </w:rPr>
        <w:t xml:space="preserve">[27]	</w:t>
      </w:r>
      <w:r>
        <w:rPr>
          <w:rFonts w:ascii="Times New Roman" w:cs="Times New Roman" w:eastAsia="Times New Roman" w:hAnsi="Times New Roman"/>
          <w:sz w:val="18"/>
          <w:szCs w:val="18"/>
        </w:rPr>
        <w:t xml:space="preserve">K. Ekholm, A. Augustinsson, J. Sundström, C. Johansen, M. Storgärds, L. Ljöstad, et al. Implementing electronic informed consent in rare disease genomics. Scientific Reports, 15(1):44419, 2025. doi:10.1038/s41598-025-32740-1</w:t>
      </w:r>
    </w:p>
    <w:p>
      <w:pPr>
        <w:tabs>
          <w:tab w:val="left" w:pos="560"/>
        </w:tabs>
        <w:spacing w:after="50" w:line="240"/>
        <w:ind w:left="560" w:hanging="560"/>
        <w:jc w:val="left"/>
      </w:pPr>
      <w:r>
        <w:rPr>
          <w:rFonts w:ascii="Times New Roman" w:cs="Times New Roman" w:eastAsia="Times New Roman" w:hAnsi="Times New Roman"/>
          <w:sz w:val="18"/>
          <w:szCs w:val="18"/>
        </w:rPr>
        <w:t xml:space="preserve">[28]	</w:t>
      </w:r>
      <w:r>
        <w:rPr>
          <w:rFonts w:ascii="Times New Roman" w:cs="Times New Roman" w:eastAsia="Times New Roman" w:hAnsi="Times New Roman"/>
          <w:sz w:val="18"/>
          <w:szCs w:val="18"/>
        </w:rPr>
        <w:t xml:space="preserve">A. U. Eneh, L. A. C. Ahakonye, J. M. Lee, and D.-S. Kim. Demo: EdgeConsent: On-chain attribute-based access control for data consent management. In 2026 IEEE International Conference on Blockchain and Cryptocurrency (ICBC), </w:t>
      </w:r>
      <w:r>
        <w:rPr>
          <w:rFonts w:ascii="Times New Roman" w:cs="Times New Roman" w:eastAsia="Times New Roman" w:hAnsi="Times New Roman"/>
          <w:color w:val="FF0000"/>
          <w:sz w:val="18"/>
          <w:szCs w:val="18"/>
        </w:rPr>
        <w:t xml:space="preserve">pages 1–2, </w:t>
      </w:r>
      <w:r>
        <w:rPr>
          <w:rFonts w:ascii="Times New Roman" w:cs="Times New Roman" w:eastAsia="Times New Roman" w:hAnsi="Times New Roman"/>
          <w:sz w:val="18"/>
          <w:szCs w:val="18"/>
        </w:rPr>
        <w:t xml:space="preserve">2026. doi:10.1109/ICBC67748.2026.11575534</w:t>
      </w:r>
    </w:p>
    <w:p>
      <w:pPr>
        <w:tabs>
          <w:tab w:val="left" w:pos="560"/>
        </w:tabs>
        <w:spacing w:after="50" w:line="240"/>
        <w:ind w:left="560" w:hanging="560"/>
        <w:jc w:val="left"/>
      </w:pPr>
      <w:r>
        <w:rPr>
          <w:rFonts w:ascii="Times New Roman" w:cs="Times New Roman" w:eastAsia="Times New Roman" w:hAnsi="Times New Roman"/>
          <w:sz w:val="18"/>
          <w:szCs w:val="18"/>
        </w:rPr>
        <w:t xml:space="preserve">[29]	</w:t>
      </w:r>
      <w:r>
        <w:rPr>
          <w:rFonts w:ascii="Times New Roman" w:cs="Times New Roman" w:eastAsia="Times New Roman" w:hAnsi="Times New Roman"/>
          <w:sz w:val="18"/>
          <w:szCs w:val="18"/>
        </w:rPr>
        <w:t xml:space="preserve">D. P. Panagoulias, A. I. Damian, C. Stamate, V. Toderian, P. Butusina, A. De Franceschi, et al. Blockchain-enabled trust and compliance for clinical AI: Decentralized governance without decentralized data storage. Electronics, 15(14):3046, 2026. doi:10.3390/electronics15143046</w:t>
      </w:r>
    </w:p>
    <w:p>
      <w:pPr>
        <w:tabs>
          <w:tab w:val="left" w:pos="560"/>
        </w:tabs>
        <w:spacing w:after="50" w:line="240"/>
        <w:ind w:left="560" w:hanging="560"/>
        <w:jc w:val="left"/>
      </w:pPr>
      <w:r>
        <w:rPr>
          <w:rFonts w:ascii="Times New Roman" w:cs="Times New Roman" w:eastAsia="Times New Roman" w:hAnsi="Times New Roman"/>
          <w:sz w:val="18"/>
          <w:szCs w:val="18"/>
        </w:rPr>
        <w:t xml:space="preserve">[30]	</w:t>
      </w:r>
      <w:r>
        <w:rPr>
          <w:rFonts w:ascii="Times New Roman" w:cs="Times New Roman" w:eastAsia="Times New Roman" w:hAnsi="Times New Roman"/>
          <w:sz w:val="18"/>
          <w:szCs w:val="18"/>
        </w:rPr>
        <w:t xml:space="preserve">I. Román-Martínez, J. Calvillo-Arbizu, V. J. Mayor-Gallego, G. Madinabeitia-Luque, A. J. Estepa-Alonso, and R. M. Estepa-Alonso. Blockchain-based service-oriented architecture for consent management, access control, and auditing. IEEE Access, 11:12727–12741, 2023. doi:10.1109/ACCESS.2023.3242605</w:t>
      </w:r>
    </w:p>
    <w:p>
      <w:pPr>
        <w:tabs>
          <w:tab w:val="left" w:pos="560"/>
        </w:tabs>
        <w:spacing w:after="50" w:line="240"/>
        <w:ind w:left="560" w:hanging="560"/>
        <w:jc w:val="left"/>
      </w:pPr>
      <w:r>
        <w:rPr>
          <w:rFonts w:ascii="Times New Roman" w:cs="Times New Roman" w:eastAsia="Times New Roman" w:hAnsi="Times New Roman"/>
          <w:sz w:val="18"/>
          <w:szCs w:val="18"/>
        </w:rPr>
        <w:t xml:space="preserve">[31]	</w:t>
      </w:r>
      <w:r>
        <w:rPr>
          <w:rFonts w:ascii="Times New Roman" w:cs="Times New Roman" w:eastAsia="Times New Roman" w:hAnsi="Times New Roman"/>
          <w:sz w:val="18"/>
          <w:szCs w:val="18"/>
        </w:rPr>
        <w:t xml:space="preserve">B. Khayer, S. Mirzaei, H. Alavizadeh, and A. Salehi Shahraki. Blockchain for secure IoT: A review of identity management, access control, and trust mechanisms. IoT, 6(4):65, 2025. doi:10.3390/iot6040065</w:t>
      </w:r>
    </w:p>
    <w:p>
      <w:pPr>
        <w:tabs>
          <w:tab w:val="left" w:pos="560"/>
        </w:tabs>
        <w:spacing w:after="50" w:line="240"/>
        <w:ind w:left="560" w:hanging="560"/>
        <w:jc w:val="left"/>
      </w:pPr>
      <w:r>
        <w:rPr>
          <w:rFonts w:ascii="Times New Roman" w:cs="Times New Roman" w:eastAsia="Times New Roman" w:hAnsi="Times New Roman"/>
          <w:sz w:val="18"/>
          <w:szCs w:val="18"/>
        </w:rPr>
        <w:t xml:space="preserve">[32]	</w:t>
      </w:r>
      <w:r>
        <w:rPr>
          <w:rFonts w:ascii="Times New Roman" w:cs="Times New Roman" w:eastAsia="Times New Roman" w:hAnsi="Times New Roman"/>
          <w:sz w:val="18"/>
          <w:szCs w:val="18"/>
        </w:rPr>
        <w:t xml:space="preserve">J. C. Ferreira, R. Correia, L. Rosário, and A. Vila. Blockchain integration for trust and consent management in MCP-enabled FHIR systems. In 2025 IEEE International Conference on Distributed Ledger Technologies (ICDLT), pages 1–10, 2025. doi:10.1109/ICDLT66400.2025.11466653</w:t>
      </w:r>
    </w:p>
    <w:p>
      <w:pPr>
        <w:tabs>
          <w:tab w:val="left" w:pos="560"/>
        </w:tabs>
        <w:spacing w:after="50" w:line="240"/>
        <w:ind w:left="560" w:hanging="560"/>
        <w:jc w:val="left"/>
      </w:pPr>
      <w:r>
        <w:rPr>
          <w:rFonts w:ascii="Times New Roman" w:cs="Times New Roman" w:eastAsia="Times New Roman" w:hAnsi="Times New Roman"/>
          <w:sz w:val="18"/>
          <w:szCs w:val="18"/>
        </w:rPr>
        <w:t xml:space="preserve">[33]	</w:t>
      </w:r>
      <w:r>
        <w:rPr>
          <w:rFonts w:ascii="Times New Roman" w:cs="Times New Roman" w:eastAsia="Times New Roman" w:hAnsi="Times New Roman"/>
          <w:sz w:val="18"/>
          <w:szCs w:val="18"/>
        </w:rPr>
        <w:t xml:space="preserve">J. Ménétrey, C. Göttel, A. Khurshid, M. Pasin, P. Felber, V. Schiavoni, et al. Attestation mechanisms for trusted execution environments demystified. In IFIP International Conference on Distributed Applications and Interoperable Systems (DAIS 2022), LNCS, vol. 13272, pages 95–113. Springer, 2022. doi:10.1007/978-3-031-16092-9_7</w:t>
      </w:r>
    </w:p>
    <w:p>
      <w:pPr>
        <w:tabs>
          <w:tab w:val="left" w:pos="560"/>
        </w:tabs>
        <w:spacing w:after="50" w:line="240"/>
        <w:ind w:left="560" w:hanging="560"/>
        <w:jc w:val="left"/>
      </w:pPr>
      <w:r>
        <w:rPr>
          <w:rFonts w:ascii="Times New Roman" w:cs="Times New Roman" w:eastAsia="Times New Roman" w:hAnsi="Times New Roman"/>
          <w:sz w:val="18"/>
          <w:szCs w:val="18"/>
        </w:rPr>
        <w:t xml:space="preserve">[34]	</w:t>
      </w:r>
      <w:r>
        <w:rPr>
          <w:rFonts w:ascii="Times New Roman" w:cs="Times New Roman" w:eastAsia="Times New Roman" w:hAnsi="Times New Roman"/>
          <w:sz w:val="18"/>
          <w:szCs w:val="18"/>
        </w:rPr>
        <w:t xml:space="preserve">L. Li, C. Z. Liu, K. Huang, R. Deng, M. A. Alrowaily, M. Alghamdi, et al. Trust-aware environmental state consensus for smart agriculture with TEE-enabled sensing and Byzantine-resilient blockchain coordination. Sensors, 26(14):4577, 2026. doi:10.3390/s26144577</w:t>
      </w:r>
    </w:p>
    <w:p>
      <w:pPr>
        <w:tabs>
          <w:tab w:val="left" w:pos="560"/>
        </w:tabs>
        <w:spacing w:after="50" w:line="240"/>
        <w:ind w:left="560" w:hanging="560"/>
        <w:jc w:val="left"/>
      </w:pPr>
      <w:r>
        <w:rPr>
          <w:rFonts w:ascii="Times New Roman" w:cs="Times New Roman" w:eastAsia="Times New Roman" w:hAnsi="Times New Roman"/>
          <w:sz w:val="18"/>
          <w:szCs w:val="18"/>
        </w:rPr>
        <w:t xml:space="preserve">[35]	</w:t>
      </w:r>
      <w:r>
        <w:rPr>
          <w:rFonts w:ascii="Times New Roman" w:cs="Times New Roman" w:eastAsia="Times New Roman" w:hAnsi="Times New Roman"/>
          <w:sz w:val="18"/>
          <w:szCs w:val="18"/>
        </w:rPr>
        <w:t xml:space="preserve">J. Walonoski, M. Kramer, J. Nichols, A. Quina, C. Moesel, D. Hall, et al. Synthea: An approach, method, and software mechanism for generating synthetic patients and the synthetic electronic health care record. Journal of the American Medical Informatics Association, 25(3):230–238, 2018. doi:10.1093/jamia/ocx079</w:t>
      </w:r>
    </w:p>
    <w:p>
      <w:pPr>
        <w:tabs>
          <w:tab w:val="left" w:pos="560"/>
        </w:tabs>
        <w:spacing w:after="50" w:line="240"/>
        <w:ind w:left="560" w:hanging="560"/>
        <w:jc w:val="left"/>
      </w:pPr>
      <w:r>
        <w:rPr>
          <w:rFonts w:ascii="Times New Roman" w:cs="Times New Roman" w:eastAsia="Times New Roman" w:hAnsi="Times New Roman"/>
          <w:sz w:val="18"/>
          <w:szCs w:val="18"/>
        </w:rPr>
        <w:t xml:space="preserve">[36]	</w:t>
      </w:r>
      <w:r>
        <w:rPr>
          <w:rFonts w:ascii="Times New Roman" w:cs="Times New Roman" w:eastAsia="Times New Roman" w:hAnsi="Times New Roman"/>
          <w:sz w:val="18"/>
          <w:szCs w:val="18"/>
        </w:rPr>
        <w:t xml:space="preserve">A. Kharlamov, R. Hohmann, and G. Parry. Data sharing decisions: Perceptions and intentions in healthcare. Strategic Change, 32(6):223–237, 2023. doi:10.1002/jsc.2558</w:t>
      </w:r>
    </w:p>
    <w:p>
      <w:pPr>
        <w:tabs>
          <w:tab w:val="left" w:pos="560"/>
        </w:tabs>
        <w:spacing w:after="50" w:line="240"/>
        <w:ind w:left="560" w:hanging="560"/>
        <w:jc w:val="left"/>
      </w:pPr>
      <w:r>
        <w:rPr>
          <w:rFonts w:ascii="Times New Roman" w:cs="Times New Roman" w:eastAsia="Times New Roman" w:hAnsi="Times New Roman"/>
          <w:sz w:val="18"/>
          <w:szCs w:val="18"/>
        </w:rPr>
        <w:t xml:space="preserve">[37]	</w:t>
      </w:r>
      <w:r>
        <w:rPr>
          <w:rFonts w:ascii="Times New Roman" w:cs="Times New Roman" w:eastAsia="Times New Roman" w:hAnsi="Times New Roman"/>
          <w:sz w:val="18"/>
          <w:szCs w:val="18"/>
        </w:rPr>
        <w:t xml:space="preserve">P. K. Ghosh, A. Chakraborty, M. Hasan, K. Rashid, and A. H. Siddique. Blockchain application in healthcare systems: A review. Systems, 11(1):38, 2023. doi:10.3390/systems11010038</w:t>
      </w:r>
    </w:p>
    <w:p>
      <w:pPr>
        <w:tabs>
          <w:tab w:val="left" w:pos="560"/>
        </w:tabs>
        <w:spacing w:after="50" w:line="240"/>
        <w:ind w:left="560" w:hanging="560"/>
        <w:jc w:val="left"/>
      </w:pPr>
      <w:r>
        <w:rPr>
          <w:rFonts w:ascii="Times New Roman" w:cs="Times New Roman" w:eastAsia="Times New Roman" w:hAnsi="Times New Roman"/>
          <w:sz w:val="18"/>
          <w:szCs w:val="18"/>
        </w:rPr>
        <w:t xml:space="preserve">[38]	</w:t>
      </w:r>
      <w:r>
        <w:rPr>
          <w:rFonts w:ascii="Times New Roman" w:cs="Times New Roman" w:eastAsia="Times New Roman" w:hAnsi="Times New Roman"/>
          <w:sz w:val="18"/>
          <w:szCs w:val="18"/>
        </w:rPr>
        <w:t xml:space="preserve">M. S. Arbabi, C. Lal, N. R. Veeraragavan, D. Marijan, J. F. Nygård, and R. Vitenberg. A survey on blockchain for healthcare: Challenges, benefits, and future directions. IEEE Communications Surveys &amp; Tutorials, 25(1):386–424, 2023. doi:10.1109/COMST.2022.3224644</w:t>
      </w:r>
    </w:p>
    <w:p>
      <w:pPr>
        <w:tabs>
          <w:tab w:val="left" w:pos="560"/>
        </w:tabs>
        <w:spacing w:after="50" w:line="240"/>
        <w:ind w:left="560" w:hanging="560"/>
        <w:jc w:val="left"/>
      </w:pPr>
      <w:r>
        <w:rPr>
          <w:rFonts w:ascii="Times New Roman" w:cs="Times New Roman" w:eastAsia="Times New Roman" w:hAnsi="Times New Roman"/>
          <w:sz w:val="18"/>
          <w:szCs w:val="18"/>
        </w:rPr>
        <w:t xml:space="preserve">[39]	</w:t>
      </w:r>
      <w:r>
        <w:rPr>
          <w:rFonts w:ascii="Times New Roman" w:cs="Times New Roman" w:eastAsia="Times New Roman" w:hAnsi="Times New Roman"/>
          <w:sz w:val="18"/>
          <w:szCs w:val="18"/>
        </w:rPr>
        <w:t xml:space="preserve">M. N. Turan, I. A. Hashimzai, and M. Q. Qiam. A blockchain-based framework for secure and transparent environmental data sharing in smart cities: Enhancing trust, integrity, and interoperability in urban sustainability systems. Nata Palemahan: Journal of Environmental Engineering Innovations, 2(2):70–79, 2025. doi:10.38043/natapalemahan.v2i2.6996</w:t>
      </w:r>
    </w:p>
    <w:p>
      <w:pPr>
        <w:tabs>
          <w:tab w:val="left" w:pos="560"/>
        </w:tabs>
        <w:spacing w:after="50" w:line="240"/>
        <w:ind w:left="560" w:hanging="560"/>
        <w:jc w:val="left"/>
      </w:pPr>
      <w:r>
        <w:rPr>
          <w:rFonts w:ascii="Times New Roman" w:cs="Times New Roman" w:eastAsia="Times New Roman" w:hAnsi="Times New Roman"/>
          <w:sz w:val="18"/>
          <w:szCs w:val="18"/>
        </w:rPr>
        <w:t xml:space="preserve">[40]	</w:t>
      </w:r>
      <w:r>
        <w:rPr>
          <w:rFonts w:ascii="Times New Roman" w:cs="Times New Roman" w:eastAsia="Times New Roman" w:hAnsi="Times New Roman"/>
          <w:sz w:val="18"/>
          <w:szCs w:val="18"/>
        </w:rPr>
        <w:t xml:space="preserve">J. Yin, Y. Xiao, Q. Chen, Y. Z. Lim, X. Liu, Q. Pei, et al. DP-DID: A dynamic and proactive decentralized identity system. IEEE Transactions on Information Forensics and Security, 20:4999–5014, 2025. doi:10.1109/TIFS.2025.3561662</w:t>
      </w:r>
    </w:p>
    <w:p>
      <w:pPr>
        <w:tabs>
          <w:tab w:val="left" w:pos="560"/>
        </w:tabs>
        <w:spacing w:after="50" w:line="240"/>
        <w:ind w:left="560" w:hanging="560"/>
        <w:jc w:val="left"/>
      </w:pPr>
      <w:r>
        <w:rPr>
          <w:rFonts w:ascii="Times New Roman" w:cs="Times New Roman" w:eastAsia="Times New Roman" w:hAnsi="Times New Roman"/>
          <w:sz w:val="18"/>
          <w:szCs w:val="18"/>
        </w:rPr>
        <w:t xml:space="preserve">[41]	</w:t>
      </w:r>
      <w:r>
        <w:rPr>
          <w:rFonts w:ascii="Times New Roman" w:cs="Times New Roman" w:eastAsia="Times New Roman" w:hAnsi="Times New Roman"/>
          <w:sz w:val="18"/>
          <w:szCs w:val="18"/>
        </w:rPr>
        <w:t xml:space="preserve">H. Deng, J. Liang, C. Zhang, X. Liu, L. Zhu, and S. Guo. FutureDID: A fully decentralized identity system with multi-party verification. IEEE Transactions on Computers, 73(8):2051–2065, 2024. doi:10.1109/TC.2024.3398509</w:t>
      </w:r>
    </w:p>
    <w:p>
      <w:pPr>
        <w:tabs>
          <w:tab w:val="left" w:pos="560"/>
        </w:tabs>
        <w:spacing w:after="50" w:line="240"/>
        <w:ind w:left="560" w:hanging="560"/>
        <w:jc w:val="left"/>
      </w:pPr>
      <w:r>
        <w:rPr>
          <w:rFonts w:ascii="Times New Roman" w:cs="Times New Roman" w:eastAsia="Times New Roman" w:hAnsi="Times New Roman"/>
          <w:sz w:val="18"/>
          <w:szCs w:val="18"/>
        </w:rPr>
        <w:t xml:space="preserve">[42]	</w:t>
      </w:r>
      <w:r>
        <w:rPr>
          <w:rFonts w:ascii="Times New Roman" w:cs="Times New Roman" w:eastAsia="Times New Roman" w:hAnsi="Times New Roman"/>
          <w:sz w:val="18"/>
          <w:szCs w:val="18"/>
        </w:rPr>
        <w:t xml:space="preserve">C. D. Nassar Kyriakidou, A. M. Papathanasiou, and G. C. Polyzos. Decentralized identity with applications to security and privacy for the internet of things. Computer Networks and Communications, 1(2):244–271, 2023. doi:10.37256/cnc.1220233048</w:t>
      </w:r>
    </w:p>
    <w:p>
      <w:pPr>
        <w:tabs>
          <w:tab w:val="left" w:pos="560"/>
        </w:tabs>
        <w:spacing w:after="50" w:line="240"/>
        <w:ind w:left="560" w:hanging="560"/>
        <w:jc w:val="left"/>
      </w:pPr>
      <w:r>
        <w:rPr>
          <w:rFonts w:ascii="Times New Roman" w:cs="Times New Roman" w:eastAsia="Times New Roman" w:hAnsi="Times New Roman"/>
          <w:sz w:val="18"/>
          <w:szCs w:val="18"/>
        </w:rPr>
        <w:t xml:space="preserve">[43]	</w:t>
      </w:r>
      <w:r>
        <w:rPr>
          <w:rFonts w:ascii="Times New Roman" w:cs="Times New Roman" w:eastAsia="Times New Roman" w:hAnsi="Times New Roman"/>
          <w:sz w:val="18"/>
          <w:szCs w:val="18"/>
        </w:rPr>
        <w:t xml:space="preserve">R. P. Parameswarath, P. Gope, and B. Sikdar. User-empowered privacy-preserving authentication protocol for electric vehicle charging based on decentralized identity and verifiable credential. ACM Transactions on Management Information Systems, 13(4):44, 2022. doi:10.1145/3532869</w:t>
      </w:r>
    </w:p>
    <w:p>
      <w:pPr>
        <w:tabs>
          <w:tab w:val="left" w:pos="560"/>
        </w:tabs>
        <w:spacing w:after="50" w:line="240"/>
        <w:ind w:left="560" w:hanging="560"/>
        <w:jc w:val="left"/>
      </w:pPr>
      <w:r>
        <w:rPr>
          <w:rFonts w:ascii="Times New Roman" w:cs="Times New Roman" w:eastAsia="Times New Roman" w:hAnsi="Times New Roman"/>
          <w:sz w:val="18"/>
          <w:szCs w:val="18"/>
        </w:rPr>
        <w:t xml:space="preserve">[44]	</w:t>
      </w:r>
      <w:r>
        <w:rPr>
          <w:rFonts w:ascii="Times New Roman" w:cs="Times New Roman" w:eastAsia="Times New Roman" w:hAnsi="Times New Roman"/>
          <w:sz w:val="18"/>
          <w:szCs w:val="18"/>
        </w:rPr>
        <w:t xml:space="preserve">H. Yin, Y. Zhao, L. Zhang, B. Qiao, W. Chen, and H. Wang. Attribute-based searchable encryption with decentralized key management for healthcare data sharing. Journal of Systems Architecture, 148:103081, 2024. doi:10.1016/j.sysarc.2024.103081</w:t>
      </w:r>
    </w:p>
    <w:p>
      <w:pPr>
        <w:tabs>
          <w:tab w:val="left" w:pos="560"/>
        </w:tabs>
        <w:spacing w:after="50" w:line="240"/>
        <w:ind w:left="560" w:hanging="560"/>
        <w:jc w:val="left"/>
      </w:pPr>
      <w:r>
        <w:rPr>
          <w:rFonts w:ascii="Times New Roman" w:cs="Times New Roman" w:eastAsia="Times New Roman" w:hAnsi="Times New Roman"/>
          <w:sz w:val="18"/>
          <w:szCs w:val="18"/>
        </w:rPr>
        <w:t xml:space="preserve">[45]	</w:t>
      </w:r>
      <w:r>
        <w:rPr>
          <w:rFonts w:ascii="Times New Roman" w:cs="Times New Roman" w:eastAsia="Times New Roman" w:hAnsi="Times New Roman"/>
          <w:sz w:val="18"/>
          <w:szCs w:val="18"/>
        </w:rPr>
        <w:t xml:space="preserve">R. Jiang, X. Chen, Y. Yu, Y. Zhang, and W. Ding. Risk and UCON-based access control model for healthcare big data. Journal of Big Data, 10(1):104, 2023. doi:10.1186/s40537-023-00783-8</w:t>
      </w:r>
    </w:p>
    <w:p>
      <w:pPr>
        <w:tabs>
          <w:tab w:val="left" w:pos="560"/>
        </w:tabs>
        <w:spacing w:after="50" w:line="240"/>
        <w:ind w:left="560" w:hanging="560"/>
        <w:jc w:val="left"/>
      </w:pPr>
      <w:r>
        <w:rPr>
          <w:rFonts w:ascii="Times New Roman" w:cs="Times New Roman" w:eastAsia="Times New Roman" w:hAnsi="Times New Roman"/>
          <w:sz w:val="18"/>
          <w:szCs w:val="18"/>
        </w:rPr>
        <w:t xml:space="preserve">[46]	</w:t>
      </w:r>
      <w:r>
        <w:rPr>
          <w:rFonts w:ascii="Times New Roman" w:cs="Times New Roman" w:eastAsia="Times New Roman" w:hAnsi="Times New Roman"/>
          <w:sz w:val="18"/>
          <w:szCs w:val="18"/>
        </w:rPr>
        <w:t xml:space="preserve">M. J. Page, J. E. McKenzie, P. M. Bossuyt, I. Boutron, T. C. Hoffmann, C. D. Mulrow, et al. The PRISMA 2020 statement: An updated guideline for reporting systematic reviews. BMJ, 372:n71, 2021. doi:10.1136/bmj.n71</w:t>
      </w:r>
    </w:p>
    <w:p>
      <w:pPr>
        <w:tabs>
          <w:tab w:val="left" w:pos="560"/>
        </w:tabs>
        <w:spacing w:after="50" w:line="240"/>
        <w:ind w:left="560" w:hanging="560"/>
        <w:jc w:val="left"/>
      </w:pPr>
      <w:r>
        <w:rPr>
          <w:rFonts w:ascii="Times New Roman" w:cs="Times New Roman" w:eastAsia="Times New Roman" w:hAnsi="Times New Roman"/>
          <w:sz w:val="18"/>
          <w:szCs w:val="18"/>
        </w:rPr>
        <w:t xml:space="preserve">[47]	</w:t>
      </w:r>
      <w:r>
        <w:rPr>
          <w:rFonts w:ascii="Times New Roman" w:cs="Times New Roman" w:eastAsia="Times New Roman" w:hAnsi="Times New Roman"/>
          <w:sz w:val="18"/>
          <w:szCs w:val="18"/>
        </w:rPr>
        <w:t xml:space="preserve">V. Jaiman and V. Urovi. A consent model for blockchain-based health data sharing platforms. IEEE Access, 8:143734–143745, 2020. doi:10.1109/ACCESS.2020.3014565</w:t>
      </w:r>
    </w:p>
    <w:p>
      <w:pPr>
        <w:tabs>
          <w:tab w:val="left" w:pos="560"/>
        </w:tabs>
        <w:spacing w:after="50" w:line="240"/>
        <w:ind w:left="560" w:hanging="560"/>
        <w:jc w:val="left"/>
      </w:pPr>
      <w:r>
        <w:rPr>
          <w:rFonts w:ascii="Times New Roman" w:cs="Times New Roman" w:eastAsia="Times New Roman" w:hAnsi="Times New Roman"/>
          <w:sz w:val="18"/>
          <w:szCs w:val="18"/>
        </w:rPr>
        <w:t xml:space="preserve">[48]	</w:t>
      </w:r>
      <w:r>
        <w:rPr>
          <w:rFonts w:ascii="Times New Roman" w:cs="Times New Roman" w:eastAsia="Times New Roman" w:hAnsi="Times New Roman"/>
          <w:sz w:val="18"/>
          <w:szCs w:val="18"/>
        </w:rPr>
        <w:t xml:space="preserve">F. Albalwy, A. Brass, and A. Davies. A blockchain-based dynamic consent architecture to support clinical genomic data sharing (ConsentChain): Proof-of-concept study. JMIR Medical Informatics, 9(11):e27816, 2021. doi:10.2196/27816</w:t>
      </w:r>
    </w:p>
    <w:p>
      <w:pPr>
        <w:tabs>
          <w:tab w:val="left" w:pos="560"/>
        </w:tabs>
        <w:spacing w:after="50" w:line="240"/>
        <w:ind w:left="560" w:hanging="560"/>
        <w:jc w:val="left"/>
      </w:pPr>
      <w:r>
        <w:rPr>
          <w:rFonts w:ascii="Times New Roman" w:cs="Times New Roman" w:eastAsia="Times New Roman" w:hAnsi="Times New Roman"/>
          <w:sz w:val="18"/>
          <w:szCs w:val="18"/>
        </w:rPr>
        <w:t xml:space="preserve">[49]	</w:t>
      </w:r>
      <w:r>
        <w:rPr>
          <w:rFonts w:ascii="Times New Roman" w:cs="Times New Roman" w:eastAsia="Times New Roman" w:hAnsi="Times New Roman"/>
          <w:sz w:val="18"/>
          <w:szCs w:val="18"/>
        </w:rPr>
        <w:t xml:space="preserve">H. Li, D. Li, G. Lv, N. Crespi, R. Minerva, W. Shao, et al. Privacy-preserving fine-grained EMR access control for IoMT: A hybrid RBAC-smart contract scheme with attribute-based authorization. IEEE Internet of Things Journal, 13(2):2970–2987, 2026. doi:10.1109/JIOT.2025.3633504</w:t>
      </w:r>
    </w:p>
    <w:p>
      <w:pPr>
        <w:tabs>
          <w:tab w:val="left" w:pos="560"/>
        </w:tabs>
        <w:spacing w:after="50" w:line="240"/>
        <w:ind w:left="560" w:hanging="560"/>
        <w:jc w:val="left"/>
      </w:pPr>
      <w:r>
        <w:rPr>
          <w:rFonts w:ascii="Times New Roman" w:cs="Times New Roman" w:eastAsia="Times New Roman" w:hAnsi="Times New Roman"/>
          <w:sz w:val="18"/>
          <w:szCs w:val="18"/>
        </w:rPr>
        <w:t xml:space="preserve">[50]	</w:t>
      </w:r>
      <w:r>
        <w:rPr>
          <w:rFonts w:ascii="Times New Roman" w:cs="Times New Roman" w:eastAsia="Times New Roman" w:hAnsi="Times New Roman"/>
          <w:sz w:val="18"/>
          <w:szCs w:val="18"/>
        </w:rPr>
        <w:t xml:space="preserve">A. Abbasi, M. N. Humeidi, and Q. Wang. Nexa: Enabling secure, scalable, and decentralized management of electronic health records using threshold cryptography and public blockchains. IEEE Access, 14:50791–50810, 2026. doi:10.1109/ACCESS.2026.3677499</w:t>
      </w:r>
    </w:p>
    <w:p>
      <w:pPr>
        <w:tabs>
          <w:tab w:val="left" w:pos="560"/>
        </w:tabs>
        <w:spacing w:after="50" w:line="240"/>
        <w:ind w:left="560" w:hanging="560"/>
        <w:jc w:val="left"/>
      </w:pPr>
      <w:r>
        <w:rPr>
          <w:rFonts w:ascii="Times New Roman" w:cs="Times New Roman" w:eastAsia="Times New Roman" w:hAnsi="Times New Roman"/>
          <w:sz w:val="18"/>
          <w:szCs w:val="18"/>
        </w:rPr>
        <w:t xml:space="preserve">[51]	</w:t>
      </w:r>
      <w:r>
        <w:rPr>
          <w:rFonts w:ascii="Times New Roman" w:cs="Times New Roman" w:eastAsia="Times New Roman" w:hAnsi="Times New Roman"/>
          <w:sz w:val="18"/>
          <w:szCs w:val="18"/>
        </w:rPr>
        <w:t xml:space="preserve">M. Al Amin, A. Altarawneh, and I. Ray. Informed consent as patient driven policy for clinical diagnosis and treatment: A smart contract based approach. In Proceedings of the 20th International Conference on Security and Cryptography (SECRYPT 2023), pages 159–170. SciTePress, 2023. doi:10.5220/0012090600003555</w:t>
      </w:r>
    </w:p>
    <w:p>
      <w:pPr>
        <w:tabs>
          <w:tab w:val="left" w:pos="560"/>
        </w:tabs>
        <w:spacing w:after="50" w:line="240"/>
        <w:ind w:left="560" w:hanging="560"/>
        <w:jc w:val="left"/>
      </w:pPr>
      <w:r>
        <w:rPr>
          <w:rFonts w:ascii="Times New Roman" w:cs="Times New Roman" w:eastAsia="Times New Roman" w:hAnsi="Times New Roman"/>
          <w:sz w:val="18"/>
          <w:szCs w:val="18"/>
        </w:rPr>
        <w:t xml:space="preserve">[52]	</w:t>
      </w:r>
      <w:r>
        <w:rPr>
          <w:rFonts w:ascii="Times New Roman" w:cs="Times New Roman" w:eastAsia="Times New Roman" w:hAnsi="Times New Roman"/>
          <w:sz w:val="18"/>
          <w:szCs w:val="18"/>
        </w:rPr>
        <w:t xml:space="preserve">J. Hagström, M. Hägglund, M. Holmroos, P. Lähteenmäki, and I. Hörhammer. Minors’ and guardian access to and use of a national patient portal: A retrospective comparative case study of Sweden and Finland. International Journal of Medical Informatics, 187:105465, 2024. doi:10.1016/j.ijmedinf.2024.105465</w:t>
      </w:r>
    </w:p>
    <w:p>
      <w:pPr>
        <w:tabs>
          <w:tab w:val="left" w:pos="560"/>
        </w:tabs>
        <w:spacing w:after="50" w:line="240"/>
        <w:ind w:left="560" w:hanging="560"/>
        <w:jc w:val="left"/>
      </w:pPr>
      <w:r>
        <w:rPr>
          <w:rFonts w:ascii="Times New Roman" w:cs="Times New Roman" w:eastAsia="Times New Roman" w:hAnsi="Times New Roman"/>
          <w:sz w:val="18"/>
          <w:szCs w:val="18"/>
        </w:rPr>
        <w:t xml:space="preserve">[53]	</w:t>
      </w:r>
      <w:r>
        <w:rPr>
          <w:rFonts w:ascii="Times New Roman" w:cs="Times New Roman" w:eastAsia="Times New Roman" w:hAnsi="Times New Roman"/>
          <w:sz w:val="18"/>
          <w:szCs w:val="18"/>
        </w:rPr>
        <w:t xml:space="preserve">J. Zhao and Q. Su. A threshold traceable delegation authorization scheme for data sharing in healthcare. Computers &amp; Security, 139:103686, 2024. doi:10.1016/j.cose.2023.103686</w:t>
      </w:r>
    </w:p>
    <w:p>
      <w:pPr>
        <w:tabs>
          <w:tab w:val="left" w:pos="560"/>
        </w:tabs>
        <w:spacing w:after="50" w:line="240"/>
        <w:ind w:left="560" w:hanging="560"/>
        <w:jc w:val="left"/>
      </w:pPr>
      <w:r>
        <w:rPr>
          <w:rFonts w:ascii="Times New Roman" w:cs="Times New Roman" w:eastAsia="Times New Roman" w:hAnsi="Times New Roman"/>
          <w:sz w:val="18"/>
          <w:szCs w:val="18"/>
        </w:rPr>
        <w:t xml:space="preserve">[54]	</w:t>
      </w:r>
      <w:r>
        <w:rPr>
          <w:rFonts w:ascii="Times New Roman" w:cs="Times New Roman" w:eastAsia="Times New Roman" w:hAnsi="Times New Roman"/>
          <w:sz w:val="18"/>
          <w:szCs w:val="18"/>
        </w:rPr>
        <w:t xml:space="preserve">V. Maruthi and K. Singh. Enhancing security and privacy of IoMT data for unconscious patient with blockchain. IEEE Transactions on Network and Service Management, 22(6):5223–5238, 2025. doi:10.1109/TNSM.2025.3602117</w:t>
      </w:r>
    </w:p>
    <w:p>
      <w:pPr>
        <w:tabs>
          <w:tab w:val="left" w:pos="560"/>
        </w:tabs>
        <w:spacing w:after="50" w:line="240"/>
        <w:ind w:left="560" w:hanging="560"/>
        <w:jc w:val="left"/>
      </w:pPr>
      <w:r>
        <w:rPr>
          <w:rFonts w:ascii="Times New Roman" w:cs="Times New Roman" w:eastAsia="Times New Roman" w:hAnsi="Times New Roman"/>
          <w:sz w:val="18"/>
          <w:szCs w:val="18"/>
        </w:rPr>
        <w:t xml:space="preserve">[55]	</w:t>
      </w:r>
      <w:r>
        <w:rPr>
          <w:rFonts w:ascii="Times New Roman" w:cs="Times New Roman" w:eastAsia="Times New Roman" w:hAnsi="Times New Roman"/>
          <w:sz w:val="18"/>
          <w:szCs w:val="18"/>
        </w:rPr>
        <w:t xml:space="preserve">L. Mei, K. Huang, X. Li, H. Wang, and X. Zhang. Efficient dual-revocation CP-ABE for secure and fine-grained data sharing in IoMT. IEEE Internet of Things Journal, 13(14):30933–30940, 2026. doi:10.1109/JIOT.2026.3685269</w:t>
      </w:r>
    </w:p>
    <w:p>
      <w:pPr>
        <w:tabs>
          <w:tab w:val="left" w:pos="560"/>
        </w:tabs>
        <w:spacing w:after="50" w:line="240"/>
        <w:ind w:left="560" w:hanging="560"/>
        <w:jc w:val="left"/>
      </w:pPr>
      <w:r>
        <w:rPr>
          <w:rFonts w:ascii="Times New Roman" w:cs="Times New Roman" w:eastAsia="Times New Roman" w:hAnsi="Times New Roman"/>
          <w:sz w:val="18"/>
          <w:szCs w:val="18"/>
        </w:rPr>
        <w:t xml:space="preserve">[56]	</w:t>
      </w:r>
      <w:r>
        <w:rPr>
          <w:rFonts w:ascii="Times New Roman" w:cs="Times New Roman" w:eastAsia="Times New Roman" w:hAnsi="Times New Roman"/>
          <w:sz w:val="18"/>
          <w:szCs w:val="18"/>
        </w:rPr>
        <w:t xml:space="preserve">S. Phuyal, M. Bhandari, R. Bista, and J. C. Ferreira. A blockchain-based architecture for dynamic and auditable patient consent in secondary use of health data. Blockchain in Healthcare Today, 9(1)</w:t>
      </w:r>
      <w:r>
        <w:rPr>
          <w:rFonts w:ascii="Times New Roman" w:cs="Times New Roman" w:eastAsia="Times New Roman" w:hAnsi="Times New Roman"/>
          <w:color w:val="FF0000"/>
          <w:sz w:val="18"/>
          <w:szCs w:val="18"/>
        </w:rPr>
        <w:t xml:space="preserve">:491</w:t>
      </w:r>
      <w:r>
        <w:rPr>
          <w:rFonts w:ascii="Times New Roman" w:cs="Times New Roman" w:eastAsia="Times New Roman" w:hAnsi="Times New Roman"/>
          <w:sz w:val="18"/>
          <w:szCs w:val="18"/>
        </w:rPr>
        <w:t xml:space="preserve">, 2026. doi:10.30953/bhty.v9.491</w:t>
      </w:r>
    </w:p>
    <w:p>
      <w:pPr>
        <w:tabs>
          <w:tab w:val="left" w:pos="560"/>
        </w:tabs>
        <w:spacing w:after="50" w:line="240"/>
        <w:ind w:left="560" w:hanging="560"/>
        <w:jc w:val="left"/>
      </w:pPr>
      <w:r>
        <w:rPr>
          <w:rFonts w:ascii="Times New Roman" w:cs="Times New Roman" w:eastAsia="Times New Roman" w:hAnsi="Times New Roman"/>
          <w:sz w:val="18"/>
          <w:szCs w:val="18"/>
        </w:rPr>
        <w:t xml:space="preserve">[57]	</w:t>
      </w:r>
      <w:r>
        <w:rPr>
          <w:rFonts w:ascii="Times New Roman" w:cs="Times New Roman" w:eastAsia="Times New Roman" w:hAnsi="Times New Roman"/>
          <w:sz w:val="18"/>
          <w:szCs w:val="18"/>
        </w:rPr>
        <w:t xml:space="preserve">S. Hema, G. B. S. Reddy, and R. Shalini. Patient centric cryptographic protection of cloud electronic health records. In 2026 6th International Conference on Expert Clouds and Applications (ICOECA), pages 293–300, 2026. doi:10.1109/ICOECA68095.2026.11485301</w:t>
      </w:r>
    </w:p>
    <w:p>
      <w:pPr>
        <w:tabs>
          <w:tab w:val="left" w:pos="560"/>
        </w:tabs>
        <w:spacing w:after="50" w:line="240"/>
        <w:ind w:left="560" w:hanging="560"/>
        <w:jc w:val="left"/>
      </w:pPr>
      <w:r>
        <w:rPr>
          <w:rFonts w:ascii="Times New Roman" w:cs="Times New Roman" w:eastAsia="Times New Roman" w:hAnsi="Times New Roman"/>
          <w:sz w:val="18"/>
          <w:szCs w:val="18"/>
        </w:rPr>
        <w:t xml:space="preserve">[58]	</w:t>
      </w:r>
      <w:r>
        <w:rPr>
          <w:rFonts w:ascii="Times New Roman" w:cs="Times New Roman" w:eastAsia="Times New Roman" w:hAnsi="Times New Roman"/>
          <w:sz w:val="18"/>
          <w:szCs w:val="18"/>
        </w:rPr>
        <w:t xml:space="preserve">S. L. SooHoo, M. S. Keller, Y. Chen, D. Hu, S.-C. Huang, T.-T. Kuo, et al. Development of the authentication and authorization processes for the iAgree portal, a platform for patient-controlled data sharing across health systems. JAMIA Open, 9(3):ooag111, 2026. doi:10.1093/jamiaopen/ooag111</w:t>
      </w:r>
    </w:p>
    <w:p>
      <w:pPr>
        <w:tabs>
          <w:tab w:val="left" w:pos="560"/>
        </w:tabs>
        <w:spacing w:after="50" w:line="240"/>
        <w:ind w:left="560" w:hanging="560"/>
        <w:jc w:val="left"/>
      </w:pPr>
      <w:r>
        <w:rPr>
          <w:rFonts w:ascii="Times New Roman" w:cs="Times New Roman" w:eastAsia="Times New Roman" w:hAnsi="Times New Roman"/>
          <w:sz w:val="18"/>
          <w:szCs w:val="18"/>
        </w:rPr>
        <w:t xml:space="preserve">[59]	</w:t>
      </w:r>
      <w:r>
        <w:rPr>
          <w:rFonts w:ascii="Times New Roman" w:cs="Times New Roman" w:eastAsia="Times New Roman" w:hAnsi="Times New Roman"/>
          <w:sz w:val="18"/>
          <w:szCs w:val="18"/>
        </w:rPr>
        <w:t xml:space="preserve">G. Tremper, T. Brenner, M. Ben Amor, T. Kussel, and M. Lablans. Mainzelliste: Ten years of pseudonymization, record linkage, and informed consent management. Patterns, 7(1):101432, 2026. doi:10.1016/j.patter.2025.101432</w:t>
      </w:r>
    </w:p>
    <w:p>
      <w:pPr>
        <w:tabs>
          <w:tab w:val="left" w:pos="560"/>
        </w:tabs>
        <w:spacing w:after="50" w:line="240"/>
        <w:ind w:left="560" w:hanging="560"/>
        <w:jc w:val="left"/>
      </w:pPr>
      <w:r>
        <w:rPr>
          <w:rFonts w:ascii="Times New Roman" w:cs="Times New Roman" w:eastAsia="Times New Roman" w:hAnsi="Times New Roman"/>
          <w:sz w:val="18"/>
          <w:szCs w:val="18"/>
        </w:rPr>
        <w:t xml:space="preserve">[60]	</w:t>
      </w:r>
      <w:r>
        <w:rPr>
          <w:rFonts w:ascii="Times New Roman" w:cs="Times New Roman" w:eastAsia="Times New Roman" w:hAnsi="Times New Roman"/>
          <w:sz w:val="18"/>
          <w:szCs w:val="18"/>
        </w:rPr>
        <w:t xml:space="preserve">C.-H. Tseng, Y.-H. Hsieh, H.-Y. Lin, and S.-M. Yuan. EMR-Chain: Decentralized electronic medical record exchange system. Technologies, 13(10):446, 2025. doi:10.3390/technologies13100446</w:t>
      </w:r>
    </w:p>
    <w:p>
      <w:pPr>
        <w:tabs>
          <w:tab w:val="left" w:pos="560"/>
        </w:tabs>
        <w:spacing w:after="50" w:line="240"/>
        <w:ind w:left="560" w:hanging="560"/>
        <w:jc w:val="left"/>
      </w:pPr>
      <w:r>
        <w:rPr>
          <w:rFonts w:ascii="Times New Roman" w:cs="Times New Roman" w:eastAsia="Times New Roman" w:hAnsi="Times New Roman"/>
          <w:sz w:val="18"/>
          <w:szCs w:val="18"/>
        </w:rPr>
        <w:t xml:space="preserve">[61]	</w:t>
      </w:r>
      <w:r>
        <w:rPr>
          <w:rFonts w:ascii="Times New Roman" w:cs="Times New Roman" w:eastAsia="Times New Roman" w:hAnsi="Times New Roman"/>
          <w:sz w:val="18"/>
          <w:szCs w:val="18"/>
        </w:rPr>
        <w:t xml:space="preserve">Y. Wu, C. Liu, L. Sebald, P. Nguyen, and Y. Yesha. Apply trust computing and privacy preserving smart contracts to manage, share, and analyze multi-site clinical trial data. In Proceedings of the International Conference on Deep Learning, Big Data and Blockchain (DBB 2022), LNNS, vol. 541, pages 3–14. Springer, 2022. doi:10.1007/978-3-031-16035-6_1</w:t>
      </w:r>
    </w:p>
    <w:p>
      <w:pPr>
        <w:tabs>
          <w:tab w:val="left" w:pos="560"/>
        </w:tabs>
        <w:spacing w:after="50" w:line="240"/>
        <w:ind w:left="560" w:hanging="560"/>
        <w:jc w:val="left"/>
      </w:pPr>
      <w:r>
        <w:rPr>
          <w:rFonts w:ascii="Times New Roman" w:cs="Times New Roman" w:eastAsia="Times New Roman" w:hAnsi="Times New Roman"/>
          <w:sz w:val="18"/>
          <w:szCs w:val="18"/>
        </w:rPr>
        <w:t xml:space="preserve">[62]	</w:t>
      </w:r>
      <w:r>
        <w:rPr>
          <w:rFonts w:ascii="Times New Roman" w:cs="Times New Roman" w:eastAsia="Times New Roman" w:hAnsi="Times New Roman"/>
          <w:sz w:val="18"/>
          <w:szCs w:val="18"/>
        </w:rPr>
        <w:t xml:space="preserve">S. Akter and T. F. Sanam. A blockchain framework for secure healthcare data management using role-based access control and smart contracts. In 2025 International Conference on Electrical, Computer and Communication Engineering (ECCE), pages 1–6, 2025. doi:10.1109/ECCE64574.2025.11013162</w:t>
      </w:r>
    </w:p>
    <w:p>
      <w:pPr>
        <w:tabs>
          <w:tab w:val="left" w:pos="560"/>
        </w:tabs>
        <w:spacing w:after="50" w:line="240"/>
        <w:ind w:left="560" w:hanging="560"/>
        <w:jc w:val="left"/>
      </w:pPr>
      <w:r>
        <w:rPr>
          <w:rFonts w:ascii="Times New Roman" w:cs="Times New Roman" w:eastAsia="Times New Roman" w:hAnsi="Times New Roman"/>
          <w:sz w:val="18"/>
          <w:szCs w:val="18"/>
        </w:rPr>
        <w:t xml:space="preserve">[63]	</w:t>
      </w:r>
      <w:r>
        <w:rPr>
          <w:rFonts w:ascii="Times New Roman" w:cs="Times New Roman" w:eastAsia="Times New Roman" w:hAnsi="Times New Roman"/>
          <w:sz w:val="18"/>
          <w:szCs w:val="18"/>
        </w:rPr>
        <w:t xml:space="preserve">M. S. Prashanth, R. Karnati, M. S. Velpuru, and H. Venkateshwara Reddy. Enhancing health record security and privacy with blockchain-based access management. In Pervasive Knowledge and Collective Intelligence on Web and Social Media (PerSOM 2023), LNICST, vol. 517, pages 182–202. Springer, 2024. doi:10.1007/978-3-031-66044-3_13</w:t>
      </w:r>
    </w:p>
    <w:p>
      <w:pPr>
        <w:tabs>
          <w:tab w:val="left" w:pos="560"/>
        </w:tabs>
        <w:spacing w:after="50" w:line="240"/>
        <w:ind w:left="560" w:hanging="560"/>
        <w:jc w:val="left"/>
      </w:pPr>
      <w:r>
        <w:rPr>
          <w:rFonts w:ascii="Times New Roman" w:cs="Times New Roman" w:eastAsia="Times New Roman" w:hAnsi="Times New Roman"/>
          <w:sz w:val="18"/>
          <w:szCs w:val="18"/>
        </w:rPr>
        <w:t xml:space="preserve">[64]	</w:t>
      </w:r>
      <w:r>
        <w:rPr>
          <w:rFonts w:ascii="Times New Roman" w:cs="Times New Roman" w:eastAsia="Times New Roman" w:hAnsi="Times New Roman"/>
          <w:sz w:val="18"/>
          <w:szCs w:val="18"/>
        </w:rPr>
        <w:t xml:space="preserve">L. Zhang, H. Kan, and H. Huang. Patient-centered cross-enterprise document sharing and dynamic consent framework using consortium blockchain and ciphertext-policy attribute-based encryption. In Proceedings of the 19th ACM International Conference on Computing Frontiers (CF ’22), pages 58–66, 2022. doi:10.1145/3528416.3530228</w:t>
      </w:r>
    </w:p>
    <w:p>
      <w:pPr>
        <w:tabs>
          <w:tab w:val="left" w:pos="560"/>
        </w:tabs>
        <w:spacing w:after="50" w:line="240"/>
        <w:ind w:left="560" w:hanging="560"/>
        <w:jc w:val="left"/>
      </w:pPr>
      <w:r>
        <w:rPr>
          <w:rFonts w:ascii="Times New Roman" w:cs="Times New Roman" w:eastAsia="Times New Roman" w:hAnsi="Times New Roman"/>
          <w:sz w:val="18"/>
          <w:szCs w:val="18"/>
        </w:rPr>
        <w:t xml:space="preserve">[65]	</w:t>
      </w:r>
      <w:r>
        <w:rPr>
          <w:rFonts w:ascii="Times New Roman" w:cs="Times New Roman" w:eastAsia="Times New Roman" w:hAnsi="Times New Roman"/>
          <w:sz w:val="18"/>
          <w:szCs w:val="18"/>
        </w:rPr>
        <w:t xml:space="preserve">A. Teeda and Y. V. Subba Rao. A patient-centric blockchain based electronic health records for data privacy and confidentiality. In International Conference on Smart Computing and Informatics, LNNS, vol. 1684, pages 179–192. Springer, 2026. doi:10.1007/978-3-032-08246-6_15</w:t>
      </w:r>
    </w:p>
    <w:p>
      <w:pPr>
        <w:tabs>
          <w:tab w:val="left" w:pos="560"/>
        </w:tabs>
        <w:spacing w:after="50" w:line="240"/>
        <w:ind w:left="560" w:hanging="560"/>
        <w:jc w:val="left"/>
      </w:pPr>
      <w:r>
        <w:rPr>
          <w:rFonts w:ascii="Times New Roman" w:cs="Times New Roman" w:eastAsia="Times New Roman" w:hAnsi="Times New Roman"/>
          <w:sz w:val="18"/>
          <w:szCs w:val="18"/>
        </w:rPr>
        <w:t xml:space="preserve">[66]	</w:t>
      </w:r>
      <w:r>
        <w:rPr>
          <w:rFonts w:ascii="Times New Roman" w:cs="Times New Roman" w:eastAsia="Times New Roman" w:hAnsi="Times New Roman"/>
          <w:sz w:val="18"/>
          <w:szCs w:val="18"/>
        </w:rPr>
        <w:t xml:space="preserve">R. Bloemen, L. Logvinov, and J. Evans. EIP-712: Typed structured data hashing and signing. Ethereum Improvement Proposals, no. 712, 2017.</w:t>
      </w:r>
    </w:p>
    <w:p>
      <w:pPr>
        <w:tabs>
          <w:tab w:val="left" w:pos="560"/>
        </w:tabs>
        <w:spacing w:after="50" w:line="240"/>
        <w:ind w:left="560" w:hanging="560"/>
        <w:jc w:val="left"/>
      </w:pPr>
      <w:r>
        <w:rPr>
          <w:rFonts w:ascii="Times New Roman" w:cs="Times New Roman" w:eastAsia="Times New Roman" w:hAnsi="Times New Roman"/>
          <w:sz w:val="18"/>
          <w:szCs w:val="18"/>
        </w:rPr>
        <w:t xml:space="preserve">[67]	</w:t>
      </w:r>
      <w:r>
        <w:rPr>
          <w:rFonts w:ascii="Times New Roman" w:cs="Times New Roman" w:eastAsia="Times New Roman" w:hAnsi="Times New Roman"/>
          <w:sz w:val="18"/>
          <w:szCs w:val="18"/>
        </w:rPr>
        <w:t xml:space="preserve">M. Shanmugham and C. Senthilkumar. Blockchain enabled self-sovereign identity and consent framework for secure healthcare data access. In 2026 3rd International Conference on Emerging Trends in Engineering and Medical Sciences (ICETEMS), pages 1–6, 2026. doi:10.1109/ICETEMS66917.2026.11469586</w:t>
      </w:r>
    </w:p>
    <w:p>
      <w:pPr>
        <w:tabs>
          <w:tab w:val="left" w:pos="560"/>
        </w:tabs>
        <w:spacing w:after="50" w:line="240"/>
        <w:ind w:left="560" w:hanging="560"/>
        <w:jc w:val="left"/>
      </w:pPr>
      <w:r>
        <w:rPr>
          <w:rFonts w:ascii="Times New Roman" w:cs="Times New Roman" w:eastAsia="Times New Roman" w:hAnsi="Times New Roman"/>
          <w:sz w:val="18"/>
          <w:szCs w:val="18"/>
        </w:rPr>
        <w:t xml:space="preserve">[68]	</w:t>
      </w:r>
      <w:r>
        <w:rPr>
          <w:rFonts w:ascii="Times New Roman" w:cs="Times New Roman" w:eastAsia="Times New Roman" w:hAnsi="Times New Roman"/>
          <w:sz w:val="18"/>
          <w:szCs w:val="18"/>
        </w:rPr>
        <w:t xml:space="preserve">N. M. Sawant and J. Gomes. A decentralized solution for smarter and safer healthcare systems with FabricMedChain. Iranian Journal of Science and Technology, Transactions of Electrical Engineering, 50:2843–2869, 2026. doi:10.1007/s40998-025-00994-0</w:t>
      </w:r>
    </w:p>
    <w:p>
      <w:pPr>
        <w:tabs>
          <w:tab w:val="left" w:pos="560"/>
        </w:tabs>
        <w:spacing w:after="50" w:line="240"/>
        <w:ind w:left="560" w:hanging="560"/>
        <w:jc w:val="left"/>
      </w:pPr>
      <w:r>
        <w:rPr>
          <w:rFonts w:ascii="Times New Roman" w:cs="Times New Roman" w:eastAsia="Times New Roman" w:hAnsi="Times New Roman"/>
          <w:sz w:val="18"/>
          <w:szCs w:val="18"/>
        </w:rPr>
        <w:t xml:space="preserve">[69]	</w:t>
      </w:r>
      <w:r>
        <w:rPr>
          <w:rFonts w:ascii="Times New Roman" w:cs="Times New Roman" w:eastAsia="Times New Roman" w:hAnsi="Times New Roman"/>
          <w:sz w:val="18"/>
          <w:szCs w:val="18"/>
        </w:rPr>
        <w:t xml:space="preserve">J. Groth. On the size of pairing-based non-interactive arguments. In Advances in Cryptology – EUROCRYPT 2016, LNCS, vol. 9666, pages 305–326. Springer, 2016. doi:10.1007/978-3-662-49896-5_11</w:t>
      </w:r>
    </w:p>
    <w:p>
      <w:pPr>
        <w:tabs>
          <w:tab w:val="left" w:pos="560"/>
        </w:tabs>
        <w:spacing w:after="50" w:line="240"/>
        <w:ind w:left="560" w:hanging="560"/>
        <w:jc w:val="left"/>
      </w:pPr>
      <w:r>
        <w:rPr>
          <w:rFonts w:ascii="Times New Roman" w:cs="Times New Roman" w:eastAsia="Times New Roman" w:hAnsi="Times New Roman"/>
          <w:sz w:val="18"/>
          <w:szCs w:val="18"/>
        </w:rPr>
        <w:t xml:space="preserve">[70]	</w:t>
      </w:r>
      <w:r>
        <w:rPr>
          <w:rFonts w:ascii="Times New Roman" w:cs="Times New Roman" w:eastAsia="Times New Roman" w:hAnsi="Times New Roman"/>
          <w:sz w:val="18"/>
          <w:szCs w:val="18"/>
        </w:rPr>
        <w:t xml:space="preserve">L. Grassi, D. Khovratovich, C. Rechberger, A. Roy, and M. Schofnegger. Poseidon: A new hash function for zero-knowledge proof systems. In Proceedings of the 30th USENIX Security Symposium, pages 519–535, 2021.</w:t>
      </w:r>
    </w:p>
    <w:p>
      <w:pPr>
        <w:tabs>
          <w:tab w:val="left" w:pos="560"/>
        </w:tabs>
        <w:spacing w:after="50" w:line="240"/>
        <w:ind w:left="560" w:hanging="560"/>
        <w:jc w:val="left"/>
      </w:pPr>
      <w:r>
        <w:rPr>
          <w:rFonts w:ascii="Times New Roman" w:cs="Times New Roman" w:eastAsia="Times New Roman" w:hAnsi="Times New Roman"/>
          <w:sz w:val="18"/>
          <w:szCs w:val="18"/>
        </w:rPr>
        <w:t xml:space="preserve">[71]	</w:t>
      </w:r>
      <w:r>
        <w:rPr>
          <w:rFonts w:ascii="Times New Roman" w:cs="Times New Roman" w:eastAsia="Times New Roman" w:hAnsi="Times New Roman"/>
          <w:sz w:val="18"/>
          <w:szCs w:val="18"/>
        </w:rPr>
        <w:t xml:space="preserve">W. Entriken, D. Shirley, J. Evans, and N. Sachs. ERC-721: Non-fungible token standard. Ethereum Improvement Proposals, no. 721, 2018.</w:t>
      </w:r>
    </w:p>
    <w:p>
      <w:pPr>
        <w:tabs>
          <w:tab w:val="left" w:pos="560"/>
        </w:tabs>
        <w:spacing w:after="50" w:line="240"/>
        <w:ind w:left="560" w:hanging="560"/>
        <w:jc w:val="left"/>
      </w:pPr>
      <w:r>
        <w:rPr>
          <w:rFonts w:ascii="Times New Roman" w:cs="Times New Roman" w:eastAsia="Times New Roman" w:hAnsi="Times New Roman"/>
          <w:sz w:val="18"/>
          <w:szCs w:val="18"/>
        </w:rPr>
        <w:t xml:space="preserve">[72]	</w:t>
      </w:r>
      <w:r>
        <w:rPr>
          <w:rFonts w:ascii="Times New Roman" w:cs="Times New Roman" w:eastAsia="Times New Roman" w:hAnsi="Times New Roman"/>
          <w:sz w:val="18"/>
          <w:szCs w:val="18"/>
        </w:rPr>
        <w:t xml:space="preserve">B. Cai. ERC-5484: Consensual soulbound tokens. Ethereum Improvement Proposals, no. 5484, 2022.</w:t>
      </w:r>
    </w:p>
    <w:sectPr>
      <w:footerReference w:type="default" r:id="rId7"/>
      <w:pgSz w:w="11906" w:h="16838" w:orient="portrait"/>
      <w:pgMar w:top="1389" w:right="1389" w:bottom="1389" w:left="138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1a0958c2363dc03715bc101c5da40c10138a3e8.png"/><Relationship Id="rId9" Type="http://schemas.openxmlformats.org/officeDocument/2006/relationships/image" Target="media/cea0445f382ef2e0d481b86ed671e148307169a5.png"/><Relationship Id="rId10" Type="http://schemas.openxmlformats.org/officeDocument/2006/relationships/image" Target="media/66abf0c8a394387ed0901e198f45b4df872df475.png"/><Relationship Id="rId11" Type="http://schemas.openxmlformats.org/officeDocument/2006/relationships/image" Target="media/cfb32433d885f04b3c4e277d1dadf69a2e711d57.png"/><Relationship Id="rId12" Type="http://schemas.openxmlformats.org/officeDocument/2006/relationships/image" Target="media/39225f74fe21ad7e7b7c1673918fe98415414719.png"/><Relationship Id="rId13" Type="http://schemas.openxmlformats.org/officeDocument/2006/relationships/image" Target="media/4f75743c835265daafdcbac66f2bdd6c1034f620.png"/><Relationship Id="rId14" Type="http://schemas.openxmlformats.org/officeDocument/2006/relationships/image" Target="media/03c920405551cc59ae0ad5edcc55300e0a8ed15e.png"/><Relationship Id="rId15" Type="http://schemas.openxmlformats.org/officeDocument/2006/relationships/image" Target="media/2b20591a43c6eb19bfdab74102d4f7f1165b386f.png"/><Relationship Id="rId16" Type="http://schemas.openxmlformats.org/officeDocument/2006/relationships/image" Target="media/11081a2422bebced6d030d22f0ebf13798832173.png"/><Relationship Id="rId17" Type="http://schemas.openxmlformats.org/officeDocument/2006/relationships/image" Target="media/fc5a6be7647fd964b300798307c832eee656672b.png"/><Relationship Id="rId18" Type="http://schemas.openxmlformats.org/officeDocument/2006/relationships/image" Target="media/7ce013ee8724e8dcb1576e7f068db7f8890e5be3.png"/><Relationship Id="rId19" Type="http://schemas.openxmlformats.org/officeDocument/2006/relationships/image" Target="media/f1f163df8a47e4df987495706c8e057d78128af6.png"/><Relationship Id="rId20" Type="http://schemas.openxmlformats.org/officeDocument/2006/relationships/image" Target="media/3f71846d42f224996eb357c7ac4f2281babf68df.png"/><Relationship Id="rId21" Type="http://schemas.openxmlformats.org/officeDocument/2006/relationships/image" Target="media/2bdcc233d9d5ad41e4df5ec32cccb0f936be6fdd.png"/><Relationship Id="rId22" Type="http://schemas.openxmlformats.org/officeDocument/2006/relationships/image" Target="media/3b43f208c34e619a9b1fcd7a8da9990014f117c8.png"/><Relationship Id="rId23" Type="http://schemas.openxmlformats.org/officeDocument/2006/relationships/image" Target="media/00d6986401b6325763b2855292d411f63286ea76.png"/><Relationship Id="rId24" Type="http://schemas.openxmlformats.org/officeDocument/2006/relationships/image" Target="media/67ee233e77e289d65d6f60aee7b8c4e8871b1a41.png"/><Relationship Id="rId25" Type="http://schemas.openxmlformats.org/officeDocument/2006/relationships/image" Target="media/551744d4db41183fe0c9b4d913479007233462c1.png"/><Relationship Id="rId26" Type="http://schemas.openxmlformats.org/officeDocument/2006/relationships/image" Target="media/379af060121c595b8dab938b017503bf01d94543.png"/><Relationship Id="rId27" Type="http://schemas.openxmlformats.org/officeDocument/2006/relationships/image" Target="media/8b0dede8cf949138f1ca18f2a0be3b9f91a5a8b2.png"/><Relationship Id="rId28" Type="http://schemas.openxmlformats.org/officeDocument/2006/relationships/image" Target="media/f0af766d9de14575067307b6f7dccaf71ca25b88.png"/><Relationship Id="rId29" Type="http://schemas.openxmlformats.org/officeDocument/2006/relationships/image" Target="media/32a920cb8d148805391dcda55782af93c6edfd51.png"/><Relationship Id="rId30" Type="http://schemas.openxmlformats.org/officeDocument/2006/relationships/image" Target="media/06dd8d4f71199a2b46751bf3ced20974c9f60efc.png"/><Relationship Id="rId31" Type="http://schemas.openxmlformats.org/officeDocument/2006/relationships/image" Target="media/4315c9b43325fa22d4a470efde68b53ff388ded2.png"/><Relationship Id="rId32" Type="http://schemas.openxmlformats.org/officeDocument/2006/relationships/image" Target="media/8d37ec6dfd7b5ada41ed458b574790aaa33c10b0.png"/><Relationship Id="rId33" Type="http://schemas.openxmlformats.org/officeDocument/2006/relationships/image" Target="media/1cde75c3ba6eefdc88f22c3d35398d022b2cb385.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CA2 Report: A Trusted Authorization Framework for Multi-Party Patient Consent in Healthcare Data Sharing</dc:title>
  <dc:creator>Yasir Dhaifallah O Alyoubi</dc:creator>
  <cp:lastModifiedBy>Un-named</cp:lastModifiedBy>
  <cp:revision>1</cp:revision>
  <dcterms:created xsi:type="dcterms:W3CDTF">2026-10-06T07:07:26.668Z</dcterms:created>
  <dcterms:modified xsi:type="dcterms:W3CDTF">2026-10-06T07:07:26.669Z</dcterms:modified>
</cp:coreProperties>
</file>

<file path=docProps/custom.xml><?xml version="1.0" encoding="utf-8"?>
<Properties xmlns="http://schemas.openxmlformats.org/officeDocument/2006/custom-properties" xmlns:vt="http://schemas.openxmlformats.org/officeDocument/2006/docPropsVTypes"/>
</file>