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 (IHI), practitioners (HPI-I) and organisations (HPI-O). These instruments illustrate, in a concrete jurisdiction, the three conditions examined in this research: verified identity, patient-controlled authority over disclosure, and purpose- and scope-limited use. The HALAH prototype (Chapter 7) reflects this context through purpose-bound consent, module-level data scope 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 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Access Control</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Model–View–Controller (MVC) research architecture, and Chapter 6 presents the proposed solution for each objective through its workflow, procedure and algorithm. Chapter 7 presents the HALAH prototype, its four subsystems, the mapping to the source code, the automated test evidence and the on-chain evidence. Chapter 8 reports the progress of each objective, Chapter 9 summarises the publication plan and Chapter 10 sets out the research plan for the next stage.</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 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Chapters 3 and 4.</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9"/>
    <w:bookmarkEnd w:id="20"/>
    <w:bookmarkStart w:id="33" w:name="Xc890dc5c16727df01c4dec67a5cc738423fdfed"/>
    <w:p>
      <w:pPr>
        <w:pStyle w:val="Heading2"/>
      </w:pPr>
      <w:r>
        <w:t xml:space="preserve">2.3 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 Consistent with the four-step approach adopted in this research group, the process is reported as searching the literature (Step 1), applying inclusion and exclusion criteria (Step 2), evaluating quality (Step 3) and extracting and categorising the data (Step 4).</w:t>
      </w:r>
    </w:p>
    <w:bookmarkStart w:id="21" w:name="review-design-and-reporting-framework"/>
    <w:p>
      <w:pPr>
        <w:pStyle w:val="Heading3"/>
      </w:pP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2.3.3 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990"/>
        <w:gridCol w:w="4207"/>
        <w:gridCol w:w="990"/>
        <w:gridCol w:w="173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2.3.4 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and decentralised identity and access control for constrained devices [17, 18]. Studies whose subject matter lies outside healthcare data sharing, consent, identity or access control were excluded at the full-text stage as scope mismatches (Figure 2.2).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664"/>
        <w:gridCol w:w="2824"/>
        <w:gridCol w:w="2824"/>
        <w:gridCol w:w="160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2.3.5 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prepared following PRISMA 2020 [40],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2.3.6 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 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642"/>
        <w:gridCol w:w="1872"/>
        <w:gridCol w:w="2729"/>
        <w:gridCol w:w="267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2.4 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2.4.1 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4"/>
    <w:bookmarkStart w:id="35" w:name="X2b887499669ea90de256e63d16984e9c6f7f03a"/>
    <w:p>
      <w:pPr>
        <w:pStyle w:val="Heading3"/>
      </w:pPr>
      <w:r>
        <w:t xml:space="preserve">2.4.2 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5"/>
    <w:bookmarkStart w:id="36" w:name="Xce8374abd25737680a0ea224e7b0673254898a7"/>
    <w:p>
      <w:pPr>
        <w:pStyle w:val="Heading3"/>
      </w:pPr>
      <w:r>
        <w:t xml:space="preserve">2.4.3 Decentralised Identity and Verifiable Credentials</w:t>
      </w:r>
    </w:p>
    <w:p>
      <w:pPr>
        <w:pStyle w:val="FirstParagraph"/>
      </w:pPr>
      <w:r>
        <w:t xml:space="preserve">Decentralised Identifiers (DIDs)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Reviews of blockchain-based identity management for the Internet of Things (IoT)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S19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6"/>
    <w:bookmarkStart w:id="37" w:name="X836fdb855249812e1f666cb0298115c8e62a77c"/>
    <w:p>
      <w:pPr>
        <w:pStyle w:val="Heading3"/>
      </w:pPr>
      <w:r>
        <w:t xml:space="preserve">2.4.4 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7"/>
    <w:bookmarkStart w:id="38" w:name="X65ac327857ae873d38ffe426701abf3e34d1162"/>
    <w:p>
      <w:pPr>
        <w:pStyle w:val="Heading3"/>
      </w:pPr>
      <w:r>
        <w:t xml:space="preserve">2.4.5 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8"/>
    <w:bookmarkStart w:id="39" w:name="X70697d1bf80033494359f9b6207e02cd31d6057"/>
    <w:p>
      <w:pPr>
        <w:pStyle w:val="Heading3"/>
      </w:pP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X825064b2f9c6a59f6907e485e5a8e31c4a70bee"/>
    <w:p>
      <w:pPr>
        <w:pStyle w:val="Heading3"/>
      </w:pP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5000"/>
        <w:tblLayout w:type="fixed"/>
        <w:tblLook w:firstRow="1" w:lastRow="0" w:firstColumn="0" w:lastColumn="0" w:noHBand="0" w:noVBand="0" w:val="0020"/>
        <w:tblCaption w:val="Table 2.10: Comparison of the existing research streams and the proposed framework"/>
      </w:tblPr>
      <w:tblGrid>
        <w:gridCol w:w="2117"/>
        <w:gridCol w:w="2160"/>
        <w:gridCol w:w="2160"/>
        <w:gridCol w:w="148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2.5 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4: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Chapters 3 and 4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t xml:space="preserve">In particular, the review defined five key requirements for a trust-oriented consent authorisation framework (Section 2.2) and assessed each of the 33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 </w:t>
      </w:r>
      <w:r>
        <w:t xml:space="preserve">represents identity and authority validity,</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consent representation, which directly fosters participant trust. This trust then translates into a framework for collective authorisation, providing the necessary foundation for policy enforcement. Consequently, this enables dynamic temporal and lifecycle control over data and processes, culminating in security assurance and validation.</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 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 program.</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 program. 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 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SRQ4 current stage; SRQ5–SRQ6 CA3)</w:t>
      </w:r>
    </w:p>
    <w:tbl>
      <w:tblPr>
        <w:tblStyle w:val="Table"/>
        <w:tblW w:type="pct" w:w="5000"/>
        <w:tblLayout w:type="fixed"/>
        <w:tblLook w:firstRow="1" w:lastRow="0" w:firstColumn="0" w:lastColumn="0" w:noHBand="0" w:noVBand="0" w:val="0020"/>
        <w:tblCaption w:val="Table 4.2: Research Questions, Research Objectives, and Thesis Chapters (continued: SRQ4 current stage; SRQ5–S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In Eq. (24),</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next-stage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 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 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0428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0428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 Engine</w:t>
      </w:r>
      <w:r>
        <w:t xml:space="preserve"> </w:t>
      </w:r>
      <w:r>
        <w:t xml:space="preserve">combines the resulting predicates into the final authorisation decision. Finally,</w:t>
      </w:r>
      <w:r>
        <w:t xml:space="preserve"> </w:t>
      </w:r>
      <w:r>
        <w:rPr>
          <w:i/>
          <w:iCs/>
        </w:rPr>
        <w:t xml:space="preserve">Audit 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 relationship between the MVC components and the trust predicates introduced by SRQ1–SRQ5 is 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2194560" cy="7674568"/>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2194560" cy="7674568"/>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 For the current stage scope of the proposed framework, the decision is given by Eq. (6),</w:t>
      </w:r>
    </w:p>
    <w:p>
      <w:pPr>
        <w:pStyle w:val="BodyText"/>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 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 Identity verification is given by Eq. (8),</w:t>
      </w:r>
    </w:p>
    <w:p>
      <w:pPr>
        <w:pStyle w:val="BodyText"/>
      </w:pPr>
      <w:r>
        <w:t xml:space="preserve">where</w:t>
      </w:r>
      <w:r>
        <w:t xml:space="preserve"> </w:t>
      </w:r>
      <w:r>
        <w:rPr>
          <w:i/>
          <w:iCs/>
        </w:rPr>
        <w:t xml:space="preserve">VerifyDID</w:t>
      </w:r>
      <w:r>
        <w:t xml:space="preserve">(</w:t>
      </w:r>
      <w:r>
        <w:rPr>
          <w:i/>
          <w:iCs/>
        </w:rPr>
        <w:t xml:space="preserve">u</w:t>
      </w:r>
      <w:r>
        <w:t xml:space="preserve">) determines whether the decentralised identity of participant</w:t>
      </w:r>
      <w:r>
        <w:t xml:space="preserve"> </w:t>
      </w:r>
      <w:r>
        <w:rPr>
          <w:i/>
          <w:iCs/>
        </w:rPr>
        <w:t xml:space="preserve">u</w:t>
      </w:r>
      <w:r>
        <w:t xml:space="preserve"> </w:t>
      </w:r>
      <w:r>
        <w:t xml:space="preserve">can be verified 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verified approval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 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multi-party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authorisation evidence</w:t>
      </w:r>
      <w:r>
        <w:t xml:space="preserve">. The system maintains evidence concerning the conditions that produced an authorisation decision, thereby supporting auditing and subsequent verification. These properties can be summarised as shown in Table 5.1.</w:t>
      </w:r>
    </w:p>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This mapping is summarised in Table 5.2.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 (Figure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593592" cy="7675998"/>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593592" cy="7675998"/>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i/>
          <w:iCs/>
        </w:rPr>
        <w:t xml:space="preserve">T</w:t>
      </w:r>
      <w:r>
        <w:t xml:space="preserve"> </w:t>
      </w:r>
      <w:r>
        <w:t xml:space="preserve">= (</w:t>
      </w:r>
      <w:r>
        <w:rPr>
          <w:i/>
          <w:iCs/>
        </w:rPr>
        <w:t xml:space="preserve">t</w:t>
      </w:r>
      <w:r>
        <w:rPr>
          <w:vertAlign w:val="subscript"/>
        </w:rPr>
        <w:t xml:space="preserve">s</w:t>
      </w:r>
      <w:r>
        <w:rPr>
          <w:i/>
          <w:iCs/>
        </w:rPr>
        <w:t xml:space="preserve">, t</w:t>
      </w:r>
      <w:r>
        <w:rPr>
          <w:vertAlign w:val="subscript"/>
        </w:rPr>
        <w:t xml:space="preserve">e</w:t>
      </w:r>
      <w:r>
        <w:t xml:space="preserve">), where</w:t>
      </w:r>
      <w:r>
        <w:t xml:space="preserve"> </w:t>
      </w:r>
      <w:r>
        <w:rPr>
          <w:i/>
          <w:iCs/>
        </w:rPr>
        <w:t xml:space="preserve">t</w:t>
      </w:r>
      <w:r>
        <w:rPr>
          <w:vertAlign w:val="subscript"/>
        </w:rPr>
        <w:t xml:space="preserve">s</w:t>
      </w:r>
      <w:r>
        <w:t xml:space="preserve"> </w:t>
      </w:r>
      <w:r>
        <w:t xml:space="preserve">represents the consent start time 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t xml:space="preserve">&gt;</w:t>
      </w:r>
      <w:r>
        <w:t xml:space="preserve"> </w:t>
      </w:r>
      <w:r>
        <w:rPr>
          <w:i/>
          <w:iCs/>
        </w:rPr>
        <w:t xml:space="preserve">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 currently perform a syntactic DID check, and credential-based authority validation is scheduled for Stage 2. Step 6 is implemented: the patient interface rejects an expiry time that is not later than the start time.</w:t>
      </w:r>
    </w:p>
    <w:bookmarkEnd w:id="96"/>
    <w:bookmarkStart w:id="97" w:name="algorithm-1-trust-aware-consent-creation"/>
    <w:p>
      <w:pPr>
        <w:pStyle w:val="Heading3"/>
      </w:pPr>
      <w:r>
        <w:t xml:space="preserve">6.1.3 Algorithm 1: Trust-Aware Consent Creation</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r>
        <w:br/>
      </w:r>
      <w:r>
        <w:t xml:space="preserve">10:</w:t>
      </w:r>
      <w:r>
        <w:t xml:space="preserve"> </w:t>
      </w:r>
      <w:r>
        <w:rPr>
          <w:b/>
          <w:bCs/>
        </w:rPr>
        <w:t xml:space="preserve">if</w:t>
      </w:r>
      <w:r>
        <w:t xml:space="preserve"> </w:t>
      </w:r>
      <m:oMath>
        <m:sSub>
          <m:e>
            <m:r>
              <m:t>t</m:t>
            </m:r>
          </m:e>
          <m:sub>
            <m:r>
              <m:t>e</m:t>
            </m:r>
          </m:sub>
        </m:sSub>
        <m:r>
          <m:rPr>
            <m:sty m:val="p"/>
          </m:rPr>
          <m:t>≤</m:t>
        </m:r>
        <m:sSub>
          <m:e>
            <m:r>
              <m:t>t</m:t>
            </m:r>
          </m:e>
          <m:sub>
            <m:r>
              <m:t>s</m:t>
            </m:r>
          </m:sub>
        </m:sSub>
      </m:oMath>
      <w:r>
        <w:t xml:space="preserve"> </w:t>
      </w:r>
      <w:r>
        <w:rPr>
          <w:b/>
          <w:bCs/>
        </w:rPr>
        <w:t xml:space="preserve">then</w:t>
      </w:r>
      <w:r>
        <w:br/>
      </w:r>
      <w:r>
        <w:t xml:space="preserve">    11:</w:t>
      </w:r>
      <w:r>
        <w:t xml:space="preserve"> </w:t>
      </w:r>
      <w:r>
        <w:rPr>
          <w:b/>
          <w:bCs/>
        </w:rPr>
        <w:t xml:space="preserve">return</w:t>
      </w:r>
      <w:r>
        <w:t xml:space="preserve"> </w:t>
      </w:r>
      <w:r>
        <w:t xml:space="preserve">REJECT</w:t>
      </w:r>
      <w:r>
        <w:br/>
      </w:r>
      <w:r>
        <w:t xml:space="preserve">12:</w:t>
      </w:r>
      <w:r>
        <w:t xml:space="preserve"> </w:t>
      </w:r>
      <w:r>
        <w:rPr>
          <w:b/>
          <w:bCs/>
        </w:rPr>
        <w:t xml:space="preserve">end if</w:t>
      </w:r>
      <w:r>
        <w:br/>
      </w:r>
      <w:r>
        <w:t xml:space="preserve">13: Define authorisation requirement</w:t>
      </w:r>
      <w:r>
        <w:t xml:space="preserve"> </w:t>
      </w:r>
      <m:oMath>
        <m:r>
          <m:t>A</m:t>
        </m:r>
      </m:oMath>
      <w:r>
        <w:br/>
      </w:r>
      <w:r>
        <w:t xml:space="preserve">14: Generate consent identifier</w:t>
      </w:r>
      <w:r>
        <w:t xml:space="preserve"> </w:t>
      </w:r>
      <m:oMath>
        <m:r>
          <m:t>i</m:t>
        </m:r>
        <m:sSub>
          <m:e>
            <m:r>
              <m:t>d</m:t>
            </m:r>
          </m:e>
          <m:sub>
            <m:r>
              <m:t>C</m:t>
            </m:r>
          </m:sub>
        </m:sSub>
      </m:oMath>
      <w:r>
        <w:br/>
      </w:r>
      <w:r>
        <w:t xml:space="preserve">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br/>
      </w:r>
      <w:r>
        <w:t xml:space="preserve">16: Persist</w:t>
      </w:r>
      <w:r>
        <w:t xml:space="preserve"> </w:t>
      </w:r>
      <m:oMath>
        <m:r>
          <m:t>C</m:t>
        </m:r>
      </m:oMath>
      <w:r>
        <w:br/>
      </w:r>
      <w:r>
        <w:t xml:space="preserve">17: Record consent creation evidence</w:t>
      </w:r>
      <w:r>
        <w:br/>
      </w:r>
      <w:r>
        <w:t xml:space="preserve">18:</w:t>
      </w:r>
      <w:r>
        <w:t xml:space="preserve"> </w:t>
      </w:r>
      <w:r>
        <w:rPr>
          <w:b/>
          <w:bCs/>
        </w:rPr>
        <w:t xml:space="preserve">return</w:t>
      </w:r>
      <w:r>
        <w:t xml:space="preserve"> </w:t>
      </w:r>
      <m:oMath>
        <m:r>
          <m:t>C</m:t>
        </m:r>
      </m:oMath>
    </w:p>
    <w:p>
      <w:pPr>
        <w:pStyle w:val="BodyText"/>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In Eq. (8),</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3008376" cy="7679143"/>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3008376" cy="7679143"/>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3584448" cy="7671816"/>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3584448" cy="7671816"/>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oMath>
      <w:r>
        <w:t xml:space="preserve"> </w:t>
      </w:r>
      <w:r>
        <w:t xml:space="preserve">(all designated guardians must approve); configurable k-of-n thresholds are Stage 2 work.</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 The system retrieves the relevant consent object and verifies the requesting participant.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 and a valid scope. Routing the release decision through the full matrix is a small planned change that will make the implemented gate identical to Eq. (24).</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2907792" cy="7687670"/>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2907792" cy="7687670"/>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 PENDING_SIGNATURE, PENDING_TOKEN, NOT_STARTED, EXPIRED and ACTIVE, and only an ACTIVE consent 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 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 state-transition 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i/>
          <w:iCs/>
        </w:rPr>
        <w:t xml:space="preserve">V</w:t>
      </w:r>
      <w:r>
        <w:rPr>
          <w:vertAlign w:val="subscript"/>
        </w:rPr>
        <w:t xml:space="preserve">L</w:t>
      </w:r>
      <w:r>
        <w:t xml:space="preserve">(</w:t>
      </w:r>
      <w:r>
        <w:rPr>
          <w:i/>
          <w:iCs/>
        </w:rPr>
        <w:t xml:space="preserve">C, t, q</w:t>
      </w:r>
      <w:r>
        <w:t xml:space="preserve">) =</w:t>
      </w:r>
      <w:r>
        <w:t xml:space="preserve"> </w:t>
      </w:r>
      <w:r>
        <w:rPr>
          <w:i/>
          <w:iCs/>
        </w:rPr>
        <w:t xml:space="preserve">TimeValid</w:t>
      </w:r>
      <w:r>
        <w:t xml:space="preserve">(</w:t>
      </w:r>
      <w:r>
        <w:rPr>
          <w:i/>
          <w:iCs/>
        </w:rPr>
        <w:t xml:space="preserve">C, t</w:t>
      </w:r>
      <w:r>
        <w:t xml:space="preserve">)∧</w:t>
      </w:r>
      <w:r>
        <w:rPr>
          <w:i/>
          <w:iCs/>
        </w:rPr>
        <w:t xml:space="preserve">StateValid</w:t>
      </w:r>
      <w:r>
        <w:t xml:space="preserve">(</w:t>
      </w:r>
      <w:r>
        <w:rPr>
          <w:i/>
          <w:iCs/>
        </w:rPr>
        <w:t xml:space="preserve">C, q</w:t>
      </w:r>
      <w:r>
        <w:t xml:space="preserve">)∧¬</w:t>
      </w:r>
      <w:r>
        <w:rPr>
          <w:i/>
          <w:iCs/>
        </w:rPr>
        <w:t xml:space="preserve">Revoked</w:t>
      </w:r>
      <w:r>
        <w:t xml:space="preserve">(</w:t>
      </w:r>
      <w:r>
        <w:rPr>
          <w:i/>
          <w:iCs/>
        </w:rPr>
        <w:t xml:space="preserve">C</w:t>
      </w:r>
      <w:r>
        <w:t xml:space="preserve">)∧</w:t>
      </w:r>
      <w:r>
        <w:rPr>
          <w:i/>
          <w:iCs/>
        </w:rPr>
        <w:t xml:space="preserve">TransitionValid</w:t>
      </w:r>
      <w:r>
        <w:t xml:space="preserve">(</w:t>
      </w:r>
      <w:r>
        <w:rPr>
          <w:i/>
          <w:iCs/>
        </w:rPr>
        <w:t xml:space="preserve">C, q</w:t>
      </w:r>
      <w: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 distinction between</w:t>
      </w:r>
      <w:r>
        <w:t xml:space="preserve"> </w:t>
      </w:r>
      <w:r>
        <w:rPr>
          <w:i/>
          <w:iCs/>
        </w:rPr>
        <w:t xml:space="preserve">consent</w:t>
      </w:r>
      <w:r>
        <w:t xml:space="preserve"> </w:t>
      </w:r>
      <w:r>
        <w:rPr>
          <w:i/>
          <w:iCs/>
        </w:rPr>
        <w:t xml:space="preserve">existence</w:t>
      </w:r>
      <w:r>
        <w:t xml:space="preserve"> </w:t>
      </w:r>
      <w:r>
        <w:t xml:space="preserve">and</w:t>
      </w:r>
      <w:r>
        <w:t xml:space="preserve"> </w:t>
      </w:r>
      <w:r>
        <w:rPr>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4572000" cy="7676734"/>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4572000" cy="7676734"/>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 invalid 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w:t>
      </w:r>
      <w:r>
        <w:t xml:space="preserve"> </w:t>
      </w:r>
      <w:r>
        <w:rPr>
          <w:i/>
          <w:iCs/>
        </w:rPr>
        <w:t xml:space="preserve">P</w:t>
      </w:r>
      <w:r>
        <w:t xml:space="preserve"> </w:t>
      </w:r>
      <w:r>
        <w:t xml:space="preserve">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w:t>
      </w:r>
      <w:r>
        <w:t xml:space="preserve"> </w:t>
      </w:r>
      <w:r>
        <w:rPr>
          <w:i/>
          <w:iCs/>
        </w:rPr>
        <w:t xml:space="preserve">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w:t>
      </w:r>
      <w:r>
        <w:t xml:space="preserve"> </w:t>
      </w:r>
      <w:r>
        <w:rPr>
          <w:i/>
          <w:iCs/>
        </w:rPr>
        <w:t xml:space="preserve">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w:t>
      </w:r>
      <w:r>
        <w:t xml:space="preserve"> </w:t>
      </w:r>
      <w:r>
        <w:rPr>
          <w:i/>
          <w:iCs/>
        </w:rPr>
        <w:t xml:space="preserve">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w:t>
      </w:r>
      <w:r>
        <w:t xml:space="preserve"> </w:t>
      </w:r>
      <w:r>
        <w:rPr>
          <w:i/>
          <w:iCs/>
        </w:rPr>
        <w:t xml:space="preserve">S</w:t>
      </w:r>
      <w:r>
        <w:t xml:space="preserve"> </w:t>
      </w:r>
      <w:r>
        <w:t xml:space="preserve">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bookmarkEnd w:id="131"/>
    <w:bookmarkStart w:id="132" w:name="Xb697f75e4cb43d67a9074b27c380a0731d6d029"/>
    <w:p>
      <w:pPr>
        <w:pStyle w:val="Heading3"/>
      </w:pPr>
      <w:r>
        <w:t xml:space="preserve">6.6.3 Algorithm 6: Formal and Empirical Authorisation Validation</w:t>
      </w:r>
    </w:p>
    <w:p>
      <w:pPr>
        <w:pStyle w:val="Algorithm"/>
      </w:pPr>
      <w:r>
        <w:rPr>
          <w:b/>
          <w:bCs/>
        </w:rPr>
        <w:t xml:space="preserve">Algorithm 6</w:t>
      </w:r>
      <w:r>
        <w:t xml:space="preserve"> </w:t>
      </w:r>
      <w:r>
        <w:t xml:space="preserve">Formal and Empirical Authorisation Validation</w:t>
      </w:r>
      <w:r>
        <w:br/>
      </w:r>
      <w:r>
        <w:rPr>
          <w:b/>
          <w:bCs/>
        </w:rPr>
        <w:t xml:space="preserve">Require:</w:t>
      </w:r>
      <w:r>
        <w:t xml:space="preserve"> </w:t>
      </w:r>
      <w:r>
        <w:t xml:space="preserve">Framework implementation</w:t>
      </w:r>
      <w:r>
        <w:t xml:space="preserve"> </w:t>
      </w:r>
      <m:oMath>
        <m:r>
          <m:t>F</m:t>
        </m:r>
      </m:oMath>
      <w:r>
        <w:t xml:space="preserve">, validation scenarios</w:t>
      </w:r>
      <w:r>
        <w:t xml:space="preserve"> </w:t>
      </w:r>
      <m:oMath>
        <m:r>
          <m:t>S</m:t>
        </m:r>
      </m:oMath>
      <w:r>
        <w:t xml:space="preserve">, security properties</w:t>
      </w:r>
      <w:r>
        <w:t xml:space="preserve"> </w:t>
      </w:r>
      <m:oMath>
        <m:r>
          <m:t>P</m:t>
        </m:r>
      </m:oMath>
      <w:r>
        <w:br/>
      </w:r>
      <w:r>
        <w:rPr>
          <w:b/>
          <w:bCs/>
        </w:rPr>
        <w:t xml:space="preserve">Ensure:</w:t>
      </w:r>
      <w:r>
        <w:t xml:space="preserve"> </w:t>
      </w:r>
      <w:r>
        <w:t xml:space="preserve">Validation evidence and evaluation results</w:t>
      </w:r>
      <w:r>
        <w:br/>
      </w:r>
      <w:r>
        <w:t xml:space="preserve">1: Define expected authorisation properties</w:t>
      </w:r>
      <w:r>
        <w:t xml:space="preserve"> </w:t>
      </w:r>
      <m:oMath>
        <m:r>
          <m:t>P</m:t>
        </m:r>
      </m:oMath>
      <w:r>
        <w:br/>
      </w:r>
      <w:r>
        <w:t xml:space="preserve">2: Define valid scenarios</w:t>
      </w:r>
      <w:r>
        <w:t xml:space="preserve"> </w:t>
      </w:r>
      <m:oMath>
        <m:sSub>
          <m:e>
            <m:r>
              <m:t>S</m:t>
            </m:r>
          </m:e>
          <m:sub>
            <m:r>
              <m:t>v</m:t>
            </m:r>
            <m:r>
              <m:t>a</m:t>
            </m:r>
            <m:r>
              <m:t>l</m:t>
            </m:r>
            <m:r>
              <m:t>i</m:t>
            </m:r>
            <m:r>
              <m:t>d</m:t>
            </m:r>
          </m:sub>
        </m:sSub>
      </m:oMath>
      <w:r>
        <w:br/>
      </w:r>
      <w:r>
        <w:t xml:space="preserve">3: Define negative scenarios</w:t>
      </w:r>
      <w:r>
        <w:t xml:space="preserve"> </w:t>
      </w:r>
      <m:oMath>
        <m:sSub>
          <m:e>
            <m:r>
              <m:t>S</m:t>
            </m:r>
          </m:e>
          <m:sub>
            <m:r>
              <m:t>n</m:t>
            </m:r>
            <m:r>
              <m:t>e</m:t>
            </m:r>
            <m:r>
              <m:t>g</m:t>
            </m:r>
            <m:r>
              <m:t>a</m:t>
            </m:r>
            <m:r>
              <m:t>t</m:t>
            </m:r>
            <m:r>
              <m:t>i</m:t>
            </m:r>
            <m:r>
              <m:t>v</m:t>
            </m:r>
            <m:r>
              <m:t>e</m:t>
            </m:r>
          </m:sub>
        </m:sSub>
      </m:oMath>
      <w:r>
        <w:br/>
      </w:r>
      <w:r>
        <w:t xml:space="preserve">4: Define adversarial scenarios</w:t>
      </w:r>
      <w:r>
        <w:t xml:space="preserve"> </w:t>
      </w:r>
      <m:oMath>
        <m:sSub>
          <m:e>
            <m:r>
              <m:t>S</m:t>
            </m:r>
          </m:e>
          <m:sub>
            <m:r>
              <m:t>a</m:t>
            </m:r>
            <m:r>
              <m:t>d</m:t>
            </m:r>
            <m:r>
              <m:t>v</m:t>
            </m:r>
          </m:sub>
        </m:sSub>
      </m:oMath>
      <w:r>
        <w:br/>
      </w:r>
      <w:r>
        <w:t xml:space="preserve">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br/>
      </w:r>
      <w:r>
        <w:t xml:space="preserve">    6: Execute</w:t>
      </w:r>
      <w:r>
        <w:t xml:space="preserve"> </w:t>
      </w:r>
      <m:oMath>
        <m:r>
          <m:t>s</m:t>
        </m:r>
      </m:oMath>
      <w:r>
        <w:t xml:space="preserve"> </w:t>
      </w:r>
      <w:r>
        <w:t xml:space="preserve">using framework</w:t>
      </w:r>
      <w:r>
        <w:t xml:space="preserve"> </w:t>
      </w:r>
      <m:oMath>
        <m:r>
          <m:t>F</m:t>
        </m:r>
      </m:oMath>
      <w:r>
        <w:br/>
      </w:r>
      <w:r>
        <w:t xml:space="preserve">    7: Collect authorisation decision</w:t>
      </w:r>
      <w:r>
        <w:br/>
      </w:r>
      <w:r>
        <w:t xml:space="preserve">    8: Collect identity, approval, policy, and audit evidence</w:t>
      </w:r>
      <w:r>
        <w:br/>
      </w:r>
      <w:r>
        <w:t xml:space="preserve">    9: Compare observed decision with expected decision</w:t>
      </w:r>
      <w:r>
        <w:br/>
      </w:r>
      <w:r>
        <w:t xml:space="preserve">    10: Record pass or failure result</w:t>
      </w:r>
      <w:r>
        <w:br/>
      </w:r>
      <w:r>
        <w:t xml:space="preserve">11:</w:t>
      </w:r>
      <w:r>
        <w:t xml:space="preserve"> </w:t>
      </w:r>
      <w:r>
        <w:rPr>
          <w:b/>
          <w:bCs/>
        </w:rPr>
        <w:t xml:space="preserve">end for</w:t>
      </w:r>
      <w:r>
        <w:br/>
      </w:r>
      <w:r>
        <w:t xml:space="preserve">12: Evaluate soundness property</w:t>
      </w:r>
      <w:r>
        <w:br/>
      </w:r>
      <w:r>
        <w:t xml:space="preserve">13: Evaluate denial property</w:t>
      </w:r>
      <w:r>
        <w:br/>
      </w:r>
      <w:r>
        <w:t xml:space="preserve">14: Evaluate threshold correctness</w:t>
      </w:r>
      <w:r>
        <w:br/>
      </w:r>
      <w:r>
        <w:t xml:space="preserve">15: Evaluate policy-scope enforcement</w:t>
      </w:r>
      <w:r>
        <w:br/>
      </w:r>
      <w:r>
        <w:t xml:space="preserve">16: Evaluate audit consistency</w:t>
      </w:r>
      <w:r>
        <w:br/>
      </w:r>
      <w:r>
        <w:t xml:space="preserve">17: Analyse failures and limitations</w:t>
      </w:r>
      <w:r>
        <w:br/>
      </w:r>
      <w:r>
        <w:t xml:space="preserve">18:</w:t>
      </w:r>
      <w:r>
        <w:t xml:space="preserve"> </w:t>
      </w:r>
      <w:r>
        <w:rPr>
          <w:b/>
          <w:bCs/>
        </w:rPr>
        <w:t xml:space="preserve">return</w:t>
      </w:r>
      <w:r>
        <w:t xml:space="preserve"> </w:t>
      </w:r>
      <w:r>
        <w:t xml:space="preserve">Validation results</w:t>
      </w:r>
    </w:p>
    <w:p>
      <w:pPr>
        <w:pStyle w:val="BodyText"/>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the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of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65445" cy="274612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65445" cy="274612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it operationalises the multi-party authorisation component of the proposed framework.</w:t>
      </w:r>
    </w:p>
    <w:p>
      <w:pPr>
        <w:pStyle w:val="CaptionedFigure"/>
      </w:pPr>
      <w:r>
        <w:drawing>
          <wp:inline>
            <wp:extent cx="5465445" cy="2225799"/>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65445" cy="2225799"/>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5465445" cy="3388081"/>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5465445" cy="3388081"/>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p>
    <w:p>
      <w:pPr>
        <w:pStyle w:val="BodyText"/>
      </w:pPr>
      <w:r>
        <w:t xml:space="preserve">The message shows Cryptographic Verification Successful — Access Granted.</w:t>
      </w:r>
    </w:p>
    <w:p>
      <w:pPr>
        <w:pStyle w:val="BodyText"/>
      </w:pPr>
      <w:r>
        <w:t xml:space="preserve">This 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65445" cy="3048937"/>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65445" cy="3048937"/>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the flow goes as below</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65445" cy="2905354"/>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65445" cy="2905354"/>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BodyText"/>
      </w:pPr>
      <w:r>
        <w:t xml:space="preserve">More importantly, the</w:t>
      </w:r>
      <w:r>
        <w:t xml:space="preserve"> </w:t>
      </w:r>
      <w:r>
        <w:rPr>
          <w:b/>
          <w:bCs/>
        </w:rPr>
        <w:t xml:space="preserve">Consent Lifecycle</w:t>
      </w:r>
      <w:r>
        <w:t xml:space="preserve"> </w:t>
      </w:r>
      <w:r>
        <w:t xml:space="preserve">section reconstructs the sequence of events associated with a particular consent. The displayed records include:</w:t>
      </w:r>
      <w:r>
        <w:t xml:space="preserve"> </w:t>
      </w:r>
      <m:oMath>
        <m:r>
          <m:t>C</m:t>
        </m:r>
        <m:r>
          <m:t>R</m:t>
        </m:r>
        <m:r>
          <m:t>E</m:t>
        </m:r>
        <m:r>
          <m:t>A</m:t>
        </m:r>
        <m:r>
          <m:t>T</m:t>
        </m:r>
        <m:r>
          <m:t>E</m:t>
        </m:r>
        <m:r>
          <m:rPr>
            <m:nor/>
          </m:rPr>
          <m:t>_</m:t>
        </m:r>
        <m:r>
          <m:t>C</m:t>
        </m:r>
        <m:r>
          <m:t>O</m:t>
        </m:r>
        <m:r>
          <m:t>N</m:t>
        </m:r>
        <m:r>
          <m:t>S</m:t>
        </m:r>
        <m:r>
          <m:t>E</m:t>
        </m:r>
        <m:r>
          <m:t>N</m:t>
        </m:r>
        <m:r>
          <m:t>T</m:t>
        </m:r>
      </m:oMath>
    </w:p>
    <w:p>
      <w:pPr>
        <w:pStyle w:val="BodyText"/>
      </w:pPr>
      <w:r>
        <w:t xml:space="preserve">performed by the patient, followed by:</w:t>
      </w:r>
      <w:r>
        <w:t xml:space="preserve"> </w:t>
      </w:r>
      <m:oMath>
        <m:r>
          <m:t>S</m:t>
        </m:r>
        <m:r>
          <m:t>I</m:t>
        </m:r>
        <m:r>
          <m:t>G</m:t>
        </m:r>
        <m:r>
          <m:t>N</m:t>
        </m:r>
        <m:r>
          <m:rPr>
            <m:nor/>
          </m:rPr>
          <m:t>_</m:t>
        </m:r>
        <m:r>
          <m:t>C</m:t>
        </m:r>
        <m:r>
          <m:t>O</m:t>
        </m:r>
        <m:r>
          <m:t>N</m:t>
        </m:r>
        <m:r>
          <m:t>S</m:t>
        </m:r>
        <m:r>
          <m:t>E</m:t>
        </m:r>
        <m:r>
          <m:t>N</m:t>
        </m:r>
        <m:r>
          <m:t>T</m:t>
        </m:r>
      </m:oMath>
    </w:p>
    <w:p>
      <w:pPr>
        <w:pStyle w:val="BodyText"/>
      </w:pPr>
      <w:r>
        <w:t xml:space="preserve">performed by the guardians, followed by:</w:t>
      </w:r>
      <w:r>
        <w:t xml:space="preserve"> </w:t>
      </w:r>
      <m:oMath>
        <m:r>
          <m:t>M</m:t>
        </m:r>
        <m:r>
          <m:t>I</m:t>
        </m:r>
        <m:r>
          <m:t>N</m:t>
        </m:r>
        <m:r>
          <m:t>T</m:t>
        </m:r>
        <m:r>
          <m:rPr>
            <m:nor/>
          </m:rPr>
          <m:t>_</m:t>
        </m:r>
        <m:r>
          <m:t>S</m:t>
        </m:r>
        <m:r>
          <m:t>B</m:t>
        </m:r>
        <m:r>
          <m:t>T</m:t>
        </m:r>
      </m:oMath>
    </w:p>
    <w:p>
      <w:pPr>
        <w:pStyle w:val="BodyText"/>
      </w:pPr>
      <w:r>
        <w:t xml:space="preserve">performed by the smart contract.</w:t>
      </w:r>
    </w:p>
    <w:p>
      <w:pPr>
        <w:pStyle w:val="BodyText"/>
      </w:pPr>
      <w:r>
        <w:t xml:space="preserve">The subsequent system events:</w:t>
      </w:r>
      <w:r>
        <w:t xml:space="preserve"> </w:t>
      </w:r>
      <m:oMath>
        <m:r>
          <m:t>S</m:t>
        </m:r>
        <m:r>
          <m:t>T</m:t>
        </m:r>
        <m:r>
          <m:t>A</m:t>
        </m:r>
        <m:r>
          <m:t>T</m:t>
        </m:r>
        <m:r>
          <m:t>E</m:t>
        </m:r>
        <m:r>
          <m:rPr>
            <m:nor/>
          </m:rPr>
          <m:t>_</m:t>
        </m:r>
        <m:r>
          <m:t>C</m:t>
        </m:r>
        <m:r>
          <m:t>H</m:t>
        </m:r>
        <m:r>
          <m:t>E</m:t>
        </m:r>
        <m:r>
          <m:t>C</m:t>
        </m:r>
        <m:r>
          <m:t>K</m:t>
        </m:r>
      </m:oMath>
    </w:p>
    <w:p>
      <w:pPr>
        <w:pStyle w:val="BodyText"/>
      </w:pPr>
      <w:r>
        <w:t xml:space="preserve">demonstrate that the Consent Engine continuously evaluates the state of the authorisation. Finally, the doctor generates:</w:t>
      </w:r>
      <w:r>
        <w:t xml:space="preserve"> </w:t>
      </w:r>
      <m:oMath>
        <m:r>
          <m:t>D</m:t>
        </m:r>
        <m:r>
          <m:t>A</m:t>
        </m:r>
        <m:r>
          <m:t>T</m:t>
        </m:r>
        <m:r>
          <m:t>A</m:t>
        </m:r>
        <m:r>
          <m:rPr>
            <m:nor/>
          </m:rPr>
          <m:t>_</m:t>
        </m:r>
        <m:r>
          <m:t>A</m:t>
        </m:r>
        <m:r>
          <m:t>C</m:t>
        </m:r>
        <m:r>
          <m:t>C</m:t>
        </m:r>
        <m:r>
          <m:t>E</m:t>
        </m:r>
        <m:r>
          <m:t>S</m:t>
        </m:r>
        <m:r>
          <m:t>S</m:t>
        </m:r>
      </m:oMath>
    </w:p>
    <w:p>
      <w:pPr>
        <w:pStyle w:val="BodyText"/>
      </w:pPr>
      <w:r>
        <w:t xml:space="preserve">with the result:</w:t>
      </w:r>
      <w:r>
        <w:t xml:space="preserve"> </w:t>
      </w:r>
      <m:oMath>
        <m:r>
          <m:t>G</m:t>
        </m:r>
        <m:r>
          <m:t>R</m:t>
        </m:r>
        <m:r>
          <m:t>A</m:t>
        </m:r>
        <m:r>
          <m:t>N</m:t>
        </m:r>
        <m:r>
          <m:t>T</m:t>
        </m:r>
        <m:r>
          <m:t>E</m:t>
        </m:r>
        <m:r>
          <m:t>D</m:t>
        </m:r>
      </m:oMath>
      <w:r>
        <w:t xml:space="preserve">.</w:t>
      </w:r>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m:oMathPara>
        <m:oMathParaPr>
          <m:jc m:val="center"/>
        </m:oMathParaPr>
        <m:oMath>
          <m:r>
            <m:t>C</m:t>
          </m:r>
          <m:r>
            <m:rPr>
              <m:sty m:val="p"/>
            </m:rPr>
            <m:t>→</m:t>
          </m:r>
          <m:r>
            <m:t>M</m:t>
          </m:r>
          <m:r>
            <m:t>S</m:t>
          </m:r>
          <m:r>
            <m:rPr>
              <m:sty m:val="p"/>
            </m:rPr>
            <m:t>→</m:t>
          </m:r>
          <m:r>
            <m:t>S</m:t>
          </m:r>
          <m:r>
            <m:t>B</m:t>
          </m:r>
          <m:r>
            <m:t>T</m:t>
          </m:r>
          <m:r>
            <m:rPr>
              <m:sty m:val="p"/>
            </m:rPr>
            <m:t>→</m:t>
          </m:r>
          <m:r>
            <m:t>S</m:t>
          </m:r>
          <m:r>
            <m:t>t</m:t>
          </m:r>
          <m:r>
            <m:t>a</m:t>
          </m:r>
          <m:r>
            <m:t>t</m:t>
          </m:r>
          <m:r>
            <m:t>e</m:t>
          </m:r>
          <m:r>
            <m:t>C</m:t>
          </m:r>
          <m:r>
            <m:t>h</m:t>
          </m:r>
          <m:r>
            <m:t>e</m:t>
          </m:r>
          <m:r>
            <m:t>c</m:t>
          </m:r>
          <m:r>
            <m:t>k</m:t>
          </m:r>
          <m:r>
            <m:rPr>
              <m:sty m:val="p"/>
            </m:rPr>
            <m:t>→</m:t>
          </m:r>
          <m:r>
            <m:t>A</m:t>
          </m:r>
          <m:r>
            <m:t>c</m:t>
          </m:r>
          <m:r>
            <m:t>c</m:t>
          </m:r>
          <m:r>
            <m:t>e</m:t>
          </m:r>
          <m:r>
            <m:t>s</m:t>
          </m:r>
          <m:r>
            <m:t>s</m:t>
          </m:r>
          <m:r>
            <m:t>D</m:t>
          </m:r>
          <m:r>
            <m:t>e</m:t>
          </m:r>
          <m:r>
            <m:t>c</m:t>
          </m:r>
          <m:r>
            <m:t>i</m:t>
          </m:r>
          <m:r>
            <m:t>s</m:t>
          </m:r>
          <m:r>
            <m:t>i</m:t>
          </m:r>
          <m:r>
            <m:t>o</m:t>
          </m:r>
          <m:r>
            <m:t>n</m:t>
          </m:r>
          <m:r>
            <m:rPr>
              <m:sty m:val="p"/>
            </m:rPr>
            <m:t>→</m:t>
          </m:r>
          <m:r>
            <m:t>E</m:t>
          </m:r>
          <m:r>
            <m:t>M</m:t>
          </m:r>
          <m:r>
            <m:t>R</m:t>
          </m:r>
          <m:r>
            <m:rPr>
              <m:sty m:val="p"/>
            </m:rPr>
            <m:t>→</m:t>
          </m:r>
          <m:r>
            <m:t>A</m:t>
          </m:r>
          <m:r>
            <m:t>u</m:t>
          </m:r>
          <m:r>
            <m:t>d</m:t>
          </m:r>
          <m:r>
            <m:t>i</m:t>
          </m:r>
          <m:r>
            <m:t>t</m:t>
          </m:r>
        </m:oMath>
      </m:oMathPara>
    </w:p>
    <w:p>
      <w:pPr>
        <w:pStyle w:val="FirstParagraph"/>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Controller</w:t>
            </w:r>
          </w:p>
        </w:tc>
        <w:tc>
          <w:tcPr/>
          <w:p>
            <w:pPr>
              <w:pStyle w:val="Compact"/>
              <w:jc w:val="left"/>
            </w:pPr>
            <w:r>
              <w:t xml:space="preserve">services/identity_service.py</w:t>
            </w:r>
          </w:p>
        </w:tc>
        <w:tc>
          <w:tcPr/>
          <w:p>
            <w:pPr>
              <w:pStyle w:val="Compact"/>
              <w:jc w:val="left"/>
            </w:pPr>
            <w:r>
              <w:t xml:space="preserve">DID check; EIP-712 approval signing and verification (Algorithm 2,</w:t>
            </w:r>
            <w:r>
              <w:t xml:space="preserve"> </w:t>
            </w:r>
            <m:oMath>
              <m:sSub>
                <m:e>
                  <m:r>
                    <m:t>V</m:t>
                  </m:r>
                </m:e>
                <m:sub>
                  <m:r>
                    <m:t>I</m:t>
                  </m:r>
                </m:sub>
              </m:sSub>
            </m:oMath>
            <w:r>
              <w:t xml:space="preserve">)</w:t>
            </w:r>
          </w:p>
        </w:tc>
      </w:tr>
      <w:tr>
        <w:trPr>
          <w:cantSplit/>
        </w:trPr>
        <w:tc>
          <w:tcPr/>
          <w:p>
            <w:pPr>
              <w:pStyle w:val="Compact"/>
              <w:jc w:val="left"/>
            </w:pPr>
            <w:r>
              <w:t xml:space="preserve">Controller</w:t>
            </w:r>
          </w:p>
        </w:tc>
        <w:tc>
          <w:tcPr/>
          <w:p>
            <w:pPr>
              <w:pStyle w:val="Compact"/>
              <w:jc w:val="left"/>
            </w:pPr>
            <w:r>
              <w:t xml:space="preserve">services/state_service.py</w:t>
            </w:r>
          </w:p>
        </w:tc>
        <w:tc>
          <w:tcPr/>
          <w:p>
            <w:pPr>
              <w:pStyle w:val="Compact"/>
              <w:jc w:val="left"/>
            </w:pPr>
            <w:r>
              <w:t xml:space="preserve">Consent state: PENDING_SIGNATURE, PENDING_TOKEN, NOT_STARTED, EXPIRED, REVOKED, ACTIVE (</w:t>
            </w:r>
            <m:oMath>
              <m:sSub>
                <m:e>
                  <m:r>
                    <m:t>V</m:t>
                  </m:r>
                </m:e>
                <m:sub>
                  <m:r>
                    <m:t>A</m:t>
                  </m:r>
                </m:sub>
              </m:sSub>
            </m:oMath>
            <w:r>
              <w:t xml:space="preserve">,</w:t>
            </w:r>
            <w:r>
              <w:t xml:space="preserve"> </w:t>
            </w:r>
            <m:oMath>
              <m:sSub>
                <m:e>
                  <m:r>
                    <m:t>V</m:t>
                  </m:r>
                </m:e>
                <m:sub>
                  <m:r>
                    <m:t>T</m:t>
                  </m:r>
                </m:sub>
              </m:sSub>
            </m:oMath>
            <w:r>
              <w:t xml:space="preserve">)</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Smart contract</w:t>
            </w:r>
          </w:p>
        </w:tc>
        <w:tc>
          <w:tcPr/>
          <w:p>
            <w:pPr>
              <w:pStyle w:val="Compact"/>
              <w:jc w:val="left"/>
            </w:pPr>
            <w:r>
              <w:t xml:space="preserve">contracts/ConsentSBTv3.sol</w:t>
            </w:r>
          </w:p>
        </w:tc>
        <w:tc>
          <w:tcPr/>
          <w:p>
            <w:pPr>
              <w:pStyle w:val="Compact"/>
              <w:jc w:val="left"/>
            </w:pPr>
            <w:r>
              <w:t xml:space="preserve">Soulbound consent token; on-chain validity; ERC-5484 burn [43]</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3922776" cy="7689606"/>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3922776" cy="7689606"/>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 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 by the ConsentSBTv2 contract at address 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 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 Doctor 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 The consent validity interval is represented as [</w:t>
      </w:r>
      <w:r>
        <w:rPr>
          <w:i/>
          <w:iCs/>
        </w:rPr>
        <w:t xml:space="preserve">t</w:t>
      </w:r>
      <w:r>
        <w:rPr>
          <w:vertAlign w:val="subscript"/>
        </w:rPr>
        <w:t xml:space="preserve">s</w:t>
      </w:r>
      <w:r>
        <w:rPr>
          <w:i/>
          <w:iCs/>
        </w:rPr>
        <w:t xml:space="preserve">, t</w:t>
      </w:r>
      <w:r>
        <w:rPr>
          <w:vertAlign w:val="subscript"/>
        </w:rPr>
        <w:t xml:space="preserve">e</w:t>
      </w:r>
      <w: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the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the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84"/>
        <w:gridCol w:w="2120"/>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SRQ1–SRQ4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the current and next stages.</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pStyle w:val="BodyText"/>
      </w:pPr>
      <w:r>
        <w:t xml:space="preserve">The first major focus of the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The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The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the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the current stage and the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i/>
          <w:iCs/>
        </w:rPr>
        <w:t xml:space="preserve">static consent</w:t>
      </w:r>
      <w:r>
        <w:t xml:space="preserve"> </w:t>
      </w:r>
      <w:r>
        <w:rPr>
          <w:i/>
          <w:iCs/>
        </w:rPr>
        <w:t xml:space="preserve">management</w:t>
      </w:r>
      <w:r>
        <w:t xml:space="preserve"> </w:t>
      </w:r>
      <w:r>
        <w:t xml:space="preserve">to</w:t>
      </w:r>
      <w:r>
        <w:t xml:space="preserve"> </w:t>
      </w:r>
      <w:r>
        <w:rPr>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the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the next stage will complete the transition from the foundational authorisation mechanisms established in the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[16] Alexander Kharlamov, Roland Hohmann, and Glenn Parry. Data sharing decisions: perceptions and intentions in healthcare.</w:t>
      </w:r>
      <w:r>
        <w:t xml:space="preserve"> </w:t>
      </w:r>
      <w:r>
        <w:rPr>
          <w:i/>
          <w:iCs/>
        </w:rPr>
        <w:t xml:space="preserve">Strategic Change</w:t>
      </w:r>
      <w:r>
        <w:t xml:space="preserve">, 32(6):223–237, 2023.</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 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[36]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OrangeDelete" w:type="character">
    <w:name w:val="Orange Delete"/>
    <w:rPr>
      <w:strike/>
      <w:color w:val="E36C09"/>
    </w:rPr>
  </w:style>
  <w:style w:customStyle="1" w:styleId="OrangeFix" w:type="character">
    <w:name w:val="Orange Fix"/>
    <w:rPr>
      <w:color w:val="E36C09"/>
    </w:rPr>
  </w:style>
  <w:style w:customStyle="1" w:styleId="OrangeDeletePara" w:type="paragraph">
    <w:name w:val="Orange Delete Para"/>
    <w:basedOn w:val="BodyText"/>
    <w:rPr>
      <w:rFonts w:ascii="Times New Roman" w:cs="Times New Roman" w:eastAsia="Times New Roman" w:hAnsi="Times New Roman"/>
      <w:color w:val="E36C09"/>
      <w:sz w:val="24"/>
    </w:rPr>
  </w:style>
  <w:style w:customStyle="1" w:styleId="OrangeFixPara" w:type="paragraph">
    <w:name w:val="Orange Fix Para"/>
    <w:basedOn w:val="BodyText"/>
    <w:rPr>
      <w:rFonts w:ascii="Times New Roman" w:cs="Times New Roman" w:eastAsia="Times New Roman" w:hAnsi="Times New Roman"/>
      <w:color w:val="E36C09"/>
      <w:sz w:val="24"/>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2026-09-29T10:23:19Z</dcterms:created>
  <dcterms:modified xsi:type="dcterms:W3CDTF">2026-09-29T10:23:19Z</dcterms:modified>
</cp:coreProperties>
</file>

<file path=docProps/custom.xml><?xml version="1.0" encoding="utf-8"?>
<Properties xmlns="http://schemas.openxmlformats.org/officeDocument/2006/custom-properties" xmlns:vt="http://schemas.openxmlformats.org/officeDocument/2006/docPropsVTypes"/>
</file>