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7.png" ContentType="image/png"/>
  <Override PartName="/word/media/rId141.png" ContentType="image/png"/>
  <Override PartName="/word/media/rId145.png" ContentType="image/png"/>
  <Override PartName="/word/media/rId148.png" ContentType="image/png"/>
  <Override PartName="/word/media/rId152.png" ContentType="image/png"/>
  <Override PartName="/word/media/rId23.png" ContentType="image/png"/>
  <Override PartName="/word/media/rId28.png" ContentType="image/png"/>
  <Override PartName="/word/media/rId64.png" ContentType="image/png"/>
  <Override PartName="/word/media/rId67.png" ContentType="image/png"/>
  <Override PartName="/word/media/rId71.png" ContentType="image/png"/>
  <Override PartName="/word/media/rId78.png" ContentType="image/png"/>
  <Override PartName="/word/media/rId92.png" ContentType="image/png"/>
  <Override PartName="/word/media/rId99.png" ContentType="image/png"/>
  <Override PartName="/word/media/rId106.png" ContentType="image/png"/>
  <Override PartName="/word/media/rId113.png" ContentType="image/png"/>
  <Override PartName="/word/media/rId120.png" ContentType="image/png"/>
  <Override PartName="/word/media/rId127.png" ContentType="image/pn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Trusted Authorisation Framework for Multi-Party Patient Consent in Healthcare Data Sharing</w:t>
      </w:r>
    </w:p>
    <w:p>
      <w:pPr>
        <w:pStyle w:val="Subtitle"/>
      </w:pPr>
      <w:r>
        <w:t xml:space="preserve">Principal Supervisor: Professor Farookh Hussain</w:t>
      </w:r>
      <w:r>
        <w:br/>
      </w:r>
      <w:r>
        <w:t xml:space="preserve">Co-Supervisor: Dr. Firas Al-Doghman</w:t>
      </w:r>
      <w:r>
        <w:br/>
      </w:r>
      <w:r>
        <w:t xml:space="preserve">Presenter: Yasir Dhaifallah O Alyoubi</w:t>
      </w:r>
      <w:r>
        <w:br/>
      </w:r>
      <w:r>
        <w:t xml:space="preserve">Student ID: 24724078</w:t>
      </w:r>
      <w:r>
        <w:br/>
      </w:r>
      <w:r>
        <w:t xml:space="preserve">September 2026</w:t>
      </w:r>
    </w:p>
    <w:p>
      <w:r>
        <w:br w:type="page"/>
      </w:r>
    </w:p>
    <w:sdt>
      <w:sdtPr>
        <w:docPartObj>
          <w:docPartGallery w:val="Table of Contents"/>
          <w:docPartUnique/>
        </w:docPartObj>
      </w:sdtPr>
      <w:sdtContent>
        <w:p>
          <w:pPr>
            <w:pStyle w:val="TOCHeading"/>
          </w:pPr>
          <w:r>
            <w:t>Contents</w:t>
          </w:r>
        </w:p>
        <w:p>
          <w:r>
            <w:fldChar w:fldCharType="begin" w:dirty="true"/>
            <w:instrText xml:space="preserve"> TOC \o "1-3" \h \z \u </w:instrText>
            <w:fldChar w:fldCharType="separate"/>
            <w:t>Right-click here and choose "Update Field" to build the table of contents.</w:t>
            <w:fldChar w:fldCharType="end"/>
          </w:r>
        </w:p>
      </w:sdtContent>
    </w:sdt>
    <w:p>
      <w:r>
        <w:br w:type="page"/>
      </w:r>
    </w:p>
    <w:p>
      <w:pPr>
        <w:pStyle w:val="ReviewerNotePara"/>
      </w:pPr>
      <w:r>
        <w:rPr>
          <w:rStyle w:val="ReviewerNote"/>
        </w:rPr>
        <w:t xml:space="preserve">Colour key for this round: orange = a proofreading fix to your existing text (struck through = remove, plain orange = replacement or addition). All earlier rounds (pink, blue, green) are already accepted in this copy, so the orange marks are the only differences between this file and the previous FINAL.</w:t>
      </w:r>
    </w:p>
    <w:bookmarkStart w:id="13" w:name="introduction"/>
    <w:p>
      <w:pPr>
        <w:pStyle w:val="Heading1"/>
      </w:pPr>
      <w:r>
        <w:t xml:space="preserve">1 Introduction</w:t>
      </w:r>
    </w:p>
    <w:bookmarkStart w:id="9" w:name="research-context"/>
    <w:p>
      <w:pPr>
        <w:pStyle w:val="Heading2"/>
      </w:pPr>
      <w:r>
        <w:t xml:space="preserve">1.1 Research Context</w:t>
      </w:r>
    </w:p>
    <w:p>
      <w:pPr>
        <w:pStyle w:val="FirstParagrap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[1,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pStyle w:val="BodyText"/>
      </w:pPr>
      <w:r>
        <w:t xml:space="preserve">Healthcare represents a particularly important and challenging example of this broader problem. The increasing digitisation and decentralisation of healthcare information</w:t>
      </w:r>
      <w:r>
        <w:t xml:space="preserve"> </w:t>
      </w:r>
      <w:r>
        <w:rPr>
          <w:rStyle w:val="OrangeDelete"/>
        </w:rPr>
        <w:t xml:space="preserve">enables</w:t>
      </w:r>
      <w:r>
        <w:rPr>
          <w:rStyle w:val="OrangeFix"/>
        </w:rPr>
        <w:t xml:space="preserve">enable</w:t>
      </w:r>
      <w:r>
        <w:t xml:space="preserve"> </w:t>
      </w:r>
      <w:r>
        <w:t xml:space="preserve">patients, healthcare professionals, guardians, researchers, healthcare organisations, and other authorised entities to participate in data-sharing processes [16, 32, 35].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[14, 21, 23].</w:t>
      </w:r>
    </w:p>
    <w:p>
      <w:pPr>
        <w:pStyle w:val="BodyText"/>
      </w:pPr>
      <w:r>
        <w:t xml:space="preserve">Traditional access-control architectures are commonly based on centralised identity providers, institution-specific authentication systems, and relatively static permission-management mechanisms [13, 24, 30].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pStyle w:val="BodyText"/>
      </w:pPr>
      <w:r>
        <w:t xml:space="preserve">This problem is particularly relevant in healthcare, where data-sharing decisions may require the coordinated participation of patients, guardians, healthcare professionals, institutional authorities, and other authorised stakeholders [11, 32].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pStyle w:val="BodyText"/>
      </w:pPr>
      <w: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[3, 4, 9]. More broadly, blockchain-based approaches have demonstrated the potential to improve the integrity, transparency, and traceability of decentralised data-management processes [2, 25].</w:t>
      </w:r>
    </w:p>
    <w:p>
      <w:pPr>
        <w:pStyle w:val="BodyText"/>
      </w:pPr>
      <w: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pStyle w:val="BodyText"/>
      </w:pPr>
      <w: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BodyText"/>
      </w:pPr>
      <w:r>
        <w:rPr>
          <w:b/>
          <w:bCs/>
        </w:rPr>
        <w:t xml:space="preserve">Australian regulatory context.</w:t>
      </w:r>
      <w:r>
        <w:t xml:space="preserve"> </w:t>
      </w:r>
      <w:r>
        <w:t xml:space="preserve">In Australia, health information is classified as</w:t>
      </w:r>
      <w:r>
        <w:t xml:space="preserve"> </w:t>
      </w:r>
      <w:r>
        <w:rPr>
          <w:i/>
          <w:iCs/>
        </w:rPr>
        <w:t xml:space="preserve">sensitive information</w:t>
      </w:r>
      <w:r>
        <w:t xml:space="preserve"> </w:t>
      </w:r>
      <w:r>
        <w:t xml:space="preserve">under the</w:t>
      </w:r>
      <w:r>
        <w:t xml:space="preserve"> </w:t>
      </w:r>
      <w:r>
        <w:rPr>
          <w:i/>
          <w:iCs/>
        </w:rPr>
        <w:t xml:space="preserve">Privacy Act 1988</w:t>
      </w:r>
      <w:r>
        <w:t xml:space="preserve"> </w:t>
      </w:r>
      <w:r>
        <w:t xml:space="preserve">(Cth) [37]. Under the Australian Privacy Principles (APPs), sensitive information may generally be collected only with the individual’s consent (APP 3), and may be used or disclosed only for the primary purpose of collection, or for a directly related secondary purpose that the individual would reasonably expect, unless another exception applies (APP 6). The</w:t>
      </w:r>
      <w:r>
        <w:t xml:space="preserve"> </w:t>
      </w:r>
      <w:r>
        <w:rPr>
          <w:i/>
          <w:iCs/>
        </w:rPr>
        <w:t xml:space="preserve">My Health Records Act 2012</w:t>
      </w:r>
      <w:r>
        <w:t xml:space="preserve"> </w:t>
      </w:r>
      <w:r>
        <w:t xml:space="preserve">(Cth) [38] additionally allows consumers to control which healthcare provider organisations can access their record or particular documents, and the</w:t>
      </w:r>
      <w:r>
        <w:t xml:space="preserve"> </w:t>
      </w:r>
      <w:r>
        <w:rPr>
          <w:i/>
          <w:iCs/>
        </w:rPr>
        <w:t xml:space="preserve">Healthcare Identifiers Act 2010</w:t>
      </w:r>
      <w:r>
        <w:t xml:space="preserve"> </w:t>
      </w:r>
      <w:r>
        <w:t xml:space="preserve">(Cth) [39] governs the national identifiers used for individuals (IHI), practitioners (HPI-I) and organisations (HPI-O). These instruments illustrate, in a concrete jurisdiction, the three conditions examined in this research: verified identity, patient-controlled authority over disclosure, and purpose- and scope-limited use. The HALAH prototype (Chapter 7) reflects this context through purpose-bound consent, module-level data scope and an explicit jurisdiction attribute (default</w:t>
      </w:r>
      <w:r>
        <w:t xml:space="preserve"> </w:t>
      </w:r>
      <w:r>
        <w:t xml:space="preserve">‘AU’</w:t>
      </w:r>
      <w:r>
        <w:t xml:space="preserve">).</w:t>
      </w:r>
    </w:p>
    <w:bookmarkEnd w:id="9"/>
    <w:bookmarkStart w:id="10" w:name="problem-statement"/>
    <w:p>
      <w:pPr>
        <w:pStyle w:val="Heading2"/>
      </w:pPr>
      <w:r>
        <w:t xml:space="preserve">1.2 Problem Statement</w:t>
      </w:r>
    </w:p>
    <w:p>
      <w:pPr>
        <w:pStyle w:val="FirstParagrap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pStyle w:val="BodyText"/>
      </w:pPr>
      <w:r>
        <w:t xml:space="preserve">This creates a fundamental distinction between</w:t>
      </w:r>
      <w:r>
        <w:t xml:space="preserve"> </w:t>
      </w:r>
      <w:r>
        <w:rPr>
          <w:i/>
          <w:iCs/>
        </w:rPr>
        <w:t xml:space="preserve">consent representation</w:t>
      </w:r>
      <w:r>
        <w:t xml:space="preserve"> </w:t>
      </w:r>
      <w:r>
        <w:t xml:space="preserve">and</w:t>
      </w:r>
      <w:r>
        <w:t xml:space="preserve"> </w:t>
      </w:r>
      <w:r>
        <w:rPr>
          <w:rStyle w:val="OrangeDelete"/>
          <w:i/>
          <w:iCs/>
        </w:rPr>
        <w:t xml:space="preserve">trustworthy</w:t>
      </w:r>
      <w:r>
        <w:rPr>
          <w:rStyle w:val="OrangeDelete"/>
        </w:rPr>
        <w:t xml:space="preserve"> </w:t>
      </w:r>
      <w:r>
        <w:rPr>
          <w:rStyle w:val="OrangeDelete"/>
          <w:i/>
          <w:iCs/>
        </w:rPr>
        <w:t xml:space="preserve">authorisation enforcement</w:t>
      </w:r>
      <w:r>
        <w:rPr>
          <w:rStyle w:val="OrangeFix"/>
          <w:i/>
          <w:iCs/>
        </w:rPr>
        <w:t xml:space="preserve">trustworthy authorisation enforcement</w:t>
      </w:r>
      <w:r>
        <w:t xml:space="preserve">.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BodyText"/>
      </w:pPr>
      <w: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pStyle w:val="BodyText"/>
      </w:pPr>
      <w: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pStyle w:val="BodyText"/>
      </w:pPr>
      <w: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[17, 20]. However, these mechanisms are often investigated independently or integrated primarily at the implementation level without providing a unified Trust Computing model explaining how their combined operation establishes a trustworthy authorisation outcome.</w:t>
      </w:r>
    </w:p>
    <w:p>
      <w:pPr>
        <w:pStyle w:val="BodyText"/>
      </w:pPr>
      <w: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pStyle w:val="BodyText"/>
      </w:pPr>
      <w: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bookmarkEnd w:id="10"/>
    <w:bookmarkStart w:id="11" w:name="research-motivation"/>
    <w:p>
      <w:pPr>
        <w:pStyle w:val="Heading2"/>
      </w:pPr>
      <w:r>
        <w:t xml:space="preserve">1.3 Research Motivation</w:t>
      </w:r>
    </w:p>
    <w:p>
      <w:pPr>
        <w:pStyle w:val="FirstParagrap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pStyle w:val="BodyText"/>
      </w:pPr>
      <w: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pStyle w:val="BodyText"/>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BodyText"/>
      </w:pPr>
      <w: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In this report, the</w:t>
      </w:r>
      <w:r>
        <w:t xml:space="preserve"> </w:t>
      </w:r>
      <w:r>
        <w:rPr>
          <w:i/>
          <w:iCs/>
        </w:rPr>
        <w:t xml:space="preserve">current stage</w:t>
      </w:r>
      <w:r>
        <w:t xml:space="preserve"> </w:t>
      </w:r>
      <w:r>
        <w:t xml:space="preserve">refers to Stage 1 (CA2: RO1–RO4) and the</w:t>
      </w:r>
      <w:r>
        <w:t xml:space="preserve"> </w:t>
      </w:r>
      <w:r>
        <w:rPr>
          <w:i/>
          <w:iCs/>
        </w:rPr>
        <w:t xml:space="preserve">next stage</w:t>
      </w:r>
      <w:r>
        <w:t xml:space="preserve"> </w:t>
      </w:r>
      <w:r>
        <w:t xml:space="preserve">to Stage 2 (CA3: RO5–RO6).</w:t>
      </w:r>
    </w:p>
    <w:p>
      <w:pPr>
        <w:pStyle w:val="BodyText"/>
      </w:pPr>
      <w: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pStyle w:val="BodyText"/>
      </w:pPr>
      <w:r>
        <w:t xml:space="preserve">The next-stage (CA3)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pStyle w:val="BodyText"/>
      </w:pPr>
      <w:r>
        <w:t xml:space="preserve">The 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 The distinction between the current contribution and the subsequent research is summarised in Table 1.1.</w:t>
      </w:r>
    </w:p>
    <w:p>
      <w:pPr>
        <w:pStyle w:val="BodyText"/>
      </w:pPr>
      <w:r>
        <w:t xml:space="preserve">This separation establishes a clear progression between the current and subsequent stages of the research. The current research is concerned primarily with establishing the conceptual and technical foundations through which trustworthy multi-party authorisation can be constructed. The next stage will build upon these foundations by investigating how authorisation trust can be maintained dynamically over time, formally reasoned about under defined security assumptions, and comprehensively validated through prototype-based experimentation.</w:t>
      </w:r>
    </w:p>
    <w:p>
      <w:pPr>
        <w:pStyle w:val="BodyText"/>
      </w:pPr>
      <w: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pStyle w:val="TableCaption"/>
      </w:pPr>
      <w:r>
        <w:t xml:space="preserve">Table 1.1: Research Scope and Progression</w:t>
      </w:r>
    </w:p>
    <w:tbl>
      <w:tblPr>
        <w:tblStyle w:val="Table"/>
        <w:tblW w:type="pct" w:w="5000"/>
        <w:tblLayout w:type="fixed"/>
        <w:tblLook w:firstRow="1" w:lastRow="0" w:firstColumn="0" w:lastColumn="0" w:noHBand="0" w:noVBand="0" w:val="0020"/>
        <w:tblCaption w:val="Table 1.1: Research Scope and Progression"/>
      </w:tblPr>
      <w:tblGrid>
        <w:gridCol w:w="833"/>
        <w:gridCol w:w="3543"/>
        <w:gridCol w:w="354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Research Dimension</w:t>
            </w:r>
          </w:p>
        </w:tc>
        <w:tc>
          <w:tcPr>
            <w:tcBorders>
              <w:bottom w:val="single" w:sz="8" w:space="0" w:color="000000"/>
            </w:tcBorders>
            <w:shd w:val="clear" w:color="auto" w:fill="E7E6E6"/>
            <w:vAlign w:val="center"/>
          </w:tcPr>
          <w:p>
            <w:pPr>
              <w:pStyle w:val="Compact"/>
              <w:jc w:val="left"/>
            </w:pPr>
            <w:r>
              <w:rPr>
                <w:b/>
                <w:bCs/>
              </w:rPr>
              <w:t xml:space="preserve">Purpose and Core Objective</w:t>
            </w:r>
          </w:p>
        </w:tc>
      </w:tr>
      <w:tr>
        <w:trPr>
          <w:cantSplit/>
        </w:trPr>
        <w:tc>
          <w:tcPr/>
          <w:p>
            <w:pPr>
              <w:pStyle w:val="Compact"/>
              <w:jc w:val="left"/>
            </w:pPr>
            <w:r>
              <w:t xml:space="preserve">Current</w:t>
            </w:r>
          </w:p>
        </w:tc>
        <w:tc>
          <w:tcPr/>
          <w:p>
            <w:pPr>
              <w:pStyle w:val="Compact"/>
              <w:jc w:val="left"/>
            </w:pPr>
            <w:r>
              <w:t xml:space="preserve">RO1: Trust-Centric Consent</w:t>
            </w:r>
            <w:r>
              <w:t xml:space="preserve"> </w:t>
            </w:r>
            <w:r>
              <w:rPr>
                <w:rStyle w:val="OrangeDelete"/>
              </w:rPr>
              <w:t xml:space="preserve">Modelling</w:t>
            </w:r>
            <w:r>
              <w:rPr>
                <w:rStyle w:val="OrangeFix"/>
              </w:rPr>
              <w:t xml:space="preserve">Model</w:t>
            </w:r>
          </w:p>
        </w:tc>
        <w:tc>
          <w:tcPr/>
          <w:p>
            <w:pPr>
              <w:pStyle w:val="Compact"/>
              <w:jc w:val="left"/>
            </w:pPr>
            <w: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p>
            <w:pPr>
              <w:pStyle w:val="Compact"/>
              <w:jc w:val="left"/>
            </w:pPr>
            <w:r>
              <w:t xml:space="preserve">Current</w:t>
            </w:r>
          </w:p>
        </w:tc>
        <w:tc>
          <w:tcPr/>
          <w:p>
            <w:pPr>
              <w:pStyle w:val="Compact"/>
              <w:jc w:val="left"/>
            </w:pPr>
            <w:r>
              <w:t xml:space="preserve">RO2: Decentralised Identity and Authority Trust</w:t>
            </w:r>
          </w:p>
        </w:tc>
        <w:tc>
          <w:tcPr/>
          <w:p>
            <w:pPr>
              <w:pStyle w:val="Compact"/>
              <w:jc w:val="left"/>
            </w:pPr>
            <w:r>
              <w:t xml:space="preserve">Establish trustworthy participants using decentralised identifiers and verifiable credentials while explicitly separating identity authentication from authorisation authority.</w:t>
            </w:r>
          </w:p>
        </w:tc>
      </w:tr>
      <w:tr>
        <w:trPr>
          <w:cantSplit/>
        </w:trPr>
        <w:tc>
          <w:tcPr/>
          <w:p>
            <w:pPr>
              <w:pStyle w:val="Compact"/>
              <w:jc w:val="left"/>
            </w:pPr>
            <w:r>
              <w:t xml:space="preserve">Current</w:t>
            </w:r>
          </w:p>
        </w:tc>
        <w:tc>
          <w:tcPr/>
          <w:p>
            <w:pPr>
              <w:pStyle w:val="Compact"/>
              <w:jc w:val="left"/>
            </w:pPr>
            <w:r>
              <w:t xml:space="preserve">RO3: Trustworthy Multi-Party Authorisation</w:t>
            </w:r>
          </w:p>
        </w:tc>
        <w:tc>
          <w:tcPr/>
          <w:p>
            <w:pPr>
              <w:pStyle w:val="Compact"/>
              <w:jc w:val="left"/>
            </w:pPr>
            <w:r>
              <w:t xml:space="preserve">Establish collective trust by requiring multiple independently verified participants to satisfy predefined authorisation conditions before sensitive healthcare data access can be granted.</w:t>
            </w:r>
          </w:p>
        </w:tc>
      </w:tr>
      <w:tr>
        <w:trPr>
          <w:cantSplit/>
        </w:trPr>
        <w:tc>
          <w:tcPr/>
          <w:p>
            <w:pPr>
              <w:pStyle w:val="Compact"/>
              <w:jc w:val="left"/>
            </w:pPr>
            <w:r>
              <w:t xml:space="preserve">Current</w:t>
            </w:r>
          </w:p>
        </w:tc>
        <w:tc>
          <w:tcPr/>
          <w:p>
            <w:pPr>
              <w:pStyle w:val="Compact"/>
              <w:jc w:val="left"/>
            </w:pPr>
            <w:r>
              <w:t xml:space="preserve">RO4: Policy- and Context-Aware</w:t>
            </w:r>
            <w:r>
              <w:t xml:space="preserve"> </w:t>
            </w:r>
            <w:r>
              <w:rPr>
                <w:rStyle w:val="OrangeDelete"/>
              </w:rPr>
              <w:t xml:space="preserve">Authorisation</w:t>
            </w:r>
            <w:r>
              <w:rPr>
                <w:rStyle w:val="OrangeFix"/>
              </w:rPr>
              <w:t xml:space="preserve">Access Control</w:t>
            </w:r>
          </w:p>
        </w:tc>
        <w:tc>
          <w:tcPr/>
          <w:p>
            <w:pPr>
              <w:pStyle w:val="Compact"/>
              <w:jc w:val="left"/>
            </w:pPr>
            <w: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p>
            <w:pPr>
              <w:pStyle w:val="Compact"/>
              <w:jc w:val="left"/>
            </w:pPr>
            <w:r>
              <w:t xml:space="preserve">Next</w:t>
            </w:r>
          </w:p>
        </w:tc>
        <w:tc>
          <w:tcPr/>
          <w:p>
            <w:pPr>
              <w:pStyle w:val="Compact"/>
              <w:jc w:val="left"/>
            </w:pPr>
            <w:r>
              <w:t xml:space="preserve">RO5: Temporal and Lifecycle Trust</w:t>
            </w:r>
          </w:p>
        </w:tc>
        <w:tc>
          <w:tcPr/>
          <w:p>
            <w:pPr>
              <w:pStyle w:val="Compact"/>
              <w:jc w:val="left"/>
            </w:pPr>
            <w:r>
              <w:t xml:space="preserve">Extend the authorisation model with validity periods, expiration, revocation, and controlled consent-state transitions to support dynamic and lifecycle-aware trust evaluation.</w:t>
            </w:r>
          </w:p>
        </w:tc>
      </w:tr>
      <w:tr>
        <w:trPr>
          <w:cantSplit/>
        </w:trPr>
        <w:tc>
          <w:tcPr/>
          <w:p>
            <w:pPr>
              <w:pStyle w:val="Compact"/>
              <w:jc w:val="left"/>
            </w:pPr>
            <w:r>
              <w:t xml:space="preserve">Next</w:t>
            </w:r>
          </w:p>
        </w:tc>
        <w:tc>
          <w:tcPr/>
          <w:p>
            <w:pPr>
              <w:pStyle w:val="Compact"/>
              <w:jc w:val="left"/>
            </w:pPr>
            <w:r>
              <w:t xml:space="preserve">RO6: Formal Security Assurance and Empirical Validation</w:t>
            </w:r>
          </w:p>
        </w:tc>
        <w:tc>
          <w:tcPr/>
          <w:p>
            <w:pPr>
              <w:pStyle w:val="Compact"/>
              <w:jc w:val="left"/>
            </w:pPr>
            <w:r>
              <w:t xml:space="preserve">Formally define and analyse the security and authorisation properties of the proposed framework and empirically evaluate the complete HALAH implementation using representative healthcare data-sharing, negative, and adversarial scenarios.</w:t>
            </w:r>
          </w:p>
        </w:tc>
      </w:tr>
    </w:tbl>
    <w:bookmarkEnd w:id="11"/>
    <w:bookmarkStart w:id="12" w:name="structure-of-the-report"/>
    <w:p>
      <w:pPr>
        <w:pStyle w:val="Heading2"/>
      </w:pPr>
      <w:r>
        <w:t xml:space="preserve">1.4 Structure of the Report</w:t>
      </w:r>
    </w:p>
    <w:p>
      <w:pPr>
        <w:pStyle w:val="FirstParagraph"/>
      </w:pPr>
      <w:r>
        <w:t xml:space="preserve">The remainder of this report is organised as follows. Chapter 2 presents the systematic literature review: it defines the five key requirements that a trust-oriented consent authorisation framework should satisfy, describes the four-step process used to shortlist the studies, summarises the shortlisted studies by category and identifies the research gaps from the requirement perspective. Chapter 3 states the research gap, the main research question and the six sub-research questions, and Chapter 4 translates them into six research objectives. Chapter 5 describes the</w:t>
      </w:r>
      <w:r>
        <w:t xml:space="preserve"> </w:t>
      </w:r>
      <w:r>
        <w:rPr>
          <w:rStyle w:val="OrangeDelete"/>
        </w:rPr>
        <w:t xml:space="preserve">MVC-based</w:t>
      </w:r>
      <w:r>
        <w:rPr>
          <w:rStyle w:val="OrangeFix"/>
        </w:rPr>
        <w:t xml:space="preserve">Model–View–Controller (MVC)</w:t>
      </w:r>
      <w:r>
        <w:t xml:space="preserve"> </w:t>
      </w:r>
      <w:r>
        <w:t xml:space="preserve">research architecture, and Chapter 6 presents the proposed solution for each objective through its workflow, procedure and algorithm. Chapter 7 presents the HALAH prototype, its four subsystems, the mapping to the source code, the automated test evidence and the on-chain evidence. Chapter 8 reports the progress of each objective, Chapter 9 summarises the publication plan and Chapter 10 sets out the research plan for the next stage.</w:t>
      </w:r>
    </w:p>
    <w:bookmarkEnd w:id="12"/>
    <w:bookmarkEnd w:id="13"/>
    <w:bookmarkStart w:id="44" w:name="X8d950ebaf958e7860fc944fc7601a3578d63a09"/>
    <w:p>
      <w:pPr>
        <w:pStyle w:val="Heading1"/>
      </w:pPr>
      <w:r>
        <w:t xml:space="preserve">2 A Systematic Literature Review</w:t>
      </w:r>
    </w:p>
    <w:bookmarkStart w:id="14" w:name="overview-introduction"/>
    <w:p>
      <w:pPr>
        <w:pStyle w:val="Heading2"/>
      </w:pPr>
      <w:r>
        <w:t xml:space="preserve">2.1 Introduction</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 [10, 21, 23, 27, 28, 33]. Blockchain-based data-governance research has investigated immutable records, distributed auditability, and decentralised consent management [3, 4, 9, 25]. Research on decentralised identity and verifiable credentials has developed mechanisms for self-controlled identity representation, credential verification, selective disclosure, and privacy-preserving authentication [6, 7, 18, 20, 26, 36]. Access-control research has further investigated role-based, attribute-based, risk-aware, and usage-control approaches for protecting sensitive healthcare information [5, 13, 24, 30, 31, 34, 35].</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objective of this chapter is therefore to examine, through a systematic literature review, how far the existing approaches satisfy the conditions of a trustworthy authorisation decision and where the gap addressed by the proposed framework lies.</w:t>
      </w:r>
    </w:p>
    <w:p>
      <w:pPr>
        <w:pStyle w:val="BodyText"/>
      </w:pPr>
      <w:r>
        <w:t xml:space="preserve">The reviewed studies were located, shortlisted and evaluated through the systematic process described in Section 2.3, which follows the four-step approach of searching the literature, applying inclusion and exclusion criteria, evaluating quality and analysing the data. To make the evaluation comparable across studies, Section 2.2 first defines five key requirements that a trust-oriented consent authorisation framework should satisfy. Each shortlisted paper is then assessed against these requirements in Section 2.4, the research gaps are drawn together from the requirement perspective in Section 2.5, and Section 2.6 concludes the chapter and</w:t>
      </w:r>
      <w:r>
        <w:t xml:space="preserve"> </w:t>
      </w:r>
      <w:r>
        <w:rPr>
          <w:rStyle w:val="OrangeDelete"/>
        </w:rPr>
        <w:t xml:space="preserve">introduces the research questions and objectives of Chapter 3.</w:t>
      </w:r>
      <w:r>
        <w:rPr>
          <w:rStyle w:val="OrangeFix"/>
        </w:rPr>
        <w:t xml:space="preserve">introduces the research questions and objectives of Chapters 3 and 4.</w:t>
      </w:r>
    </w:p>
    <w:bookmarkEnd w:id="14"/>
    <w:bookmarkStart w:id="20" w:name="Xe31d4d16f418816f7cdb8bb7e2c33f7a12ca646"/>
    <w:p>
      <w:pPr>
        <w:pStyle w:val="Heading2"/>
      </w:pPr>
      <w:r>
        <w:t xml:space="preserve">2.2 Key Requirements for a Trust-Oriented Consent Authorisation Framework</w:t>
      </w:r>
    </w:p>
    <w:p>
      <w:pPr>
        <w:pStyle w:val="FirstParagraph"/>
      </w:pPr>
      <w:r>
        <w:t xml:space="preserve">This section defines the factors that a healthcare consent authorisation framework must provide before a data-access decision can be regarded as trustworthy. The five requirements are derived from the problem described in Chapter 1 and from the Australian regulatory setting in which the research is situated, in particular the Australian Privacy Principles of the</w:t>
      </w:r>
      <w:r>
        <w:t xml:space="preserve"> </w:t>
      </w:r>
      <w:r>
        <w:rPr>
          <w:i/>
          <w:iCs/>
        </w:rPr>
        <w:t xml:space="preserve">Privacy Act 1988</w:t>
      </w:r>
      <w:r>
        <w:t xml:space="preserve"> </w:t>
      </w:r>
      <w:r>
        <w:t xml:space="preserve">[37], the</w:t>
      </w:r>
      <w:r>
        <w:t xml:space="preserve"> </w:t>
      </w:r>
      <w:r>
        <w:rPr>
          <w:i/>
          <w:iCs/>
        </w:rPr>
        <w:t xml:space="preserve">My Health Records Act 2012</w:t>
      </w:r>
      <w:r>
        <w:t xml:space="preserve"> </w:t>
      </w:r>
      <w:r>
        <w:t xml:space="preserve">[38] and the</w:t>
      </w:r>
      <w:r>
        <w:t xml:space="preserve"> </w:t>
      </w:r>
      <w:r>
        <w:rPr>
          <w:i/>
          <w:iCs/>
        </w:rPr>
        <w:t xml:space="preserve">Healthcare Identifiers Act 2010</w:t>
      </w:r>
      <w:r>
        <w:t xml:space="preserve"> </w:t>
      </w:r>
      <w:r>
        <w:t xml:space="preserve">[39]. They form the basis on which the shortlisted studies are compared in Section 2.4 and against which the research gaps are stated in Section 2.5.</w:t>
      </w:r>
    </w:p>
    <w:bookmarkStart w:id="15" w:name="Xb2c1c1d0f9cf3a779daabe364a3fe8b072535a1"/>
    <w:p>
      <w:pPr>
        <w:pStyle w:val="Heading3"/>
      </w:pPr>
      <w:r>
        <w:t xml:space="preserve">2.2.1 Consent as an evaluable authorisation object (Req 1)</w:t>
      </w:r>
    </w:p>
    <w:p>
      <w:pPr>
        <w:pStyle w:val="FirstParagraph"/>
      </w:pPr>
      <w:r>
        <w:t xml:space="preserve">In most healthcare information systems, consent is stored as a record indicating that a patient agreed to a particular disclosure. Such a record establishes that consent was obtained, but it does not carry the information required to decide whether a later request should be permitted. The first requirement is therefore that consent be represented as a structured object that states who may access the data, under which authority, for which purpose, for which data categories and for how long, so that each access request can be evaluated against it. Consent receipts [12], dynamic consent models [15, 23] and the legal conditions of valid consent [21] all point in this direction, but they stop at recording consent rather than making it evaluable. Blockchain-backed architectures that execute and audit consents [28] and self-determined consent frameworks [33] add enforcement and tracking, yet they still act on the consent record rather than on an evaluation of the request.</w:t>
      </w:r>
    </w:p>
    <w:bookmarkEnd w:id="15"/>
    <w:bookmarkStart w:id="16" w:name="Xa885eda08813ad5fc0a2256dc7473e8c07c13b3"/>
    <w:p>
      <w:pPr>
        <w:pStyle w:val="Heading3"/>
      </w:pPr>
      <w:r>
        <w:t xml:space="preserve">2.2.2 Verifiable identity separated from authority (Req 2)</w:t>
      </w:r>
    </w:p>
    <w:p>
      <w:pPr>
        <w:pStyle w:val="FirstParagraph"/>
      </w:pPr>
      <w:r>
        <w:t xml:space="preserve">A trustworthy decision must first establish who is requesting or approving access, and then, separately, whether that party holds the authority the consent requires. Decentralised identifiers and verifiable credentials make the first step possible without a central identity provider [6, 20], and the</w:t>
      </w:r>
      <w:r>
        <w:t xml:space="preserve"> </w:t>
      </w:r>
      <w:r>
        <w:rPr>
          <w:i/>
          <w:iCs/>
        </w:rPr>
        <w:t xml:space="preserve">Healthcare Identifiers Act 2010</w:t>
      </w:r>
      <w:r>
        <w:t xml:space="preserve"> </w:t>
      </w:r>
      <w:r>
        <w:t xml:space="preserve">already gives every provider and individual a persistent identifier [39]. The second step is frequently overlooked: a valid credential shows that a person is, for example, a registered practitioner or a legal guardian [10], but not that this person is authorised for this patient, this purpose and this data. The second requirement is that identity verification and authority verification be modelled as distinct conditions.</w:t>
      </w:r>
    </w:p>
    <w:bookmarkEnd w:id="16"/>
    <w:bookmarkStart w:id="17" w:name="X3f1caa9985cd93675a873a4a1b7cf3386e492f2"/>
    <w:p>
      <w:pPr>
        <w:pStyle w:val="Heading3"/>
      </w:pPr>
      <w:r>
        <w:t xml:space="preserve">2.2.3 Multi-party threshold authorisation (Req 3)</w:t>
      </w:r>
    </w:p>
    <w:p>
      <w:pPr>
        <w:pStyle w:val="FirstParagraph"/>
      </w:pPr>
      <w:r>
        <w:t xml:space="preserve">In paediatric, aged-care and shared-guardianship settings the decision to release data does not belong to a single party. Guardians, the treating clinician and, where applicable, the institution each hold part of the authority [10]. The third requirement is that the framework collect independent approvals from a defined set of participants and activate the consent only when a predefined threshold has been reached, so that no single participant can grant access unilaterally. Multi-party verification of identity claims [6], multi-party governance of data trusts [19] and threshold-based pre-authorisation of record access [29] provide building blocks, but none treats the approval threshold as a verifiable condition attached to the consent itself.</w:t>
      </w:r>
    </w:p>
    <w:bookmarkEnd w:id="17"/>
    <w:bookmarkStart w:id="18" w:name="purpose--and-scope-bound-access-req-4"/>
    <w:p>
      <w:pPr>
        <w:pStyle w:val="Heading3"/>
      </w:pPr>
      <w:r>
        <w:t xml:space="preserve">2.2.4 Purpose- and scope-bound access (Req 4)</w:t>
      </w:r>
    </w:p>
    <w:p>
      <w:pPr>
        <w:pStyle w:val="FirstParagraph"/>
      </w:pPr>
      <w:r>
        <w:t xml:space="preserve">Even when the requester is verified and the required approvals exist, the request must remain within the purpose and the data scope that the patient authorised. Attribute-based, risk-aware, usage-control and purpose-based models can express fine-grained restrictions [5, 13, 24, 30, 31, 34, 35], and the Australian Privacy Principles require that health information be used only for the primary purpose of collection or a directly related purpose [37]. The fourth requirement is that the framework evaluate the requested purpose and data scope against the consent as an explicit condition of the decision rather than as a separate access-control layer.</w:t>
      </w:r>
    </w:p>
    <w:bookmarkEnd w:id="18"/>
    <w:bookmarkStart w:id="19" w:name="Xa8ff9ba73be0aeb7c197ff9dd13ad790ec9629a"/>
    <w:p>
      <w:pPr>
        <w:pStyle w:val="Heading3"/>
      </w:pPr>
      <w:r>
        <w:t xml:space="preserve">2.2.5 Lifecycle validity and auditable evidence (Req 5)</w:t>
      </w:r>
    </w:p>
    <w:p>
      <w:pPr>
        <w:pStyle w:val="FirstParagraph"/>
      </w:pPr>
      <w:r>
        <w:t xml:space="preserve">A consent that was valid when it was created may expire, be revoked or change state. The framework must therefore evaluate the temporal and lifecycle validity of the consent at the time of each request, and it must retain evidence of every decision so that the decision can be reviewed afterwards. Blockchain-based systems provide tamper-resistant audit trails [2, 25, 27, 31], and dynamic identity systems handle revocation at the identity level [36]; the fifth requirement is that the same properties hold for the consent object and for the authorisation decisions made on it.</w:t>
      </w:r>
    </w:p>
    <w:p>
      <w:pPr>
        <w:pStyle w:val="BodyText"/>
      </w:pPr>
      <w:r>
        <w:t xml:space="preserve">These five requirements form the basis of the comparison of the existing approaches in Section 2.4. Questions about whether the existing methods assist in addressing each requirement are answered in Tables 2.4–2.9, and the gaps are summarised from the requirement perspective in Section 2.5.</w:t>
      </w:r>
    </w:p>
    <w:bookmarkEnd w:id="19"/>
    <w:bookmarkEnd w:id="20"/>
    <w:bookmarkStart w:id="33" w:name="Xc890dc5c16727df01c4dec67a5cc738423fdfed"/>
    <w:p>
      <w:pPr>
        <w:pStyle w:val="Heading2"/>
      </w:pPr>
      <w:r>
        <w:t xml:space="preserve">2.3 Process Adopted for Shortlisting the Papers for the SLR</w:t>
      </w:r>
    </w:p>
    <w:p>
      <w:pPr>
        <w:pStyle w:val="FirstParagraph"/>
      </w:pPr>
      <w:r>
        <w:t xml:space="preserve">This review followed the Preferred Reporting Items for Systematic Reviews and Meta-Analyses (PRISMA 2020) reporting guideline [40]. It covers peer-reviewed literature published between 2022 and 2026 on healthcare consent management, decentralised identity and verifiable credentials, multi-party authorisation and policy-aware access control. The review questions, search strategy, eligibility criteria, screening, data extraction and quality assessment are described in Sections 2.3.1–2.3.6, and the resulting study selection is summarised in Figure</w:t>
      </w:r>
      <w:r>
        <w:t xml:space="preserve"> </w:t>
      </w:r>
      <w:r>
        <w:rPr>
          <w:rStyle w:val="OrangeDelete"/>
        </w:rPr>
        <w:t xml:space="preserve">2.2.Consistent</w:t>
      </w:r>
      <w:r>
        <w:rPr>
          <w:rStyle w:val="OrangeFix"/>
        </w:rPr>
        <w:t xml:space="preserve">2.2. Consistent</w:t>
      </w:r>
      <w:r>
        <w:t xml:space="preserve"> </w:t>
      </w:r>
      <w:r>
        <w:t xml:space="preserve">with the four-step approach adopted in this research group, the process is reported as searching the literature (Step 1), applying inclusion and exclusion criteria (Step 2), evaluating quality (Step 3) and extracting and categorising the data (Step 4).</w:t>
      </w:r>
    </w:p>
    <w:bookmarkStart w:id="21" w:name="review-design-and-reporting-framework"/>
    <w:p>
      <w:pPr>
        <w:pStyle w:val="Heading3"/>
      </w:pPr>
      <w:r>
        <w:t xml:space="preserve">2.3.1 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 decentralised identity, privacy-preserving access control, and auditability. The review was designed to establish the conceptual and technical foundations of the research and the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authorisation enforcement, privacy preservation, and auditable data access.</w:t>
      </w:r>
    </w:p>
    <w:p>
      <w:pPr>
        <w:pStyle w:val="BodyText"/>
      </w:pPr>
      <w: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 The quality assessment is described in Section 2.3.5.</w:t>
      </w:r>
    </w:p>
    <w:bookmarkEnd w:id="21"/>
    <w:bookmarkStart w:id="22" w:name="questions-for-review"/>
    <w:p>
      <w:pPr>
        <w:pStyle w:val="Heading3"/>
      </w:pPr>
      <w:r>
        <w:t xml:space="preserve">2.3.2 Questions for Review</w:t>
      </w:r>
    </w:p>
    <w:p>
      <w:pPr>
        <w:pStyle w:val="FirstParagraph"/>
      </w:pPr>
      <w:r>
        <w:t xml:space="preserve">This systematic literature review (SLR) is 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 decentralised 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22"/>
    <w:bookmarkStart w:id="26" w:name="X84813ed82bde8b681c1e93fab893fb6ffc8ce2b"/>
    <w:p>
      <w:pPr>
        <w:pStyle w:val="Heading3"/>
      </w:pPr>
      <w:r>
        <w:t xml:space="preserve">2.3.3 Step 1: Criteria for Searching the Literature</w:t>
      </w:r>
    </w:p>
    <w:p>
      <w:pPr>
        <w:pStyle w:val="FirstParagraph"/>
      </w:pPr>
      <w:r>
        <w:t xml:space="preserve">The literature search was conducted using the following academic databases including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decentralised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decentralised identity, access control, privacy, and auditability. The general search string was defined as shown in Figure 2.1.</w:t>
      </w:r>
    </w:p>
    <w:p>
      <w:pPr>
        <w:pStyle w:val="CaptionedFigure"/>
      </w:pPr>
      <w:r>
        <w:drawing>
          <wp:inline>
            <wp:extent cx="5486400" cy="3383782"/>
            <wp:effectExtent b="0" l="0" r="0" t="0"/>
            <wp:docPr descr="Figure 2.1: SLR search string definition" title="" id="24" name="Picture"/>
            <a:graphic>
              <a:graphicData uri="http://schemas.openxmlformats.org/drawingml/2006/picture">
                <pic:pic>
                  <pic:nvPicPr>
                    <pic:cNvPr descr="media/fig01.png" id="25" name="Picture"/>
                    <pic:cNvPicPr>
                      <a:picLocks noChangeArrowheads="1" noChangeAspect="1"/>
                    </pic:cNvPicPr>
                  </pic:nvPicPr>
                  <pic:blipFill>
                    <a:blip r:embed="rId23"/>
                    <a:stretch>
                      <a:fillRect/>
                    </a:stretch>
                  </pic:blipFill>
                  <pic:spPr bwMode="auto">
                    <a:xfrm>
                      <a:off x="0" y="0"/>
                      <a:ext cx="5486400" cy="3383782"/>
                    </a:xfrm>
                    <a:prstGeom prst="rect">
                      <a:avLst/>
                    </a:prstGeom>
                    <a:noFill/>
                    <a:ln w="9525">
                      <a:noFill/>
                      <a:headEnd/>
                      <a:tailEnd/>
                    </a:ln>
                  </pic:spPr>
                </pic:pic>
              </a:graphicData>
            </a:graphic>
          </wp:inline>
        </w:drawing>
      </w:r>
    </w:p>
    <w:p>
      <w:pPr>
        <w:pStyle w:val="ImageCaption"/>
      </w:pPr>
      <w:r>
        <w:t xml:space="preserve">Figure 2.1: SLR search string definition</w:t>
      </w:r>
    </w:p>
    <w:p>
      <w:pPr>
        <w:pStyle w:val="BodyText"/>
      </w:pPr>
      <w:r>
        <w:rPr>
          <w:b/>
          <w:bCs/>
        </w:rPr>
        <w:t xml:space="preserve">Search period and search execution.</w:t>
      </w:r>
    </w:p>
    <w:p>
      <w:pPr>
        <w:pStyle w:val="BodyText"/>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w:t>
      </w:r>
      <w:r>
        <w:t xml:space="preserve"> </w:t>
      </w:r>
      <w:r>
        <w:rPr>
          <w:rStyle w:val="OrangeDelete"/>
        </w:rPr>
        <w:t xml:space="preserve">The search was performed in</w:t>
      </w:r>
      <w:r>
        <w:rPr>
          <w:rStyle w:val="OrangeDelete"/>
        </w:rPr>
        <w:t xml:space="preserve"> </w:t>
      </w:r>
      <w:r>
        <w:rPr>
          <w:rStyle w:val="OrangeDelete"/>
          <w:b/>
          <w:bCs/>
        </w:rPr>
        <w:t xml:space="preserve">15 August 2026</w:t>
      </w:r>
      <w:r>
        <w:rPr>
          <w:rStyle w:val="OrangeDelete"/>
        </w:rPr>
        <w:t xml:space="preserve">.</w:t>
      </w:r>
      <w:r>
        <w:rPr>
          <w:rStyle w:val="OrangeFix"/>
        </w:rPr>
        <w:t xml:space="preserve">The search was performed on</w:t>
      </w:r>
      <w:r>
        <w:rPr>
          <w:rStyle w:val="OrangeFix"/>
        </w:rPr>
        <w:t xml:space="preserve"> </w:t>
      </w:r>
      <w:r>
        <w:rPr>
          <w:rStyle w:val="OrangeFix"/>
          <w:b/>
          <w:bCs/>
        </w:rPr>
        <w:t xml:space="preserve">15 August 2026</w:t>
      </w:r>
      <w:r>
        <w:rPr>
          <w:rStyle w:val="OrangeFix"/>
        </w:rPr>
        <w:t xml:space="preserve">.</w:t>
      </w:r>
      <w:r>
        <w:t xml:space="preserve"> </w:t>
      </w:r>
      <w:r>
        <w:t xml:space="preserve">The search period was selected to capture the rapid development of multi-party trust healthcare data management, decentralised identity, and consent-aware access control while maintaining a sufficiently contemporary evidence base.</w:t>
      </w:r>
      <w:r>
        <w:rPr>
          <w:rStyle w:val="OrangeDelete"/>
        </w:rPr>
        <w:t xml:space="preserve">Earlier foundational studies were retained when they provided critical contributions to the technical or conceptual development of the reviewed approaches.</w:t>
      </w:r>
    </w:p>
    <w:p>
      <w:pPr>
        <w:pStyle w:val="BodyText"/>
      </w:pPr>
      <w: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BodyText"/>
      </w:pPr>
      <w:r>
        <w:rPr>
          <w:b/>
          <w:bCs/>
        </w:rPr>
        <w:t xml:space="preserve">Required information from the selected papers.</w:t>
      </w:r>
      <w:r>
        <w:t xml:space="preserve"> </w:t>
      </w:r>
      <w:r>
        <w:t xml:space="preserve">For each record, the title, abstract, keywords and full text were required, together with the publication venue, year and the digital object identifier used for duplicate detection.</w:t>
      </w:r>
    </w:p>
    <w:p>
      <w:pPr>
        <w:pStyle w:val="BodyText"/>
      </w:pPr>
      <w:r>
        <w:rPr>
          <w:b/>
          <w:bCs/>
        </w:rPr>
        <w:t xml:space="preserve">Publication time of the records.</w:t>
      </w:r>
      <w:r>
        <w:t xml:space="preserve"> </w:t>
      </w:r>
      <w:r>
        <w:t xml:space="preserve">Only studies published between 2022 and 2026 were considered, because decentralised identity standards and consent-aware access control developed rapidly over that period. The journals and conference proceedings in which the included studies were published are listed in Table 2.1.</w:t>
      </w:r>
    </w:p>
    <w:p>
      <w:pPr>
        <w:pStyle w:val="TableCaption"/>
      </w:pPr>
      <w:r>
        <w:t xml:space="preserve">Table 2.1: Journals and conference proceedings of the included studies</w:t>
      </w:r>
    </w:p>
    <w:tbl>
      <w:tblPr>
        <w:tblStyle w:val="Table"/>
        <w:tblW w:type="pct" w:w="5000"/>
        <w:tblLayout w:type="fixed"/>
        <w:tblLook w:firstRow="1" w:lastRow="0" w:firstColumn="0" w:lastColumn="0" w:noHBand="0" w:noVBand="0" w:val="0020"/>
        <w:tblCaption w:val="Table 2.1: Journals and conference proceedings of the included studies"/>
      </w:tblPr>
      <w:tblGrid>
        <w:gridCol w:w="990"/>
        <w:gridCol w:w="4207"/>
        <w:gridCol w:w="990"/>
        <w:gridCol w:w="173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S/N</w:t>
            </w:r>
          </w:p>
        </w:tc>
        <w:tc>
          <w:tcPr>
            <w:tcBorders>
              <w:bottom w:val="single" w:sz="8" w:space="0" w:color="000000"/>
            </w:tcBorders>
            <w:shd w:val="clear" w:color="auto" w:fill="E7E6E6"/>
            <w:vAlign w:val="center"/>
          </w:tcPr>
          <w:p>
            <w:pPr>
              <w:pStyle w:val="Compact"/>
              <w:jc w:val="left"/>
            </w:pPr>
            <w:r>
              <w:rPr>
                <w:b/>
                <w:bCs/>
              </w:rPr>
              <w:t xml:space="preserve">Journal or conference proceedings</w:t>
            </w:r>
          </w:p>
        </w:tc>
        <w:tc>
          <w:tcPr>
            <w:tcBorders>
              <w:bottom w:val="single" w:sz="8" w:space="0" w:color="000000"/>
            </w:tcBorders>
            <w:shd w:val="clear" w:color="auto" w:fill="E7E6E6"/>
            <w:vAlign w:val="center"/>
          </w:tcPr>
          <w:p>
            <w:pPr>
              <w:pStyle w:val="Compact"/>
              <w:jc w:val="left"/>
            </w:pPr>
            <w:r>
              <w:rPr>
                <w:b/>
                <w:bCs/>
              </w:rPr>
              <w:t xml:space="preserve">Type</w:t>
            </w:r>
          </w:p>
        </w:tc>
        <w:tc>
          <w:tcPr>
            <w:tcBorders>
              <w:bottom w:val="single" w:sz="8" w:space="0" w:color="000000"/>
            </w:tcBorders>
            <w:shd w:val="clear" w:color="auto" w:fill="E7E6E6"/>
            <w:vAlign w:val="center"/>
          </w:tcPr>
          <w:p>
            <w:pPr>
              <w:pStyle w:val="Compact"/>
              <w:jc w:val="left"/>
            </w:pPr>
            <w:r>
              <w:rPr>
                <w:b/>
                <w:bCs/>
              </w:rPr>
              <w:t xml:space="preserve">Included studies</w:t>
            </w:r>
          </w:p>
        </w:tc>
      </w:tr>
      <w:tr>
        <w:trPr>
          <w:cantSplit/>
        </w:trPr>
        <w:tc>
          <w:tcPr/>
          <w:p>
            <w:pPr>
              <w:pStyle w:val="Compact"/>
              <w:jc w:val="left"/>
            </w:pPr>
            <w:r>
              <w:t xml:space="preserve">1</w:t>
            </w:r>
          </w:p>
        </w:tc>
        <w:tc>
          <w:tcPr/>
          <w:p>
            <w:pPr>
              <w:pStyle w:val="Compact"/>
              <w:jc w:val="left"/>
            </w:pPr>
            <w:r>
              <w:t xml:space="preserve">IEEE Access</w:t>
            </w:r>
          </w:p>
        </w:tc>
        <w:tc>
          <w:tcPr/>
          <w:p>
            <w:pPr>
              <w:pStyle w:val="Compact"/>
              <w:jc w:val="left"/>
            </w:pPr>
            <w:r>
              <w:t xml:space="preserve">Journal</w:t>
            </w:r>
          </w:p>
        </w:tc>
        <w:tc>
          <w:tcPr/>
          <w:p>
            <w:pPr>
              <w:pStyle w:val="Compact"/>
              <w:jc w:val="left"/>
            </w:pPr>
            <w:r>
              <w:t xml:space="preserve">S2, S7, S10, S30</w:t>
            </w:r>
          </w:p>
        </w:tc>
      </w:tr>
      <w:tr>
        <w:trPr>
          <w:cantSplit/>
        </w:trPr>
        <w:tc>
          <w:tcPr/>
          <w:p>
            <w:pPr>
              <w:pStyle w:val="Compact"/>
              <w:jc w:val="left"/>
            </w:pPr>
            <w:r>
              <w:t xml:space="preserve">2</w:t>
            </w:r>
          </w:p>
        </w:tc>
        <w:tc>
          <w:tcPr/>
          <w:p>
            <w:pPr>
              <w:pStyle w:val="Compact"/>
              <w:jc w:val="left"/>
            </w:pPr>
            <w:r>
              <w:t xml:space="preserve">IEEE Communications Surveys &amp; Tutorials</w:t>
            </w:r>
          </w:p>
        </w:tc>
        <w:tc>
          <w:tcPr/>
          <w:p>
            <w:pPr>
              <w:pStyle w:val="Compact"/>
              <w:jc w:val="left"/>
            </w:pPr>
            <w:r>
              <w:t xml:space="preserve">Journal</w:t>
            </w:r>
          </w:p>
        </w:tc>
        <w:tc>
          <w:tcPr/>
          <w:p>
            <w:pPr>
              <w:pStyle w:val="Compact"/>
              <w:jc w:val="left"/>
            </w:pPr>
            <w:r>
              <w:t xml:space="preserve">S12, S19</w:t>
            </w:r>
          </w:p>
        </w:tc>
      </w:tr>
      <w:tr>
        <w:trPr>
          <w:cantSplit/>
        </w:trPr>
        <w:tc>
          <w:tcPr/>
          <w:p>
            <w:pPr>
              <w:pStyle w:val="Compact"/>
              <w:jc w:val="left"/>
            </w:pPr>
            <w:r>
              <w:t xml:space="preserve">3</w:t>
            </w:r>
          </w:p>
        </w:tc>
        <w:tc>
          <w:tcPr/>
          <w:p>
            <w:pPr>
              <w:pStyle w:val="Compact"/>
              <w:jc w:val="left"/>
            </w:pPr>
            <w:r>
              <w:t xml:space="preserve">ACM Computing Surveys</w:t>
            </w:r>
          </w:p>
        </w:tc>
        <w:tc>
          <w:tcPr/>
          <w:p>
            <w:pPr>
              <w:pStyle w:val="Compact"/>
              <w:jc w:val="left"/>
            </w:pPr>
            <w:r>
              <w:t xml:space="preserve">Journal</w:t>
            </w:r>
          </w:p>
        </w:tc>
        <w:tc>
          <w:tcPr/>
          <w:p>
            <w:pPr>
              <w:pStyle w:val="Compact"/>
              <w:jc w:val="left"/>
            </w:pPr>
            <w:r>
              <w:t xml:space="preserve">S14</w:t>
            </w:r>
          </w:p>
        </w:tc>
      </w:tr>
      <w:tr>
        <w:trPr>
          <w:cantSplit/>
        </w:trPr>
        <w:tc>
          <w:tcPr/>
          <w:p>
            <w:pPr>
              <w:pStyle w:val="Compact"/>
              <w:jc w:val="left"/>
            </w:pPr>
            <w:r>
              <w:t xml:space="preserve">4</w:t>
            </w:r>
          </w:p>
        </w:tc>
        <w:tc>
          <w:tcPr/>
          <w:p>
            <w:pPr>
              <w:pStyle w:val="Compact"/>
              <w:jc w:val="left"/>
            </w:pPr>
            <w:r>
              <w:t xml:space="preserve">ACM Transactions on Management Information Systems</w:t>
            </w:r>
          </w:p>
        </w:tc>
        <w:tc>
          <w:tcPr/>
          <w:p>
            <w:pPr>
              <w:pStyle w:val="Compact"/>
              <w:jc w:val="left"/>
            </w:pPr>
            <w:r>
              <w:t xml:space="preserve">Journal</w:t>
            </w:r>
          </w:p>
        </w:tc>
        <w:tc>
          <w:tcPr/>
          <w:p>
            <w:pPr>
              <w:pStyle w:val="Compact"/>
              <w:jc w:val="left"/>
            </w:pPr>
            <w:r>
              <w:t xml:space="preserve">S20</w:t>
            </w:r>
          </w:p>
        </w:tc>
      </w:tr>
      <w:tr>
        <w:trPr>
          <w:cantSplit/>
        </w:trPr>
        <w:tc>
          <w:tcPr/>
          <w:p>
            <w:pPr>
              <w:pStyle w:val="Compact"/>
              <w:jc w:val="left"/>
            </w:pPr>
            <w:r>
              <w:t xml:space="preserve">5</w:t>
            </w:r>
          </w:p>
        </w:tc>
        <w:tc>
          <w:tcPr/>
          <w:p>
            <w:pPr>
              <w:pStyle w:val="Compact"/>
              <w:jc w:val="left"/>
            </w:pPr>
            <w:r>
              <w:t xml:space="preserve">IEEE Transactions on Computers</w:t>
            </w:r>
          </w:p>
        </w:tc>
        <w:tc>
          <w:tcPr/>
          <w:p>
            <w:pPr>
              <w:pStyle w:val="Compact"/>
              <w:jc w:val="left"/>
            </w:pPr>
            <w:r>
              <w:t xml:space="preserve">Journal</w:t>
            </w:r>
          </w:p>
        </w:tc>
        <w:tc>
          <w:tcPr/>
          <w:p>
            <w:pPr>
              <w:pStyle w:val="Compact"/>
              <w:jc w:val="left"/>
            </w:pPr>
            <w:r>
              <w:t xml:space="preserve">S15</w:t>
            </w:r>
          </w:p>
        </w:tc>
      </w:tr>
      <w:tr>
        <w:trPr>
          <w:cantSplit/>
        </w:trPr>
        <w:tc>
          <w:tcPr/>
          <w:p>
            <w:pPr>
              <w:pStyle w:val="Compact"/>
              <w:jc w:val="left"/>
            </w:pPr>
            <w:r>
              <w:t xml:space="preserve">6</w:t>
            </w:r>
          </w:p>
        </w:tc>
        <w:tc>
          <w:tcPr/>
          <w:p>
            <w:pPr>
              <w:pStyle w:val="Compact"/>
              <w:jc w:val="left"/>
            </w:pPr>
            <w:r>
              <w:t xml:space="preserve">IEEE Transactions on Information Forensics and Security</w:t>
            </w:r>
          </w:p>
        </w:tc>
        <w:tc>
          <w:tcPr/>
          <w:p>
            <w:pPr>
              <w:pStyle w:val="Compact"/>
              <w:jc w:val="left"/>
            </w:pPr>
            <w:r>
              <w:t xml:space="preserve">Journal</w:t>
            </w:r>
          </w:p>
        </w:tc>
        <w:tc>
          <w:tcPr/>
          <w:p>
            <w:pPr>
              <w:pStyle w:val="Compact"/>
              <w:jc w:val="left"/>
            </w:pPr>
            <w:r>
              <w:t xml:space="preserve">S21</w:t>
            </w:r>
          </w:p>
        </w:tc>
      </w:tr>
      <w:tr>
        <w:trPr>
          <w:cantSplit/>
        </w:trPr>
        <w:tc>
          <w:tcPr/>
          <w:p>
            <w:pPr>
              <w:pStyle w:val="Compact"/>
              <w:jc w:val="left"/>
            </w:pPr>
            <w:r>
              <w:t xml:space="preserve">7</w:t>
            </w:r>
          </w:p>
        </w:tc>
        <w:tc>
          <w:tcPr/>
          <w:p>
            <w:pPr>
              <w:pStyle w:val="Compact"/>
              <w:jc w:val="left"/>
            </w:pPr>
            <w:r>
              <w:t xml:space="preserve">Journal of Network and Computer Applications</w:t>
            </w:r>
          </w:p>
        </w:tc>
        <w:tc>
          <w:tcPr/>
          <w:p>
            <w:pPr>
              <w:pStyle w:val="Compact"/>
              <w:jc w:val="left"/>
            </w:pPr>
            <w:r>
              <w:t xml:space="preserve">Journal</w:t>
            </w:r>
          </w:p>
        </w:tc>
        <w:tc>
          <w:tcPr/>
          <w:p>
            <w:pPr>
              <w:pStyle w:val="Compact"/>
              <w:jc w:val="left"/>
            </w:pPr>
            <w:r>
              <w:t xml:space="preserve">S11</w:t>
            </w:r>
          </w:p>
        </w:tc>
      </w:tr>
      <w:tr>
        <w:trPr>
          <w:cantSplit/>
        </w:trPr>
        <w:tc>
          <w:tcPr/>
          <w:p>
            <w:pPr>
              <w:pStyle w:val="Compact"/>
              <w:jc w:val="left"/>
            </w:pPr>
            <w:r>
              <w:t xml:space="preserve">8</w:t>
            </w:r>
          </w:p>
        </w:tc>
        <w:tc>
          <w:tcPr/>
          <w:p>
            <w:pPr>
              <w:pStyle w:val="Compact"/>
              <w:jc w:val="left"/>
            </w:pPr>
            <w:r>
              <w:t xml:space="preserve">Journal of Systems Architecture</w:t>
            </w:r>
          </w:p>
        </w:tc>
        <w:tc>
          <w:tcPr/>
          <w:p>
            <w:pPr>
              <w:pStyle w:val="Compact"/>
              <w:jc w:val="left"/>
            </w:pPr>
            <w:r>
              <w:t xml:space="preserve">Journal</w:t>
            </w:r>
          </w:p>
        </w:tc>
        <w:tc>
          <w:tcPr/>
          <w:p>
            <w:pPr>
              <w:pStyle w:val="Compact"/>
              <w:jc w:val="left"/>
            </w:pPr>
            <w:r>
              <w:t xml:space="preserve">S29</w:t>
            </w:r>
          </w:p>
        </w:tc>
      </w:tr>
      <w:tr>
        <w:trPr>
          <w:cantSplit/>
        </w:trPr>
        <w:tc>
          <w:tcPr/>
          <w:p>
            <w:pPr>
              <w:pStyle w:val="Compact"/>
              <w:jc w:val="left"/>
            </w:pPr>
            <w:r>
              <w:t xml:space="preserve">9</w:t>
            </w:r>
          </w:p>
        </w:tc>
        <w:tc>
          <w:tcPr/>
          <w:p>
            <w:pPr>
              <w:pStyle w:val="Compact"/>
              <w:jc w:val="left"/>
            </w:pPr>
            <w:r>
              <w:t xml:space="preserve">Journal of Information Security and Applications</w:t>
            </w:r>
          </w:p>
        </w:tc>
        <w:tc>
          <w:tcPr/>
          <w:p>
            <w:pPr>
              <w:pStyle w:val="Compact"/>
              <w:jc w:val="left"/>
            </w:pPr>
            <w:r>
              <w:t xml:space="preserve">Journal</w:t>
            </w:r>
          </w:p>
        </w:tc>
        <w:tc>
          <w:tcPr/>
          <w:p>
            <w:pPr>
              <w:pStyle w:val="Compact"/>
              <w:jc w:val="left"/>
            </w:pPr>
            <w:r>
              <w:t xml:space="preserve">S16</w:t>
            </w:r>
          </w:p>
        </w:tc>
      </w:tr>
      <w:tr>
        <w:trPr>
          <w:cantSplit/>
        </w:trPr>
        <w:tc>
          <w:tcPr/>
          <w:p>
            <w:pPr>
              <w:pStyle w:val="Compact"/>
              <w:jc w:val="left"/>
            </w:pPr>
            <w:r>
              <w:t xml:space="preserve">10</w:t>
            </w:r>
          </w:p>
        </w:tc>
        <w:tc>
          <w:tcPr/>
          <w:p>
            <w:pPr>
              <w:pStyle w:val="Compact"/>
              <w:jc w:val="left"/>
            </w:pPr>
            <w:r>
              <w:t xml:space="preserve">Journal of Big Data</w:t>
            </w:r>
          </w:p>
        </w:tc>
        <w:tc>
          <w:tcPr/>
          <w:p>
            <w:pPr>
              <w:pStyle w:val="Compact"/>
              <w:jc w:val="left"/>
            </w:pPr>
            <w:r>
              <w:t xml:space="preserve">Journal</w:t>
            </w:r>
          </w:p>
        </w:tc>
        <w:tc>
          <w:tcPr/>
          <w:p>
            <w:pPr>
              <w:pStyle w:val="Compact"/>
              <w:jc w:val="left"/>
            </w:pPr>
            <w:r>
              <w:t xml:space="preserve">S26</w:t>
            </w:r>
          </w:p>
        </w:tc>
      </w:tr>
      <w:tr>
        <w:trPr>
          <w:cantSplit/>
        </w:trPr>
        <w:tc>
          <w:tcPr/>
          <w:p>
            <w:pPr>
              <w:pStyle w:val="Compact"/>
              <w:jc w:val="left"/>
            </w:pPr>
            <w:r>
              <w:t xml:space="preserve">11</w:t>
            </w:r>
          </w:p>
        </w:tc>
        <w:tc>
          <w:tcPr/>
          <w:p>
            <w:pPr>
              <w:pStyle w:val="Compact"/>
              <w:jc w:val="left"/>
            </w:pPr>
            <w:r>
              <w:t xml:space="preserve">Cluster Computing</w:t>
            </w:r>
          </w:p>
        </w:tc>
        <w:tc>
          <w:tcPr/>
          <w:p>
            <w:pPr>
              <w:pStyle w:val="Compact"/>
              <w:jc w:val="left"/>
            </w:pPr>
            <w:r>
              <w:t xml:space="preserve">Journal</w:t>
            </w:r>
          </w:p>
        </w:tc>
        <w:tc>
          <w:tcPr/>
          <w:p>
            <w:pPr>
              <w:pStyle w:val="Compact"/>
              <w:jc w:val="left"/>
            </w:pPr>
            <w:r>
              <w:t xml:space="preserve">S28</w:t>
            </w:r>
          </w:p>
        </w:tc>
      </w:tr>
      <w:tr>
        <w:trPr>
          <w:cantSplit/>
        </w:trPr>
        <w:tc>
          <w:tcPr/>
          <w:p>
            <w:pPr>
              <w:pStyle w:val="Compact"/>
              <w:jc w:val="left"/>
            </w:pPr>
            <w:r>
              <w:t xml:space="preserve">12</w:t>
            </w:r>
          </w:p>
        </w:tc>
        <w:tc>
          <w:tcPr/>
          <w:p>
            <w:pPr>
              <w:pStyle w:val="Compact"/>
              <w:jc w:val="left"/>
            </w:pPr>
            <w:r>
              <w:t xml:space="preserve">Engineering Reports</w:t>
            </w:r>
          </w:p>
        </w:tc>
        <w:tc>
          <w:tcPr/>
          <w:p>
            <w:pPr>
              <w:pStyle w:val="Compact"/>
              <w:jc w:val="left"/>
            </w:pPr>
            <w:r>
              <w:t xml:space="preserve">Journal</w:t>
            </w:r>
          </w:p>
        </w:tc>
        <w:tc>
          <w:tcPr/>
          <w:p>
            <w:pPr>
              <w:pStyle w:val="Compact"/>
              <w:jc w:val="left"/>
            </w:pPr>
            <w:r>
              <w:t xml:space="preserve">S27</w:t>
            </w:r>
          </w:p>
        </w:tc>
      </w:tr>
      <w:tr>
        <w:trPr>
          <w:cantSplit/>
        </w:trPr>
        <w:tc>
          <w:tcPr/>
          <w:p>
            <w:pPr>
              <w:pStyle w:val="Compact"/>
              <w:jc w:val="left"/>
            </w:pPr>
            <w:r>
              <w:t xml:space="preserve">13</w:t>
            </w:r>
          </w:p>
        </w:tc>
        <w:tc>
          <w:tcPr/>
          <w:p>
            <w:pPr>
              <w:pStyle w:val="Compact"/>
              <w:jc w:val="left"/>
            </w:pPr>
            <w:r>
              <w:t xml:space="preserve">International Journal of Information Management Data Insights</w:t>
            </w:r>
          </w:p>
        </w:tc>
        <w:tc>
          <w:tcPr/>
          <w:p>
            <w:pPr>
              <w:pStyle w:val="Compact"/>
              <w:jc w:val="left"/>
            </w:pPr>
            <w:r>
              <w:t xml:space="preserve">Journal</w:t>
            </w:r>
          </w:p>
        </w:tc>
        <w:tc>
          <w:tcPr/>
          <w:p>
            <w:pPr>
              <w:pStyle w:val="Compact"/>
              <w:jc w:val="left"/>
            </w:pPr>
            <w:r>
              <w:t xml:space="preserve">S23</w:t>
            </w:r>
          </w:p>
        </w:tc>
      </w:tr>
      <w:tr>
        <w:trPr>
          <w:cantSplit/>
        </w:trPr>
        <w:tc>
          <w:tcPr/>
          <w:p>
            <w:pPr>
              <w:pStyle w:val="Compact"/>
              <w:jc w:val="left"/>
            </w:pPr>
            <w:r>
              <w:t xml:space="preserve">14</w:t>
            </w:r>
          </w:p>
        </w:tc>
        <w:tc>
          <w:tcPr/>
          <w:p>
            <w:pPr>
              <w:pStyle w:val="Compact"/>
              <w:jc w:val="left"/>
            </w:pPr>
            <w:r>
              <w:t xml:space="preserve">IEEE Transactions on Network and Service Management</w:t>
            </w:r>
          </w:p>
        </w:tc>
        <w:tc>
          <w:tcPr/>
          <w:p>
            <w:pPr>
              <w:pStyle w:val="Compact"/>
              <w:jc w:val="left"/>
            </w:pPr>
            <w:r>
              <w:t xml:space="preserve">Journal</w:t>
            </w:r>
          </w:p>
        </w:tc>
        <w:tc>
          <w:tcPr/>
          <w:p>
            <w:pPr>
              <w:pStyle w:val="Compact"/>
              <w:jc w:val="left"/>
            </w:pPr>
            <w:r>
              <w:t xml:space="preserve">S24</w:t>
            </w:r>
          </w:p>
        </w:tc>
      </w:tr>
      <w:tr>
        <w:trPr>
          <w:cantSplit/>
        </w:trPr>
        <w:tc>
          <w:tcPr/>
          <w:p>
            <w:pPr>
              <w:pStyle w:val="Compact"/>
              <w:jc w:val="left"/>
            </w:pPr>
            <w:r>
              <w:t xml:space="preserve">15</w:t>
            </w:r>
          </w:p>
        </w:tc>
        <w:tc>
          <w:tcPr/>
          <w:p>
            <w:pPr>
              <w:pStyle w:val="Compact"/>
              <w:jc w:val="left"/>
            </w:pPr>
            <w:r>
              <w:t xml:space="preserve">Electronics</w:t>
            </w:r>
          </w:p>
        </w:tc>
        <w:tc>
          <w:tcPr/>
          <w:p>
            <w:pPr>
              <w:pStyle w:val="Compact"/>
              <w:jc w:val="left"/>
            </w:pPr>
            <w:r>
              <w:t xml:space="preserve">Journal</w:t>
            </w:r>
          </w:p>
        </w:tc>
        <w:tc>
          <w:tcPr/>
          <w:p>
            <w:pPr>
              <w:pStyle w:val="Compact"/>
              <w:jc w:val="left"/>
            </w:pPr>
            <w:r>
              <w:t xml:space="preserve">S3</w:t>
            </w:r>
          </w:p>
        </w:tc>
      </w:tr>
      <w:tr>
        <w:trPr>
          <w:cantSplit/>
        </w:trPr>
        <w:tc>
          <w:tcPr/>
          <w:p>
            <w:pPr>
              <w:pStyle w:val="Compact"/>
              <w:jc w:val="left"/>
            </w:pPr>
            <w:r>
              <w:t xml:space="preserve">16</w:t>
            </w:r>
          </w:p>
        </w:tc>
        <w:tc>
          <w:tcPr/>
          <w:p>
            <w:pPr>
              <w:pStyle w:val="Compact"/>
              <w:jc w:val="left"/>
            </w:pPr>
            <w:r>
              <w:t xml:space="preserve">Systems</w:t>
            </w:r>
          </w:p>
        </w:tc>
        <w:tc>
          <w:tcPr/>
          <w:p>
            <w:pPr>
              <w:pStyle w:val="Compact"/>
              <w:jc w:val="left"/>
            </w:pPr>
            <w:r>
              <w:t xml:space="preserve">Journal</w:t>
            </w:r>
          </w:p>
        </w:tc>
        <w:tc>
          <w:tcPr/>
          <w:p>
            <w:pPr>
              <w:pStyle w:val="Compact"/>
              <w:jc w:val="left"/>
            </w:pPr>
            <w:r>
              <w:t xml:space="preserve">S13</w:t>
            </w:r>
          </w:p>
        </w:tc>
      </w:tr>
      <w:tr>
        <w:trPr>
          <w:cantSplit/>
        </w:trPr>
        <w:tc>
          <w:tcPr/>
          <w:p>
            <w:pPr>
              <w:pStyle w:val="Compact"/>
              <w:jc w:val="left"/>
            </w:pPr>
            <w:r>
              <w:t xml:space="preserve">17</w:t>
            </w:r>
          </w:p>
        </w:tc>
        <w:tc>
          <w:tcPr/>
          <w:p>
            <w:pPr>
              <w:pStyle w:val="Compact"/>
              <w:jc w:val="left"/>
            </w:pPr>
            <w:r>
              <w:t xml:space="preserve">Cryptography</w:t>
            </w:r>
          </w:p>
        </w:tc>
        <w:tc>
          <w:tcPr/>
          <w:p>
            <w:pPr>
              <w:pStyle w:val="Compact"/>
              <w:jc w:val="left"/>
            </w:pPr>
            <w:r>
              <w:t xml:space="preserve">Journal</w:t>
            </w:r>
          </w:p>
        </w:tc>
        <w:tc>
          <w:tcPr/>
          <w:p>
            <w:pPr>
              <w:pStyle w:val="Compact"/>
              <w:jc w:val="left"/>
            </w:pPr>
            <w:r>
              <w:t xml:space="preserve">S22</w:t>
            </w:r>
          </w:p>
        </w:tc>
      </w:tr>
      <w:tr>
        <w:trPr>
          <w:cantSplit/>
        </w:trPr>
        <w:tc>
          <w:tcPr/>
          <w:p>
            <w:pPr>
              <w:pStyle w:val="Compact"/>
              <w:jc w:val="left"/>
            </w:pPr>
            <w:r>
              <w:t xml:space="preserve">18</w:t>
            </w:r>
          </w:p>
        </w:tc>
        <w:tc>
          <w:tcPr/>
          <w:p>
            <w:pPr>
              <w:pStyle w:val="Compact"/>
              <w:jc w:val="left"/>
            </w:pPr>
            <w:r>
              <w:t xml:space="preserve">IoT</w:t>
            </w:r>
          </w:p>
        </w:tc>
        <w:tc>
          <w:tcPr/>
          <w:p>
            <w:pPr>
              <w:pStyle w:val="Compact"/>
              <w:jc w:val="left"/>
            </w:pPr>
            <w:r>
              <w:t xml:space="preserve">Journal</w:t>
            </w:r>
          </w:p>
        </w:tc>
        <w:tc>
          <w:tcPr/>
          <w:p>
            <w:pPr>
              <w:pStyle w:val="Compact"/>
              <w:jc w:val="left"/>
            </w:pPr>
            <w:r>
              <w:t xml:space="preserve">S17</w:t>
            </w:r>
          </w:p>
        </w:tc>
      </w:tr>
      <w:tr>
        <w:trPr>
          <w:cantSplit/>
        </w:trPr>
        <w:tc>
          <w:tcPr/>
          <w:p>
            <w:pPr>
              <w:pStyle w:val="Compact"/>
              <w:jc w:val="left"/>
            </w:pPr>
            <w:r>
              <w:t xml:space="preserve">19</w:t>
            </w:r>
          </w:p>
        </w:tc>
        <w:tc>
          <w:tcPr/>
          <w:p>
            <w:pPr>
              <w:pStyle w:val="Compact"/>
              <w:jc w:val="left"/>
            </w:pPr>
            <w:r>
              <w:t xml:space="preserve">Computer Networks and Communications</w:t>
            </w:r>
          </w:p>
        </w:tc>
        <w:tc>
          <w:tcPr/>
          <w:p>
            <w:pPr>
              <w:pStyle w:val="Compact"/>
              <w:jc w:val="left"/>
            </w:pPr>
            <w:r>
              <w:t xml:space="preserve">Journal</w:t>
            </w:r>
          </w:p>
        </w:tc>
        <w:tc>
          <w:tcPr/>
          <w:p>
            <w:pPr>
              <w:pStyle w:val="Compact"/>
              <w:jc w:val="left"/>
            </w:pPr>
            <w:r>
              <w:t xml:space="preserve">S18</w:t>
            </w:r>
          </w:p>
        </w:tc>
      </w:tr>
      <w:tr>
        <w:trPr>
          <w:cantSplit/>
        </w:trPr>
        <w:tc>
          <w:tcPr/>
          <w:p>
            <w:pPr>
              <w:pStyle w:val="Compact"/>
              <w:jc w:val="left"/>
            </w:pPr>
            <w:r>
              <w:t xml:space="preserve">20</w:t>
            </w:r>
          </w:p>
        </w:tc>
        <w:tc>
          <w:tcPr/>
          <w:p>
            <w:pPr>
              <w:pStyle w:val="Compact"/>
              <w:jc w:val="left"/>
            </w:pPr>
            <w:r>
              <w:t xml:space="preserve">BMC Nursing</w:t>
            </w:r>
          </w:p>
        </w:tc>
        <w:tc>
          <w:tcPr/>
          <w:p>
            <w:pPr>
              <w:pStyle w:val="Compact"/>
              <w:jc w:val="left"/>
            </w:pPr>
            <w:r>
              <w:t xml:space="preserve">Journal</w:t>
            </w:r>
          </w:p>
        </w:tc>
        <w:tc>
          <w:tcPr/>
          <w:p>
            <w:pPr>
              <w:pStyle w:val="Compact"/>
              <w:jc w:val="left"/>
            </w:pPr>
            <w:r>
              <w:t xml:space="preserve">S1</w:t>
            </w:r>
          </w:p>
        </w:tc>
      </w:tr>
      <w:tr>
        <w:trPr>
          <w:cantSplit/>
        </w:trPr>
        <w:tc>
          <w:tcPr/>
          <w:p>
            <w:pPr>
              <w:pStyle w:val="Compact"/>
              <w:jc w:val="left"/>
            </w:pPr>
            <w:r>
              <w:t xml:space="preserve">21</w:t>
            </w:r>
          </w:p>
        </w:tc>
        <w:tc>
          <w:tcPr/>
          <w:p>
            <w:pPr>
              <w:pStyle w:val="Compact"/>
              <w:jc w:val="left"/>
            </w:pPr>
            <w:r>
              <w:t xml:space="preserve">Journal of Digital Health</w:t>
            </w:r>
          </w:p>
        </w:tc>
        <w:tc>
          <w:tcPr/>
          <w:p>
            <w:pPr>
              <w:pStyle w:val="Compact"/>
              <w:jc w:val="left"/>
            </w:pPr>
            <w:r>
              <w:t xml:space="preserve">Journal</w:t>
            </w:r>
          </w:p>
        </w:tc>
        <w:tc>
          <w:tcPr/>
          <w:p>
            <w:pPr>
              <w:pStyle w:val="Compact"/>
              <w:jc w:val="left"/>
            </w:pPr>
            <w:r>
              <w:t xml:space="preserve">S5</w:t>
            </w:r>
          </w:p>
        </w:tc>
      </w:tr>
      <w:tr>
        <w:trPr>
          <w:cantSplit/>
        </w:trPr>
        <w:tc>
          <w:tcPr/>
          <w:p>
            <w:pPr>
              <w:pStyle w:val="Compact"/>
              <w:jc w:val="left"/>
            </w:pPr>
            <w:r>
              <w:t xml:space="preserve">22</w:t>
            </w:r>
          </w:p>
        </w:tc>
        <w:tc>
          <w:tcPr/>
          <w:p>
            <w:pPr>
              <w:pStyle w:val="Compact"/>
              <w:jc w:val="left"/>
            </w:pPr>
            <w:r>
              <w:t xml:space="preserve">JMIR Medical Informatics</w:t>
            </w:r>
          </w:p>
        </w:tc>
        <w:tc>
          <w:tcPr/>
          <w:p>
            <w:pPr>
              <w:pStyle w:val="Compact"/>
              <w:jc w:val="left"/>
            </w:pPr>
            <w:r>
              <w:t xml:space="preserve">Journal</w:t>
            </w:r>
          </w:p>
        </w:tc>
        <w:tc>
          <w:tcPr/>
          <w:p>
            <w:pPr>
              <w:pStyle w:val="Compact"/>
              <w:jc w:val="left"/>
            </w:pPr>
            <w:r>
              <w:t xml:space="preserve">S6</w:t>
            </w:r>
          </w:p>
        </w:tc>
      </w:tr>
      <w:tr>
        <w:trPr>
          <w:cantSplit/>
        </w:trPr>
        <w:tc>
          <w:tcPr/>
          <w:p>
            <w:pPr>
              <w:pStyle w:val="Compact"/>
              <w:jc w:val="left"/>
            </w:pPr>
            <w:r>
              <w:t xml:space="preserve">23</w:t>
            </w:r>
          </w:p>
        </w:tc>
        <w:tc>
          <w:tcPr/>
          <w:p>
            <w:pPr>
              <w:pStyle w:val="Compact"/>
              <w:jc w:val="left"/>
            </w:pPr>
            <w:r>
              <w:t xml:space="preserve">European Journal of Health Law</w:t>
            </w:r>
          </w:p>
        </w:tc>
        <w:tc>
          <w:tcPr/>
          <w:p>
            <w:pPr>
              <w:pStyle w:val="Compact"/>
              <w:jc w:val="left"/>
            </w:pPr>
            <w:r>
              <w:t xml:space="preserve">Journal</w:t>
            </w:r>
          </w:p>
        </w:tc>
        <w:tc>
          <w:tcPr/>
          <w:p>
            <w:pPr>
              <w:pStyle w:val="Compact"/>
              <w:jc w:val="left"/>
            </w:pPr>
            <w:r>
              <w:t xml:space="preserve">S4</w:t>
            </w:r>
          </w:p>
        </w:tc>
      </w:tr>
      <w:tr>
        <w:trPr>
          <w:cantSplit/>
        </w:trPr>
        <w:tc>
          <w:tcPr/>
          <w:p>
            <w:pPr>
              <w:pStyle w:val="Compact"/>
              <w:jc w:val="left"/>
            </w:pPr>
            <w:r>
              <w:t xml:space="preserve">24</w:t>
            </w:r>
          </w:p>
        </w:tc>
        <w:tc>
          <w:tcPr/>
          <w:p>
            <w:pPr>
              <w:pStyle w:val="Compact"/>
              <w:jc w:val="left"/>
            </w:pPr>
            <w:r>
              <w:t xml:space="preserve">Journal of Medical Internet Research</w:t>
            </w:r>
          </w:p>
        </w:tc>
        <w:tc>
          <w:tcPr/>
          <w:p>
            <w:pPr>
              <w:pStyle w:val="Compact"/>
              <w:jc w:val="left"/>
            </w:pPr>
            <w:r>
              <w:t xml:space="preserve">Journal</w:t>
            </w:r>
          </w:p>
        </w:tc>
        <w:tc>
          <w:tcPr/>
          <w:p>
            <w:pPr>
              <w:pStyle w:val="Compact"/>
              <w:jc w:val="left"/>
            </w:pPr>
            <w:r>
              <w:t xml:space="preserve">S9</w:t>
            </w:r>
          </w:p>
        </w:tc>
      </w:tr>
      <w:tr>
        <w:trPr>
          <w:cantSplit/>
        </w:trPr>
        <w:tc>
          <w:tcPr/>
          <w:p>
            <w:pPr>
              <w:pStyle w:val="Compact"/>
              <w:jc w:val="left"/>
            </w:pPr>
            <w:r>
              <w:t xml:space="preserve">25</w:t>
            </w:r>
          </w:p>
        </w:tc>
        <w:tc>
          <w:tcPr/>
          <w:p>
            <w:pPr>
              <w:pStyle w:val="Compact"/>
              <w:jc w:val="left"/>
            </w:pPr>
            <w:r>
              <w:t xml:space="preserve">npj Digital Medicine</w:t>
            </w:r>
          </w:p>
        </w:tc>
        <w:tc>
          <w:tcPr/>
          <w:p>
            <w:pPr>
              <w:pStyle w:val="Compact"/>
              <w:jc w:val="left"/>
            </w:pPr>
            <w:r>
              <w:t xml:space="preserve">Journal</w:t>
            </w:r>
          </w:p>
        </w:tc>
        <w:tc>
          <w:tcPr/>
          <w:p>
            <w:pPr>
              <w:pStyle w:val="Compact"/>
              <w:jc w:val="left"/>
            </w:pPr>
            <w:r>
              <w:t xml:space="preserve">S8</w:t>
            </w:r>
          </w:p>
        </w:tc>
      </w:tr>
      <w:tr>
        <w:trPr>
          <w:cantSplit/>
        </w:trPr>
        <w:tc>
          <w:tcPr/>
          <w:p>
            <w:pPr>
              <w:pStyle w:val="Compact"/>
              <w:jc w:val="left"/>
            </w:pPr>
            <w:r>
              <w:t xml:space="preserve">26</w:t>
            </w:r>
          </w:p>
        </w:tc>
        <w:tc>
          <w:tcPr/>
          <w:p>
            <w:pPr>
              <w:pStyle w:val="Compact"/>
              <w:jc w:val="left"/>
            </w:pPr>
            <w:r>
              <w:t xml:space="preserve">Heliyon</w:t>
            </w:r>
          </w:p>
        </w:tc>
        <w:tc>
          <w:tcPr/>
          <w:p>
            <w:pPr>
              <w:pStyle w:val="Compact"/>
              <w:jc w:val="left"/>
            </w:pPr>
            <w:r>
              <w:t xml:space="preserve">Journal</w:t>
            </w:r>
          </w:p>
        </w:tc>
        <w:tc>
          <w:tcPr/>
          <w:p>
            <w:pPr>
              <w:pStyle w:val="Compact"/>
              <w:jc w:val="left"/>
            </w:pPr>
            <w:r>
              <w:t xml:space="preserve">S31</w:t>
            </w:r>
          </w:p>
        </w:tc>
      </w:tr>
      <w:tr>
        <w:trPr>
          <w:cantSplit/>
        </w:trPr>
        <w:tc>
          <w:tcPr/>
          <w:p>
            <w:pPr>
              <w:pStyle w:val="Compact"/>
              <w:jc w:val="left"/>
            </w:pPr>
            <w:r>
              <w:t xml:space="preserve">27</w:t>
            </w:r>
          </w:p>
        </w:tc>
        <w:tc>
          <w:tcPr/>
          <w:p>
            <w:pPr>
              <w:pStyle w:val="Compact"/>
              <w:jc w:val="left"/>
            </w:pPr>
            <w:r>
              <w:t xml:space="preserve">PeerJ Computer Science</w:t>
            </w:r>
          </w:p>
        </w:tc>
        <w:tc>
          <w:tcPr/>
          <w:p>
            <w:pPr>
              <w:pStyle w:val="Compact"/>
              <w:jc w:val="left"/>
            </w:pPr>
            <w:r>
              <w:t xml:space="preserve">Journal</w:t>
            </w:r>
          </w:p>
        </w:tc>
        <w:tc>
          <w:tcPr/>
          <w:p>
            <w:pPr>
              <w:pStyle w:val="Compact"/>
              <w:jc w:val="left"/>
            </w:pPr>
            <w:r>
              <w:t xml:space="preserve">S32</w:t>
            </w:r>
          </w:p>
        </w:tc>
      </w:tr>
      <w:tr>
        <w:trPr>
          <w:cantSplit/>
        </w:trPr>
        <w:tc>
          <w:tcPr/>
          <w:p>
            <w:pPr>
              <w:pStyle w:val="Compact"/>
              <w:jc w:val="left"/>
            </w:pPr>
            <w:r>
              <w:t xml:space="preserve">28</w:t>
            </w:r>
          </w:p>
        </w:tc>
        <w:tc>
          <w:tcPr/>
          <w:p>
            <w:pPr>
              <w:pStyle w:val="Compact"/>
              <w:jc w:val="left"/>
            </w:pPr>
            <w:r>
              <w:t xml:space="preserve">Wireless Networks</w:t>
            </w:r>
          </w:p>
        </w:tc>
        <w:tc>
          <w:tcPr/>
          <w:p>
            <w:pPr>
              <w:pStyle w:val="Compact"/>
              <w:jc w:val="left"/>
            </w:pPr>
            <w:r>
              <w:t xml:space="preserve">Journal</w:t>
            </w:r>
          </w:p>
        </w:tc>
        <w:tc>
          <w:tcPr/>
          <w:p>
            <w:pPr>
              <w:pStyle w:val="Compact"/>
              <w:jc w:val="left"/>
            </w:pPr>
            <w:r>
              <w:t xml:space="preserve">S25</w:t>
            </w:r>
          </w:p>
        </w:tc>
      </w:tr>
      <w:tr>
        <w:trPr>
          <w:cantSplit/>
        </w:trPr>
        <w:tc>
          <w:tcPr/>
          <w:p>
            <w:pPr>
              <w:pStyle w:val="Compact"/>
              <w:jc w:val="left"/>
            </w:pPr>
            <w:r>
              <w:t xml:space="preserve">29</w:t>
            </w:r>
          </w:p>
        </w:tc>
        <w:tc>
          <w:tcPr/>
          <w:p>
            <w:pPr>
              <w:pStyle w:val="Compact"/>
              <w:jc w:val="left"/>
            </w:pPr>
            <w:r>
              <w:t xml:space="preserve">IFIP International Conference on Distributed Applications and Interoperable Systems (DAIS)</w:t>
            </w:r>
          </w:p>
        </w:tc>
        <w:tc>
          <w:tcPr/>
          <w:p>
            <w:pPr>
              <w:pStyle w:val="Compact"/>
              <w:jc w:val="left"/>
            </w:pPr>
            <w:r>
              <w:t xml:space="preserve">Conference</w:t>
            </w:r>
          </w:p>
        </w:tc>
        <w:tc>
          <w:tcPr/>
          <w:p>
            <w:pPr>
              <w:pStyle w:val="Compact"/>
              <w:jc w:val="left"/>
            </w:pPr>
            <w:r>
              <w:t xml:space="preserve">S33</w:t>
            </w:r>
          </w:p>
        </w:tc>
      </w:tr>
    </w:tbl>
    <w:bookmarkEnd w:id="26"/>
    <w:bookmarkStart w:id="27" w:name="X87f2157b1356acc42089dadf522cb794d6b8b71"/>
    <w:p>
      <w:pPr>
        <w:pStyle w:val="Heading3"/>
      </w:pPr>
      <w:r>
        <w:t xml:space="preserve">2.3.4 Step 2: Inclusion and Exclusion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 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 records, patient consent, healthcare access control, decentralised 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 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FirstParagraph"/>
      </w:pPr>
      <w:r>
        <w:t xml:space="preserve">Consistent with exclusion criterion 6, four studies from outside the healthcare domain were retained because the mechanism they contribute transfers directly to healthcare authorisation: decentralised trust in multi-stakeholder data sharing [1],</w:t>
      </w:r>
      <w:r>
        <w:t xml:space="preserve"> </w:t>
      </w:r>
      <w:r>
        <w:rPr>
          <w:rStyle w:val="OrangeDelete"/>
        </w:rPr>
        <w:t xml:space="preserve">DID/VC-based privacy-preserving authentication [26]</w:t>
      </w:r>
      <w:r>
        <w:rPr>
          <w:rStyle w:val="OrangeFix"/>
        </w:rPr>
        <w:t xml:space="preserve">privacy-preserving authentication based on decentralised identifiers and verifiable credentials [26]</w:t>
      </w:r>
      <w:r>
        <w:t xml:space="preserve">, and decentralised identity and access control for constrained devices [17, 18]. Studies whose subject matter lies outside healthcare data sharing, consent, identity or access control were excluded at the full-text stage as scope mismatches (Figure 2.2).</w:t>
      </w:r>
      <w:r>
        <w:t xml:space="preserve"> </w:t>
      </w:r>
      <w:r>
        <w:rPr>
          <w:rStyle w:val="OrangeDelete"/>
        </w:rPr>
        <w:t xml:space="preserve">One book chapter [18] was retained under the exception to exclusion criterion 3 because it provides a foundational overview of decentralised identity.</w:t>
      </w:r>
      <w:r>
        <w:t xml:space="preserve">The 2019 policy statement on guardian and proxy access [32] and two survey studies of stakeholder attitudes and intentions towards health-data sharing [14, 16] are cited as background in Chapter 1 but were not retained in the review set, because they fall outside the publication window or do not propose, implement or evaluate an approach (inclusion criterion 3).</w:t>
      </w:r>
    </w:p>
    <w:p>
      <w:pPr>
        <w:pStyle w:val="BodyText"/>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BodyText"/>
      </w:pPr>
      <w:r>
        <w:t xml:space="preserve">The stages of evaluating and selecting the relevant papers for the SLR are summarised in Table 2.2.</w:t>
      </w:r>
    </w:p>
    <w:p>
      <w:pPr>
        <w:pStyle w:val="TableCaption"/>
      </w:pPr>
      <w:r>
        <w:t xml:space="preserve">Table 2.2: Summary of the stages of evaluating and selecting the relevant papers for the SLR</w:t>
      </w:r>
    </w:p>
    <w:tbl>
      <w:tblPr>
        <w:tblStyle w:val="Table"/>
        <w:tblW w:type="pct" w:w="5000"/>
        <w:tblLayout w:type="fixed"/>
        <w:tblLook w:firstRow="1" w:lastRow="0" w:firstColumn="0" w:lastColumn="0" w:noHBand="0" w:noVBand="0" w:val="0020"/>
        <w:tblCaption w:val="Table 2.2: Summary of the stages of evaluating and selecting the relevant papers for the SLR"/>
      </w:tblPr>
      <w:tblGrid>
        <w:gridCol w:w="664"/>
        <w:gridCol w:w="2824"/>
        <w:gridCol w:w="2824"/>
        <w:gridCol w:w="160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Method</w:t>
            </w:r>
          </w:p>
        </w:tc>
        <w:tc>
          <w:tcPr>
            <w:tcBorders>
              <w:bottom w:val="single" w:sz="8" w:space="0" w:color="000000"/>
            </w:tcBorders>
            <w:shd w:val="clear" w:color="auto" w:fill="E7E6E6"/>
            <w:vAlign w:val="center"/>
          </w:tcPr>
          <w:p>
            <w:pPr>
              <w:pStyle w:val="Compact"/>
              <w:jc w:val="left"/>
            </w:pPr>
            <w:r>
              <w:rPr>
                <w:b/>
                <w:bCs/>
              </w:rPr>
              <w:t xml:space="preserve">Assessment criterion</w:t>
            </w:r>
          </w:p>
        </w:tc>
        <w:tc>
          <w:tcPr>
            <w:tcBorders>
              <w:bottom w:val="single" w:sz="8" w:space="0" w:color="000000"/>
            </w:tcBorders>
            <w:shd w:val="clear" w:color="auto" w:fill="E7E6E6"/>
            <w:vAlign w:val="center"/>
          </w:tcPr>
          <w:p>
            <w:pPr>
              <w:pStyle w:val="Compact"/>
              <w:jc w:val="left"/>
            </w:pPr>
            <w:r>
              <w:rPr>
                <w:b/>
                <w:bCs/>
              </w:rPr>
              <w:t xml:space="preserve">Records</w:t>
            </w:r>
          </w:p>
        </w:tc>
      </w:tr>
      <w:tr>
        <w:trPr>
          <w:cantSplit/>
        </w:trPr>
        <w:tc>
          <w:tcPr/>
          <w:p>
            <w:pPr>
              <w:pStyle w:val="Compact"/>
              <w:jc w:val="left"/>
            </w:pPr>
            <w:r>
              <w:t xml:space="preserve">1st</w:t>
            </w:r>
          </w:p>
        </w:tc>
        <w:tc>
          <w:tcPr/>
          <w:p>
            <w:pPr>
              <w:pStyle w:val="Compact"/>
              <w:jc w:val="left"/>
            </w:pPr>
            <w:r>
              <w:t xml:space="preserve">Identify the related records in the seven databases</w:t>
            </w:r>
          </w:p>
        </w:tc>
        <w:tc>
          <w:tcPr/>
          <w:p>
            <w:pPr>
              <w:pStyle w:val="Compact"/>
              <w:jc w:val="left"/>
            </w:pPr>
            <w:r>
              <w:t xml:space="preserve">Search string of Figure 2.1; publication year 2022–2026; English</w:t>
            </w:r>
          </w:p>
        </w:tc>
        <w:tc>
          <w:tcPr/>
          <w:p>
            <w:pPr>
              <w:pStyle w:val="Compact"/>
              <w:jc w:val="left"/>
            </w:pPr>
            <w:r>
              <w:t xml:space="preserve">125 identified</w:t>
            </w:r>
          </w:p>
        </w:tc>
      </w:tr>
      <w:tr>
        <w:trPr>
          <w:cantSplit/>
        </w:trPr>
        <w:tc>
          <w:tcPr/>
          <w:p>
            <w:pPr>
              <w:pStyle w:val="Compact"/>
              <w:jc w:val="left"/>
            </w:pPr>
            <w:r>
              <w:t xml:space="preserve">2nd</w:t>
            </w:r>
          </w:p>
        </w:tc>
        <w:tc>
          <w:tcPr/>
          <w:p>
            <w:pPr>
              <w:pStyle w:val="Compact"/>
              <w:jc w:val="left"/>
            </w:pPr>
            <w:r>
              <w:t xml:space="preserve">Remove duplicates and records flagged by automation tools</w:t>
            </w:r>
          </w:p>
        </w:tc>
        <w:tc>
          <w:tcPr/>
          <w:p>
            <w:pPr>
              <w:pStyle w:val="Compact"/>
              <w:jc w:val="left"/>
            </w:pPr>
            <w:r>
              <w:t xml:space="preserve">Same DOI, title and authors; automation tools mark the record ineligible</w:t>
            </w:r>
          </w:p>
        </w:tc>
        <w:tc>
          <w:tcPr/>
          <w:p>
            <w:pPr>
              <w:pStyle w:val="Compact"/>
              <w:jc w:val="left"/>
            </w:pPr>
            <w:r>
              <w:t xml:space="preserve">42 removed; 83 screened</w:t>
            </w:r>
          </w:p>
        </w:tc>
      </w:tr>
      <w:tr>
        <w:trPr>
          <w:cantSplit/>
        </w:trPr>
        <w:tc>
          <w:tcPr/>
          <w:p>
            <w:pPr>
              <w:pStyle w:val="Compact"/>
              <w:jc w:val="left"/>
            </w:pPr>
            <w:r>
              <w:t xml:space="preserve">3rd</w:t>
            </w:r>
          </w:p>
        </w:tc>
        <w:tc>
          <w:tcPr/>
          <w:p>
            <w:pPr>
              <w:pStyle w:val="Compact"/>
              <w:jc w:val="left"/>
            </w:pPr>
            <w:r>
              <w:t xml:space="preserve">Screen titles and abstracts</w:t>
            </w:r>
          </w:p>
        </w:tc>
        <w:tc>
          <w:tcPr/>
          <w:p>
            <w:pPr>
              <w:pStyle w:val="Compact"/>
              <w:jc w:val="left"/>
            </w:pPr>
            <w:r>
              <w:t xml:space="preserve">Exclude if unrelated to healthcare data sharing, consent, identity or access control</w:t>
            </w:r>
          </w:p>
        </w:tc>
        <w:tc>
          <w:tcPr/>
          <w:p>
            <w:pPr>
              <w:pStyle w:val="Compact"/>
              <w:jc w:val="left"/>
            </w:pPr>
            <w:r>
              <w:t xml:space="preserve">40 excluded; 43 sought</w:t>
            </w:r>
          </w:p>
        </w:tc>
      </w:tr>
      <w:tr>
        <w:trPr>
          <w:cantSplit/>
        </w:trPr>
        <w:tc>
          <w:tcPr/>
          <w:p>
            <w:pPr>
              <w:pStyle w:val="Compact"/>
              <w:jc w:val="left"/>
            </w:pPr>
            <w:r>
              <w:t xml:space="preserve">4th</w:t>
            </w:r>
          </w:p>
        </w:tc>
        <w:tc>
          <w:tcPr/>
          <w:p>
            <w:pPr>
              <w:pStyle w:val="Compact"/>
              <w:jc w:val="left"/>
            </w:pPr>
            <w:r>
              <w:t xml:space="preserve">Retrieve the full text</w:t>
            </w:r>
          </w:p>
        </w:tc>
        <w:tc>
          <w:tcPr/>
          <w:p>
            <w:pPr>
              <w:pStyle w:val="Compact"/>
              <w:jc w:val="left"/>
            </w:pPr>
            <w:r>
              <w:t xml:space="preserve">Exclude if the full text is inaccessible</w:t>
            </w:r>
          </w:p>
        </w:tc>
        <w:tc>
          <w:tcPr/>
          <w:p>
            <w:pPr>
              <w:pStyle w:val="Compact"/>
              <w:jc w:val="left"/>
            </w:pPr>
            <w:r>
              <w:t xml:space="preserve">3 not retrieved; 40 assessed</w:t>
            </w:r>
          </w:p>
        </w:tc>
      </w:tr>
      <w:tr>
        <w:trPr>
          <w:cantSplit/>
        </w:trPr>
        <w:tc>
          <w:tcPr/>
          <w:p>
            <w:pPr>
              <w:pStyle w:val="Compact"/>
              <w:jc w:val="left"/>
            </w:pPr>
            <w:r>
              <w:t xml:space="preserve">5th</w:t>
            </w:r>
          </w:p>
        </w:tc>
        <w:tc>
          <w:tcPr/>
          <w:p>
            <w:pPr>
              <w:pStyle w:val="Compact"/>
              <w:jc w:val="left"/>
            </w:pPr>
            <w:r>
              <w:t xml:space="preserve">Assess the full text against the inclusion and exclusion criteria and the quality criteria QA1–QA5</w:t>
            </w:r>
          </w:p>
        </w:tc>
        <w:tc>
          <w:tcPr/>
          <w:p>
            <w:pPr>
              <w:pStyle w:val="Compact"/>
              <w:jc w:val="left"/>
            </w:pPr>
            <w:r>
              <w:t xml:space="preserve">Exclude if technical or architectural detail is insufficient (score below 2.5), or if the subject matter is outside the review scope</w:t>
            </w:r>
          </w:p>
        </w:tc>
        <w:tc>
          <w:tcPr/>
          <w:p>
            <w:pPr>
              <w:pStyle w:val="Compact"/>
              <w:jc w:val="left"/>
            </w:pPr>
            <w:r>
              <w:t xml:space="preserve">7 excluded; 33 included</w:t>
            </w:r>
          </w:p>
        </w:tc>
      </w:tr>
    </w:tbl>
    <w:bookmarkEnd w:id="27"/>
    <w:bookmarkStart w:id="31" w:name="Xd7a82ff4baa7a69a0bd33db9f9a267ef3c07ad5"/>
    <w:p>
      <w:pPr>
        <w:pStyle w:val="Heading3"/>
      </w:pPr>
      <w:r>
        <w:t xml:space="preserve">2.3.5 Step 3: Screening and Quality Evaluation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authorisation,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CaptionedFigure"/>
      </w:pPr>
      <w:r>
        <w:drawing>
          <wp:inline>
            <wp:extent cx="5486400" cy="2932144"/>
            <wp:effectExtent b="0" l="0" r="0" t="0"/>
            <wp:docPr descr="Figure 2.2: PRISMA study selection summary" title="" id="29" name="Picture"/>
            <a:graphic>
              <a:graphicData uri="http://schemas.openxmlformats.org/drawingml/2006/picture">
                <pic:pic>
                  <pic:nvPicPr>
                    <pic:cNvPr descr="media_col/fig02.png" id="30" name="Picture"/>
                    <pic:cNvPicPr>
                      <a:picLocks noChangeArrowheads="1" noChangeAspect="1"/>
                    </pic:cNvPicPr>
                  </pic:nvPicPr>
                  <pic:blipFill>
                    <a:blip r:embed="rId28"/>
                    <a:stretch>
                      <a:fillRect/>
                    </a:stretch>
                  </pic:blipFill>
                  <pic:spPr bwMode="auto">
                    <a:xfrm>
                      <a:off x="0" y="0"/>
                      <a:ext cx="5486400" cy="2932144"/>
                    </a:xfrm>
                    <a:prstGeom prst="rect">
                      <a:avLst/>
                    </a:prstGeom>
                    <a:noFill/>
                    <a:ln w="9525">
                      <a:noFill/>
                      <a:headEnd/>
                      <a:tailEnd/>
                    </a:ln>
                  </pic:spPr>
                </pic:pic>
              </a:graphicData>
            </a:graphic>
          </wp:inline>
        </w:drawing>
      </w:r>
    </w:p>
    <w:p>
      <w:pPr>
        <w:pStyle w:val="ImageCaption"/>
      </w:pPr>
      <w:r>
        <w:t xml:space="preserve">Figure 2.2: PRISMA study selection summary</w:t>
      </w:r>
    </w:p>
    <w:p>
      <w:pPr>
        <w:pStyle w:val="BodyText"/>
      </w:pPr>
      <w:r>
        <w:t xml:space="preserve">Figure 2.2 presents the PRISMA flow diagram for this review, prepared following PRISMA 2020 [40], which summarises the identification, screening, eligibility, and inclusion stages of the SLR. The final number of included studies (n = 33) was derived after completing the screening, eligibility and quality assessment across the identified literature base.</w:t>
      </w:r>
    </w:p>
    <w:p>
      <w:pPr>
        <w:pStyle w:val="BodyText"/>
      </w:pPr>
      <w:r>
        <w:rPr>
          <w:b/>
          <w:bCs/>
        </w:rPr>
        <w:t xml:space="preserve">Quality evaluation.</w:t>
      </w:r>
    </w:p>
    <w:p>
      <w:pPr>
        <w:pStyle w:val="BodyText"/>
      </w:pPr>
      <w:r>
        <w:t xml:space="preserve">Each full-text study assessed for eligibility (n = 40) was appraised against five quality criteria: QA1 – Are the aims and research questions clearly stated? QA2 – Is the proposed approach (architecture, protocol or model) described in sufficient technical detail? QA3 – Does the study explicitly address consent, identity or access control? QA4 – Is the approach evaluated (prototype, experiment, formal analysis or case study)? QA5 – Are limitations discussed? Each criterion was scored 1 (yes), 0.5 (partly) or 0 (no), giving a total out of 5, and studies scoring below 2.5 were excluded for insufficient technical or architectural detail (n = 3; Figure 2.2). The 125 records identified comprised IEEE Xplore (n = 31), ACM Digital Library (n = 14), ScienceDirect (n = 23), SpringerLink (n = 18), PubMed (n = 12), Scopus (n = 17) and Web of Science (n = 10).</w:t>
      </w:r>
    </w:p>
    <w:bookmarkEnd w:id="31"/>
    <w:bookmarkStart w:id="32" w:name="X25280fe26ef60600cfdb60dc4ea4fc7d14be763"/>
    <w:p>
      <w:pPr>
        <w:pStyle w:val="Heading3"/>
      </w:pPr>
      <w:r>
        <w:t xml:space="preserve">2.3.6 Step 4: Data Extraction and Categorisation of the Shortlisted Papers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 organised into thematic categories corresponding to the research questions. These categories included consent specification and management, decentralised identity and credential verification, authorisation 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authorisation, auditable access records, and mechanisms for preserving patient autonomy.</w:t>
      </w:r>
    </w:p>
    <w:p>
      <w:pPr>
        <w:pStyle w:val="BodyText"/>
      </w:pPr>
      <w:r>
        <w:t xml:space="preserve">The final review set was used to establish the state of the art in</w:t>
      </w:r>
      <w:r>
        <w:t xml:space="preserve"> </w:t>
      </w:r>
      <w:r>
        <w:rPr>
          <w:rStyle w:val="OrangeDelete"/>
        </w:rPr>
        <w:t xml:space="preserve">multi-party-trust</w:t>
      </w:r>
      <w:r>
        <w:rPr>
          <w:rStyle w:val="OrangeFix"/>
        </w:rPr>
        <w:t xml:space="preserve">multi-party trust</w:t>
      </w:r>
      <w:r>
        <w:t xml:space="preserve"> </w:t>
      </w:r>
      <w:r>
        <w:t xml:space="preserve">healthcare data sharing and consent management. The findings were subsequently used to identify research gaps and to inform the design requirements of the proposed framework.</w:t>
      </w:r>
    </w:p>
    <w:p>
      <w:pPr>
        <w:pStyle w:val="BodyText"/>
      </w:pPr>
      <w:r>
        <w:t xml:space="preserve">Each shortlisted paper was analysed according to its scope, topic area, authors, publication venue and the summary of its contribution and limitations. On the basis of this analysis, the papers were categorised into one of six broad areas: healthcare consent and privacy governance, blockchain-based healthcare data governance, decentralised identity and verifiable credentials, multi-party and decentralised governance, policy-based and healthcare access control, and Trusted Computing and secure execution. Table 2.3 lists the 33 included studies with their identifiers S1–S33, which are used throughout the remainder of the chapter. The papers in each area are summarised in the next section and their issues and limitations with respect to the key requirements of Section 2.2 are discussed.</w:t>
      </w:r>
    </w:p>
    <w:p>
      <w:pPr>
        <w:pStyle w:val="TableCaption"/>
      </w:pPr>
      <w:r>
        <w:t xml:space="preserve">Table 2.3: Listing of the papers identified after shortlisting in the SLR process</w:t>
      </w:r>
    </w:p>
    <w:tbl>
      <w:tblPr>
        <w:tblStyle w:val="Table"/>
        <w:tblW w:type="pct" w:w="5000"/>
        <w:tblLayout w:type="fixed"/>
        <w:tblLook w:firstRow="1" w:lastRow="0" w:firstColumn="0" w:lastColumn="0" w:noHBand="0" w:noVBand="0" w:val="0020"/>
        <w:tblCaption w:val="Table 2.3: Listing of the papers identified after shortlisting in the SLR process"/>
      </w:tblPr>
      <w:tblGrid>
        <w:gridCol w:w="642"/>
        <w:gridCol w:w="1872"/>
        <w:gridCol w:w="2729"/>
        <w:gridCol w:w="267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Author(s), year</w:t>
            </w:r>
          </w:p>
        </w:tc>
        <w:tc>
          <w:tcPr>
            <w:tcBorders>
              <w:bottom w:val="single" w:sz="8" w:space="0" w:color="000000"/>
            </w:tcBorders>
            <w:shd w:val="clear" w:color="auto" w:fill="E7E6E6"/>
            <w:vAlign w:val="center"/>
          </w:tcPr>
          <w:p>
            <w:pPr>
              <w:pStyle w:val="Compact"/>
              <w:jc w:val="left"/>
            </w:pPr>
            <w:r>
              <w:rPr>
                <w:b/>
                <w:bCs/>
              </w:rPr>
              <w:t xml:space="preserve">Topic</w:t>
            </w:r>
          </w:p>
        </w:tc>
        <w:tc>
          <w:tcPr>
            <w:tcBorders>
              <w:bottom w:val="single" w:sz="8" w:space="0" w:color="000000"/>
            </w:tcBorders>
            <w:shd w:val="clear" w:color="auto" w:fill="E7E6E6"/>
            <w:vAlign w:val="center"/>
          </w:tcPr>
          <w:p>
            <w:pPr>
              <w:pStyle w:val="Compact"/>
              <w:jc w:val="left"/>
            </w:pPr>
            <w:r>
              <w:rPr>
                <w:b/>
                <w:bCs/>
              </w:rPr>
              <w:t xml:space="preserve">Category</w:t>
            </w:r>
          </w:p>
        </w:tc>
      </w:tr>
      <w:tr>
        <w:trPr>
          <w:cantSplit/>
        </w:trPr>
        <w:tc>
          <w:tcPr/>
          <w:p>
            <w:pPr>
              <w:pStyle w:val="Compact"/>
              <w:jc w:val="left"/>
            </w:pPr>
            <w:r>
              <w:t xml:space="preserve">S1</w:t>
            </w:r>
          </w:p>
        </w:tc>
        <w:tc>
          <w:tcPr/>
          <w:p>
            <w:pPr>
              <w:pStyle w:val="Compact"/>
              <w:jc w:val="left"/>
            </w:pPr>
            <w:r>
              <w:t xml:space="preserve">Ibrahim et al., 2024 [11]</w:t>
            </w:r>
          </w:p>
        </w:tc>
        <w:tc>
          <w:tcPr/>
          <w:p>
            <w:pPr>
              <w:pStyle w:val="Compact"/>
              <w:jc w:val="left"/>
            </w:pPr>
            <w:r>
              <w:t xml:space="preserve">Balancing confidentiality and care coordination: challenges in patient privacy</w:t>
            </w:r>
          </w:p>
        </w:tc>
        <w:tc>
          <w:tcPr/>
          <w:p>
            <w:pPr>
              <w:pStyle w:val="Compact"/>
              <w:jc w:val="left"/>
            </w:pPr>
            <w:r>
              <w:t xml:space="preserve">Healthcare consent and privacy governance</w:t>
            </w:r>
          </w:p>
        </w:tc>
      </w:tr>
      <w:tr>
        <w:trPr>
          <w:cantSplit/>
        </w:trPr>
        <w:tc>
          <w:tcPr/>
          <w:p>
            <w:pPr>
              <w:pStyle w:val="Compact"/>
              <w:jc w:val="left"/>
            </w:pPr>
            <w:r>
              <w:t xml:space="preserve">S2</w:t>
            </w:r>
          </w:p>
        </w:tc>
        <w:tc>
          <w:tcPr/>
          <w:p>
            <w:pPr>
              <w:pStyle w:val="Compact"/>
              <w:jc w:val="left"/>
            </w:pPr>
            <w:r>
              <w:t xml:space="preserve">Jesus and Pandit, 2022 [12]</w:t>
            </w:r>
          </w:p>
        </w:tc>
        <w:tc>
          <w:tcPr/>
          <w:p>
            <w:pPr>
              <w:pStyle w:val="Compact"/>
              <w:jc w:val="left"/>
            </w:pPr>
            <w:r>
              <w:t xml:space="preserve">Consent receipts for a usable and auditable web of personal data</w:t>
            </w:r>
          </w:p>
        </w:tc>
        <w:tc>
          <w:tcPr/>
          <w:p>
            <w:pPr>
              <w:pStyle w:val="Compact"/>
              <w:jc w:val="left"/>
            </w:pPr>
            <w:r>
              <w:t xml:space="preserve">Healthcare consent and privacy governance</w:t>
            </w:r>
          </w:p>
        </w:tc>
      </w:tr>
      <w:tr>
        <w:trPr>
          <w:cantSplit/>
        </w:trPr>
        <w:tc>
          <w:tcPr/>
          <w:p>
            <w:pPr>
              <w:pStyle w:val="Compact"/>
              <w:jc w:val="left"/>
            </w:pPr>
            <w:r>
              <w:t xml:space="preserve">S3</w:t>
            </w:r>
          </w:p>
        </w:tc>
        <w:tc>
          <w:tcPr/>
          <w:p>
            <w:pPr>
              <w:pStyle w:val="Compact"/>
              <w:jc w:val="left"/>
            </w:pPr>
            <w:r>
              <w:t xml:space="preserve">Khalid et al., 2023 [15]</w:t>
            </w:r>
          </w:p>
        </w:tc>
        <w:tc>
          <w:tcPr/>
          <w:p>
            <w:pPr>
              <w:pStyle w:val="Compact"/>
              <w:jc w:val="left"/>
            </w:pPr>
            <w:r>
              <w:t xml:space="preserve">Privacy-first paradigm for dynamic consent management systems</w:t>
            </w:r>
          </w:p>
        </w:tc>
        <w:tc>
          <w:tcPr/>
          <w:p>
            <w:pPr>
              <w:pStyle w:val="Compact"/>
              <w:jc w:val="left"/>
            </w:pPr>
            <w:r>
              <w:t xml:space="preserve">Healthcare consent and privacy governance</w:t>
            </w:r>
          </w:p>
        </w:tc>
      </w:tr>
      <w:tr>
        <w:trPr>
          <w:cantSplit/>
        </w:trPr>
        <w:tc>
          <w:tcPr/>
          <w:p>
            <w:pPr>
              <w:pStyle w:val="Compact"/>
              <w:jc w:val="left"/>
            </w:pPr>
            <w:r>
              <w:t xml:space="preserve">S4</w:t>
            </w:r>
          </w:p>
        </w:tc>
        <w:tc>
          <w:tcPr/>
          <w:p>
            <w:pPr>
              <w:pStyle w:val="Compact"/>
              <w:jc w:val="left"/>
            </w:pPr>
            <w:r>
              <w:t xml:space="preserve">McClelland and Harper, 2022 [21]</w:t>
            </w:r>
          </w:p>
        </w:tc>
        <w:tc>
          <w:tcPr/>
          <w:p>
            <w:pPr>
              <w:pStyle w:val="Compact"/>
              <w:jc w:val="left"/>
            </w:pPr>
            <w:r>
              <w:t xml:space="preserve">Information privacy in healthcare – the vital role of informed consent</w:t>
            </w:r>
          </w:p>
        </w:tc>
        <w:tc>
          <w:tcPr/>
          <w:p>
            <w:pPr>
              <w:pStyle w:val="Compact"/>
              <w:jc w:val="left"/>
            </w:pPr>
            <w:r>
              <w:t xml:space="preserve">Healthcare consent and privacy governance</w:t>
            </w:r>
          </w:p>
        </w:tc>
      </w:tr>
      <w:tr>
        <w:trPr>
          <w:cantSplit/>
        </w:trPr>
        <w:tc>
          <w:tcPr/>
          <w:p>
            <w:pPr>
              <w:pStyle w:val="Compact"/>
              <w:jc w:val="left"/>
            </w:pPr>
            <w:r>
              <w:t xml:space="preserve">S5</w:t>
            </w:r>
          </w:p>
        </w:tc>
        <w:tc>
          <w:tcPr/>
          <w:p>
            <w:pPr>
              <w:pStyle w:val="Compact"/>
              <w:jc w:val="left"/>
            </w:pPr>
            <w:r>
              <w:t xml:space="preserve">Narkhede et al., 2025 [23]</w:t>
            </w:r>
          </w:p>
        </w:tc>
        <w:tc>
          <w:tcPr/>
          <w:p>
            <w:pPr>
              <w:pStyle w:val="Compact"/>
              <w:jc w:val="left"/>
            </w:pPr>
            <w:r>
              <w:t xml:space="preserve">Enhancing patient autonomy in data ownership: privacy models and consent frameworks</w:t>
            </w:r>
          </w:p>
        </w:tc>
        <w:tc>
          <w:tcPr/>
          <w:p>
            <w:pPr>
              <w:pStyle w:val="Compact"/>
              <w:jc w:val="left"/>
            </w:pPr>
            <w:r>
              <w:t xml:space="preserve">Healthcare consent and privacy governance</w:t>
            </w:r>
          </w:p>
        </w:tc>
      </w:tr>
      <w:tr>
        <w:trPr>
          <w:cantSplit/>
        </w:trPr>
        <w:tc>
          <w:tcPr/>
          <w:p>
            <w:pPr>
              <w:pStyle w:val="Compact"/>
              <w:jc w:val="left"/>
            </w:pPr>
            <w:r>
              <w:t xml:space="preserve">S6</w:t>
            </w:r>
          </w:p>
        </w:tc>
        <w:tc>
          <w:tcPr/>
          <w:p>
            <w:pPr>
              <w:pStyle w:val="Compact"/>
              <w:jc w:val="left"/>
            </w:pPr>
            <w:r>
              <w:t xml:space="preserve">Phuyal et al., 2026 [27]</w:t>
            </w:r>
          </w:p>
        </w:tc>
        <w:tc>
          <w:tcPr/>
          <w:p>
            <w:pPr>
              <w:pStyle w:val="Compact"/>
              <w:jc w:val="left"/>
            </w:pPr>
            <w:r>
              <w:t xml:space="preserve">Blockchain-based dynamic and revocable consent for secondary health data use: systematic review</w:t>
            </w:r>
          </w:p>
        </w:tc>
        <w:tc>
          <w:tcPr/>
          <w:p>
            <w:pPr>
              <w:pStyle w:val="Compact"/>
              <w:jc w:val="left"/>
            </w:pPr>
            <w:r>
              <w:t xml:space="preserve">Healthcare consent and privacy governance</w:t>
            </w:r>
          </w:p>
        </w:tc>
      </w:tr>
      <w:tr>
        <w:trPr>
          <w:cantSplit/>
        </w:trPr>
        <w:tc>
          <w:tcPr/>
          <w:p>
            <w:pPr>
              <w:pStyle w:val="Compact"/>
              <w:jc w:val="left"/>
            </w:pPr>
            <w:r>
              <w:t xml:space="preserve">S7</w:t>
            </w:r>
          </w:p>
        </w:tc>
        <w:tc>
          <w:tcPr/>
          <w:p>
            <w:pPr>
              <w:pStyle w:val="Compact"/>
              <w:jc w:val="left"/>
            </w:pPr>
            <w:r>
              <w:t xml:space="preserve">Román et al., 2023 [28]</w:t>
            </w:r>
          </w:p>
        </w:tc>
        <w:tc>
          <w:tcPr/>
          <w:p>
            <w:pPr>
              <w:pStyle w:val="Compact"/>
              <w:jc w:val="left"/>
            </w:pPr>
            <w:r>
              <w:t xml:space="preserve">Blockchain-based service-oriented architecture for consent management, access control, and auditing</w:t>
            </w:r>
          </w:p>
        </w:tc>
        <w:tc>
          <w:tcPr/>
          <w:p>
            <w:pPr>
              <w:pStyle w:val="Compact"/>
              <w:jc w:val="left"/>
            </w:pPr>
            <w:r>
              <w:t xml:space="preserve">Healthcare consent and privacy governance</w:t>
            </w:r>
          </w:p>
        </w:tc>
      </w:tr>
      <w:tr>
        <w:trPr>
          <w:cantSplit/>
        </w:trPr>
        <w:tc>
          <w:tcPr/>
          <w:p>
            <w:pPr>
              <w:pStyle w:val="Compact"/>
              <w:jc w:val="left"/>
            </w:pPr>
            <w:r>
              <w:t xml:space="preserve">S8</w:t>
            </w:r>
          </w:p>
        </w:tc>
        <w:tc>
          <w:tcPr/>
          <w:p>
            <w:pPr>
              <w:pStyle w:val="Compact"/>
              <w:jc w:val="left"/>
            </w:pPr>
            <w:r>
              <w:t xml:space="preserve">Welzel et al., 2025 [33]</w:t>
            </w:r>
          </w:p>
        </w:tc>
        <w:tc>
          <w:tcPr/>
          <w:p>
            <w:pPr>
              <w:pStyle w:val="Compact"/>
              <w:jc w:val="left"/>
            </w:pPr>
            <w:r>
              <w:t xml:space="preserve">Enabling secure and self-determined health data sharing and consent management</w:t>
            </w:r>
          </w:p>
        </w:tc>
        <w:tc>
          <w:tcPr/>
          <w:p>
            <w:pPr>
              <w:pStyle w:val="Compact"/>
              <w:jc w:val="left"/>
            </w:pPr>
            <w:r>
              <w:t xml:space="preserve">Healthcare consent and privacy governance</w:t>
            </w:r>
          </w:p>
        </w:tc>
      </w:tr>
      <w:tr>
        <w:trPr>
          <w:cantSplit/>
        </w:trPr>
        <w:tc>
          <w:tcPr/>
          <w:p>
            <w:pPr>
              <w:pStyle w:val="Compact"/>
              <w:jc w:val="left"/>
            </w:pPr>
            <w:r>
              <w:t xml:space="preserve">S9</w:t>
            </w:r>
          </w:p>
        </w:tc>
        <w:tc>
          <w:tcPr/>
          <w:p>
            <w:pPr>
              <w:pStyle w:val="Compact"/>
              <w:jc w:val="left"/>
            </w:pPr>
            <w:r>
              <w:t xml:space="preserve">Hagström et al., 2022 [10]</w:t>
            </w:r>
          </w:p>
        </w:tc>
        <w:tc>
          <w:tcPr/>
          <w:p>
            <w:pPr>
              <w:pStyle w:val="Compact"/>
              <w:jc w:val="left"/>
            </w:pPr>
            <w:r>
              <w:t xml:space="preserve">Web-based access to paediatric electronic health records for children, adolescents and parents: scoping review</w:t>
            </w:r>
          </w:p>
        </w:tc>
        <w:tc>
          <w:tcPr/>
          <w:p>
            <w:pPr>
              <w:pStyle w:val="Compact"/>
              <w:jc w:val="left"/>
            </w:pPr>
            <w:r>
              <w:t xml:space="preserve">Healthcare consent and privacy governance</w:t>
            </w:r>
          </w:p>
        </w:tc>
      </w:tr>
      <w:tr>
        <w:trPr>
          <w:cantSplit/>
        </w:trPr>
        <w:tc>
          <w:tcPr/>
          <w:p>
            <w:pPr>
              <w:pStyle w:val="Compact"/>
              <w:jc w:val="left"/>
            </w:pPr>
            <w:r>
              <w:t xml:space="preserve">S10</w:t>
            </w:r>
          </w:p>
        </w:tc>
        <w:tc>
          <w:tcPr/>
          <w:p>
            <w:pPr>
              <w:pStyle w:val="Compact"/>
              <w:jc w:val="left"/>
            </w:pPr>
            <w:r>
              <w:t xml:space="preserve">Al Mamun et al., 2022 [2]</w:t>
            </w:r>
          </w:p>
        </w:tc>
        <w:tc>
          <w:tcPr/>
          <w:p>
            <w:pPr>
              <w:pStyle w:val="Compact"/>
              <w:jc w:val="left"/>
            </w:pPr>
            <w:r>
              <w:t xml:space="preserve">Blockchain-based electronic health records management: a comprehensive review</w:t>
            </w:r>
          </w:p>
        </w:tc>
        <w:tc>
          <w:tcPr/>
          <w:p>
            <w:pPr>
              <w:pStyle w:val="Compact"/>
              <w:jc w:val="left"/>
            </w:pPr>
            <w:r>
              <w:t xml:space="preserve">Blockchain-based healthcare data governance</w:t>
            </w:r>
          </w:p>
        </w:tc>
      </w:tr>
      <w:tr>
        <w:trPr>
          <w:cantSplit/>
        </w:trPr>
        <w:tc>
          <w:tcPr/>
          <w:p>
            <w:pPr>
              <w:pStyle w:val="Compact"/>
              <w:jc w:val="left"/>
            </w:pPr>
            <w:r>
              <w:t xml:space="preserve">S11</w:t>
            </w:r>
          </w:p>
        </w:tc>
        <w:tc>
          <w:tcPr/>
          <w:p>
            <w:pPr>
              <w:pStyle w:val="Compact"/>
              <w:jc w:val="left"/>
            </w:pPr>
            <w:r>
              <w:t xml:space="preserve">Andrew et al., 2023 [3]</w:t>
            </w:r>
          </w:p>
        </w:tc>
        <w:tc>
          <w:tcPr/>
          <w:p>
            <w:pPr>
              <w:pStyle w:val="Compact"/>
              <w:jc w:val="left"/>
            </w:pPr>
            <w:r>
              <w:t xml:space="preserve">Blockchain for healthcare systems: architecture, security challenges, trends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S12</w:t>
            </w:r>
          </w:p>
        </w:tc>
        <w:tc>
          <w:tcPr/>
          <w:p>
            <w:pPr>
              <w:pStyle w:val="Compact"/>
              <w:jc w:val="left"/>
            </w:pPr>
            <w:r>
              <w:t xml:space="preserve">Arbabi et al., 2023 [4]</w:t>
            </w:r>
          </w:p>
        </w:tc>
        <w:tc>
          <w:tcPr/>
          <w:p>
            <w:pPr>
              <w:pStyle w:val="Compact"/>
              <w:jc w:val="left"/>
            </w:pPr>
            <w:r>
              <w:t xml:space="preserve">A survey on blockchain for healthcare: challenges, benefits,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S13</w:t>
            </w:r>
          </w:p>
        </w:tc>
        <w:tc>
          <w:tcPr/>
          <w:p>
            <w:pPr>
              <w:pStyle w:val="Compact"/>
              <w:jc w:val="left"/>
            </w:pPr>
            <w:r>
              <w:t xml:space="preserve">Ghosh et al., 2023 [9]</w:t>
            </w:r>
          </w:p>
        </w:tc>
        <w:tc>
          <w:tcPr/>
          <w:p>
            <w:pPr>
              <w:pStyle w:val="Compact"/>
              <w:jc w:val="left"/>
            </w:pPr>
            <w:r>
              <w:t xml:space="preserve">Blockchain application in healthcare systems: a review</w:t>
            </w:r>
          </w:p>
        </w:tc>
        <w:tc>
          <w:tcPr/>
          <w:p>
            <w:pPr>
              <w:pStyle w:val="Compact"/>
              <w:jc w:val="left"/>
            </w:pPr>
            <w:r>
              <w:t xml:space="preserve">Blockchain-based healthcare data governance</w:t>
            </w:r>
          </w:p>
        </w:tc>
      </w:tr>
      <w:tr>
        <w:trPr>
          <w:cantSplit/>
        </w:trPr>
        <w:tc>
          <w:tcPr/>
          <w:p>
            <w:pPr>
              <w:pStyle w:val="Compact"/>
              <w:jc w:val="left"/>
            </w:pPr>
            <w:r>
              <w:t xml:space="preserve">S14</w:t>
            </w:r>
          </w:p>
        </w:tc>
        <w:tc>
          <w:tcPr/>
          <w:p>
            <w:pPr>
              <w:pStyle w:val="Compact"/>
              <w:jc w:val="left"/>
            </w:pPr>
            <w:r>
              <w:t xml:space="preserve">Nguyen et al., 2025 [25]</w:t>
            </w:r>
          </w:p>
        </w:tc>
        <w:tc>
          <w:tcPr/>
          <w:p>
            <w:pPr>
              <w:pStyle w:val="Compact"/>
              <w:jc w:val="left"/>
            </w:pPr>
            <w:r>
              <w:t xml:space="preserve">Blockchain-empowered trustworthy data sharing: fundamentals, applications, and challenges</w:t>
            </w:r>
          </w:p>
        </w:tc>
        <w:tc>
          <w:tcPr/>
          <w:p>
            <w:pPr>
              <w:pStyle w:val="Compact"/>
              <w:jc w:val="left"/>
            </w:pPr>
            <w:r>
              <w:t xml:space="preserve">Blockchain-based healthcare data governance</w:t>
            </w:r>
          </w:p>
        </w:tc>
      </w:tr>
      <w:tr>
        <w:trPr>
          <w:cantSplit/>
        </w:trPr>
        <w:tc>
          <w:tcPr/>
          <w:p>
            <w:pPr>
              <w:pStyle w:val="Compact"/>
              <w:jc w:val="left"/>
            </w:pPr>
            <w:r>
              <w:t xml:space="preserve">S15</w:t>
            </w:r>
          </w:p>
        </w:tc>
        <w:tc>
          <w:tcPr/>
          <w:p>
            <w:pPr>
              <w:pStyle w:val="Compact"/>
              <w:jc w:val="left"/>
            </w:pPr>
            <w:r>
              <w:t xml:space="preserve">Deng et al., 2024 [6]</w:t>
            </w:r>
          </w:p>
        </w:tc>
        <w:tc>
          <w:tcPr/>
          <w:p>
            <w:pPr>
              <w:pStyle w:val="Compact"/>
              <w:jc w:val="left"/>
            </w:pPr>
            <w:r>
              <w:t xml:space="preserve">FutureDID: a fully decentralised identity system with multi-party verification</w:t>
            </w:r>
          </w:p>
        </w:tc>
        <w:tc>
          <w:tcPr/>
          <w:p>
            <w:pPr>
              <w:pStyle w:val="Compact"/>
              <w:jc w:val="left"/>
            </w:pPr>
            <w:r>
              <w:t xml:space="preserve">Decentralised identity and verifiable credentials</w:t>
            </w:r>
          </w:p>
        </w:tc>
      </w:tr>
      <w:tr>
        <w:trPr>
          <w:cantSplit/>
        </w:trPr>
        <w:tc>
          <w:tcPr/>
          <w:p>
            <w:pPr>
              <w:pStyle w:val="Compact"/>
              <w:jc w:val="left"/>
            </w:pPr>
            <w:r>
              <w:t xml:space="preserve">S16</w:t>
            </w:r>
          </w:p>
        </w:tc>
        <w:tc>
          <w:tcPr/>
          <w:p>
            <w:pPr>
              <w:pStyle w:val="Compact"/>
              <w:jc w:val="left"/>
            </w:pPr>
            <w:r>
              <w:t xml:space="preserve">Flamini et al., 2024 [7]</w:t>
            </w:r>
          </w:p>
        </w:tc>
        <w:tc>
          <w:tcPr/>
          <w:p>
            <w:pPr>
              <w:pStyle w:val="Compact"/>
              <w:jc w:val="left"/>
            </w:pPr>
            <w:r>
              <w:t xml:space="preserve">On cryptographic mechanisms for the selective disclosure of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S17</w:t>
            </w:r>
          </w:p>
        </w:tc>
        <w:tc>
          <w:tcPr/>
          <w:p>
            <w:pPr>
              <w:pStyle w:val="Compact"/>
              <w:jc w:val="left"/>
            </w:pPr>
            <w:r>
              <w:t xml:space="preserve">Khayer et al., 2025 [17]</w:t>
            </w:r>
          </w:p>
        </w:tc>
        <w:tc>
          <w:tcPr/>
          <w:p>
            <w:pPr>
              <w:pStyle w:val="Compact"/>
              <w:jc w:val="left"/>
            </w:pPr>
            <w:r>
              <w:t xml:space="preserve">Blockchain for secure IoT: identity management, access control, and trust mechanisms</w:t>
            </w:r>
          </w:p>
        </w:tc>
        <w:tc>
          <w:tcPr/>
          <w:p>
            <w:pPr>
              <w:pStyle w:val="Compact"/>
              <w:jc w:val="left"/>
            </w:pPr>
            <w:r>
              <w:t xml:space="preserve">Decentralised identity and verifiable credentials</w:t>
            </w:r>
          </w:p>
        </w:tc>
      </w:tr>
      <w:tr>
        <w:trPr>
          <w:cantSplit/>
        </w:trPr>
        <w:tc>
          <w:tcPr/>
          <w:p>
            <w:pPr>
              <w:pStyle w:val="Compact"/>
              <w:jc w:val="left"/>
            </w:pPr>
            <w:r>
              <w:t xml:space="preserve">S18</w:t>
            </w:r>
          </w:p>
        </w:tc>
        <w:tc>
          <w:tcPr/>
          <w:p>
            <w:pPr>
              <w:pStyle w:val="Compact"/>
              <w:jc w:val="left"/>
            </w:pPr>
            <w:r>
              <w:t xml:space="preserve">Kyriakidou et al., 2023 [18]</w:t>
            </w:r>
          </w:p>
        </w:tc>
        <w:tc>
          <w:tcPr/>
          <w:p>
            <w:pPr>
              <w:pStyle w:val="Compact"/>
              <w:jc w:val="left"/>
            </w:pPr>
            <w:r>
              <w:t xml:space="preserve">Decentralised identity with applications to security and privacy for the Internet of Things</w:t>
            </w:r>
          </w:p>
        </w:tc>
        <w:tc>
          <w:tcPr/>
          <w:p>
            <w:pPr>
              <w:pStyle w:val="Compact"/>
              <w:jc w:val="left"/>
            </w:pPr>
            <w:r>
              <w:t xml:space="preserve">Decentralised identity and verifiable credentials</w:t>
            </w:r>
          </w:p>
        </w:tc>
      </w:tr>
      <w:tr>
        <w:trPr>
          <w:cantSplit/>
        </w:trPr>
        <w:tc>
          <w:tcPr/>
          <w:p>
            <w:pPr>
              <w:pStyle w:val="Compact"/>
              <w:jc w:val="left"/>
            </w:pPr>
            <w:r>
              <w:t xml:space="preserve">S19</w:t>
            </w:r>
          </w:p>
        </w:tc>
        <w:tc>
          <w:tcPr/>
          <w:p>
            <w:pPr>
              <w:pStyle w:val="Compact"/>
              <w:jc w:val="left"/>
            </w:pPr>
            <w:r>
              <w:t xml:space="preserve">Mazzocca et al., 2025 [20]</w:t>
            </w:r>
          </w:p>
        </w:tc>
        <w:tc>
          <w:tcPr/>
          <w:p>
            <w:pPr>
              <w:pStyle w:val="Compact"/>
              <w:jc w:val="left"/>
            </w:pPr>
            <w:r>
              <w:t xml:space="preserve">A survey on decentralised identifiers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S20</w:t>
            </w:r>
          </w:p>
        </w:tc>
        <w:tc>
          <w:tcPr/>
          <w:p>
            <w:pPr>
              <w:pStyle w:val="Compact"/>
              <w:jc w:val="left"/>
            </w:pPr>
            <w:r>
              <w:t xml:space="preserve">Parameswarath et al., 2022 [26]</w:t>
            </w:r>
          </w:p>
        </w:tc>
        <w:tc>
          <w:tcPr/>
          <w:p>
            <w:pPr>
              <w:pStyle w:val="Compact"/>
              <w:jc w:val="left"/>
            </w:pPr>
            <w:r>
              <w:t xml:space="preserve">User-empowered privacy-preserving authentication based on decentralised identity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S21</w:t>
            </w:r>
          </w:p>
        </w:tc>
        <w:tc>
          <w:tcPr/>
          <w:p>
            <w:pPr>
              <w:pStyle w:val="Compact"/>
              <w:jc w:val="left"/>
            </w:pPr>
            <w:r>
              <w:t xml:space="preserve">Yin et al., 2025 [36]</w:t>
            </w:r>
          </w:p>
        </w:tc>
        <w:tc>
          <w:tcPr/>
          <w:p>
            <w:pPr>
              <w:pStyle w:val="Compact"/>
              <w:jc w:val="left"/>
            </w:pPr>
            <w:r>
              <w:t xml:space="preserve">DP-DID: a dynamic and proactive decentralised identity system</w:t>
            </w:r>
          </w:p>
        </w:tc>
        <w:tc>
          <w:tcPr/>
          <w:p>
            <w:pPr>
              <w:pStyle w:val="Compact"/>
              <w:jc w:val="left"/>
            </w:pPr>
            <w:r>
              <w:t xml:space="preserve">Decentralised identity and verifiable credentials</w:t>
            </w:r>
          </w:p>
        </w:tc>
      </w:tr>
      <w:tr>
        <w:trPr>
          <w:cantSplit/>
        </w:trPr>
        <w:tc>
          <w:tcPr/>
          <w:p>
            <w:pPr>
              <w:pStyle w:val="Compact"/>
              <w:jc w:val="left"/>
            </w:pPr>
            <w:r>
              <w:t xml:space="preserve">S22</w:t>
            </w:r>
          </w:p>
        </w:tc>
        <w:tc>
          <w:tcPr/>
          <w:p>
            <w:pPr>
              <w:pStyle w:val="Compact"/>
              <w:jc w:val="left"/>
            </w:pPr>
            <w:r>
              <w:t xml:space="preserve">Ghafoor Abbasi et al., 2025 [1]</w:t>
            </w:r>
          </w:p>
        </w:tc>
        <w:tc>
          <w:tcPr/>
          <w:p>
            <w:pPr>
              <w:pStyle w:val="Compact"/>
              <w:jc w:val="left"/>
            </w:pPr>
            <w:r>
              <w:t xml:space="preserve">Towards empowering stakeholders through decentralised trust and secure livestock data sharing</w:t>
            </w:r>
          </w:p>
        </w:tc>
        <w:tc>
          <w:tcPr/>
          <w:p>
            <w:pPr>
              <w:pStyle w:val="Compact"/>
              <w:jc w:val="left"/>
            </w:pPr>
            <w:r>
              <w:t xml:space="preserve">Multi-party and decentralised governance</w:t>
            </w:r>
          </w:p>
        </w:tc>
      </w:tr>
      <w:tr>
        <w:trPr>
          <w:cantSplit/>
        </w:trPr>
        <w:tc>
          <w:tcPr/>
          <w:p>
            <w:pPr>
              <w:pStyle w:val="Compact"/>
              <w:jc w:val="left"/>
            </w:pPr>
            <w:r>
              <w:t xml:space="preserve">S23</w:t>
            </w:r>
          </w:p>
        </w:tc>
        <w:tc>
          <w:tcPr/>
          <w:p>
            <w:pPr>
              <w:pStyle w:val="Compact"/>
              <w:jc w:val="left"/>
            </w:pPr>
            <w:r>
              <w:t xml:space="preserve">Lomotey et al., 2022 [19]</w:t>
            </w:r>
          </w:p>
        </w:tc>
        <w:tc>
          <w:tcPr/>
          <w:p>
            <w:pPr>
              <w:pStyle w:val="Compact"/>
              <w:jc w:val="left"/>
            </w:pPr>
            <w:r>
              <w:t xml:space="preserve">Data trusts as a service: a platform for multi-party data sharing</w:t>
            </w:r>
          </w:p>
        </w:tc>
        <w:tc>
          <w:tcPr/>
          <w:p>
            <w:pPr>
              <w:pStyle w:val="Compact"/>
              <w:jc w:val="left"/>
            </w:pPr>
            <w:r>
              <w:t xml:space="preserve">Multi-party and decentralised governance</w:t>
            </w:r>
          </w:p>
        </w:tc>
      </w:tr>
      <w:tr>
        <w:trPr>
          <w:cantSplit/>
        </w:trPr>
        <w:tc>
          <w:tcPr/>
          <w:p>
            <w:pPr>
              <w:pStyle w:val="Compact"/>
              <w:jc w:val="left"/>
            </w:pPr>
            <w:r>
              <w:t xml:space="preserve">S24</w:t>
            </w:r>
          </w:p>
        </w:tc>
        <w:tc>
          <w:tcPr/>
          <w:p>
            <w:pPr>
              <w:pStyle w:val="Compact"/>
              <w:jc w:val="left"/>
            </w:pPr>
            <w:r>
              <w:t xml:space="preserve">Garcia et al., 2022 [8]</w:t>
            </w:r>
          </w:p>
        </w:tc>
        <w:tc>
          <w:tcPr/>
          <w:p>
            <w:pPr>
              <w:pStyle w:val="Compact"/>
              <w:jc w:val="left"/>
            </w:pPr>
            <w:r>
              <w:t xml:space="preserve">Blockchain-aided and privacy-preserving data governance in multi-stakeholder applications</w:t>
            </w:r>
          </w:p>
        </w:tc>
        <w:tc>
          <w:tcPr/>
          <w:p>
            <w:pPr>
              <w:pStyle w:val="Compact"/>
              <w:jc w:val="left"/>
            </w:pPr>
            <w:r>
              <w:t xml:space="preserve">Multi-party and decentralised governance</w:t>
            </w:r>
          </w:p>
        </w:tc>
      </w:tr>
      <w:tr>
        <w:trPr>
          <w:cantSplit/>
        </w:trPr>
        <w:tc>
          <w:tcPr/>
          <w:p>
            <w:pPr>
              <w:pStyle w:val="Compact"/>
              <w:jc w:val="left"/>
            </w:pPr>
            <w:r>
              <w:t xml:space="preserve">S25</w:t>
            </w:r>
          </w:p>
        </w:tc>
        <w:tc>
          <w:tcPr/>
          <w:p>
            <w:pPr>
              <w:pStyle w:val="Compact"/>
              <w:jc w:val="left"/>
            </w:pPr>
            <w:r>
              <w:t xml:space="preserve">Tan et al., 2024 [29]</w:t>
            </w:r>
          </w:p>
        </w:tc>
        <w:tc>
          <w:tcPr/>
          <w:p>
            <w:pPr>
              <w:pStyle w:val="Compact"/>
              <w:jc w:val="left"/>
            </w:pPr>
            <w:r>
              <w:t xml:space="preserve">Secure and privacy-preserving sharing of personal health records with multi-party pre-authorisation verification</w:t>
            </w:r>
          </w:p>
        </w:tc>
        <w:tc>
          <w:tcPr/>
          <w:p>
            <w:pPr>
              <w:pStyle w:val="Compact"/>
              <w:jc w:val="left"/>
            </w:pPr>
            <w:r>
              <w:t xml:space="preserve">Multi-party and decentralised governance</w:t>
            </w:r>
          </w:p>
        </w:tc>
      </w:tr>
      <w:tr>
        <w:trPr>
          <w:cantSplit/>
        </w:trPr>
        <w:tc>
          <w:tcPr/>
          <w:p>
            <w:pPr>
              <w:pStyle w:val="Compact"/>
              <w:jc w:val="left"/>
            </w:pPr>
            <w:r>
              <w:t xml:space="preserve">S26</w:t>
            </w:r>
          </w:p>
        </w:tc>
        <w:tc>
          <w:tcPr/>
          <w:p>
            <w:pPr>
              <w:pStyle w:val="Compact"/>
              <w:jc w:val="left"/>
            </w:pPr>
            <w:r>
              <w:t xml:space="preserve">Jiang et al., 2023 [13]</w:t>
            </w:r>
          </w:p>
        </w:tc>
        <w:tc>
          <w:tcPr/>
          <w:p>
            <w:pPr>
              <w:pStyle w:val="Compact"/>
              <w:jc w:val="left"/>
            </w:pPr>
            <w:r>
              <w:t xml:space="preserve">Risk and UCON-based access control model for healthcare big data</w:t>
            </w:r>
          </w:p>
        </w:tc>
        <w:tc>
          <w:tcPr/>
          <w:p>
            <w:pPr>
              <w:pStyle w:val="Compact"/>
              <w:jc w:val="left"/>
            </w:pPr>
            <w:r>
              <w:t xml:space="preserve">Policy-based and healthcare access control</w:t>
            </w:r>
          </w:p>
        </w:tc>
      </w:tr>
      <w:tr>
        <w:trPr>
          <w:cantSplit/>
        </w:trPr>
        <w:tc>
          <w:tcPr/>
          <w:p>
            <w:pPr>
              <w:pStyle w:val="Compact"/>
              <w:jc w:val="left"/>
            </w:pPr>
            <w:r>
              <w:t xml:space="preserve">S27</w:t>
            </w:r>
          </w:p>
        </w:tc>
        <w:tc>
          <w:tcPr/>
          <w:p>
            <w:pPr>
              <w:pStyle w:val="Compact"/>
              <w:jc w:val="left"/>
            </w:pPr>
            <w:r>
              <w:t xml:space="preserve">Nazir et al., 2026 [24]</w:t>
            </w:r>
          </w:p>
        </w:tc>
        <w:tc>
          <w:tcPr/>
          <w:p>
            <w:pPr>
              <w:pStyle w:val="Compact"/>
              <w:jc w:val="left"/>
            </w:pPr>
            <w:r>
              <w:t xml:space="preserve">Access control in healthcare IoT: a comprehensive survey</w:t>
            </w:r>
          </w:p>
        </w:tc>
        <w:tc>
          <w:tcPr/>
          <w:p>
            <w:pPr>
              <w:pStyle w:val="Compact"/>
              <w:jc w:val="left"/>
            </w:pPr>
            <w:r>
              <w:t xml:space="preserve">Policy-based and healthcare access control</w:t>
            </w:r>
          </w:p>
        </w:tc>
      </w:tr>
      <w:tr>
        <w:trPr>
          <w:cantSplit/>
        </w:trPr>
        <w:tc>
          <w:tcPr/>
          <w:p>
            <w:pPr>
              <w:pStyle w:val="Compact"/>
              <w:jc w:val="left"/>
            </w:pPr>
            <w:r>
              <w:t xml:space="preserve">S28</w:t>
            </w:r>
          </w:p>
        </w:tc>
        <w:tc>
          <w:tcPr/>
          <w:p>
            <w:pPr>
              <w:pStyle w:val="Compact"/>
              <w:jc w:val="left"/>
            </w:pPr>
            <w:r>
              <w:t xml:space="preserve">Tawfik et al., 2025 [30]</w:t>
            </w:r>
          </w:p>
        </w:tc>
        <w:tc>
          <w:tcPr/>
          <w:p>
            <w:pPr>
              <w:pStyle w:val="Compact"/>
              <w:jc w:val="left"/>
            </w:pPr>
            <w:r>
              <w:t xml:space="preserve">Blockchain-based access control and privacy preservation in healthcare: a comprehensive survey</w:t>
            </w:r>
          </w:p>
        </w:tc>
        <w:tc>
          <w:tcPr/>
          <w:p>
            <w:pPr>
              <w:pStyle w:val="Compact"/>
              <w:jc w:val="left"/>
            </w:pPr>
            <w:r>
              <w:t xml:space="preserve">Policy-based and healthcare access control</w:t>
            </w:r>
          </w:p>
        </w:tc>
      </w:tr>
      <w:tr>
        <w:trPr>
          <w:cantSplit/>
        </w:trPr>
        <w:tc>
          <w:tcPr/>
          <w:p>
            <w:pPr>
              <w:pStyle w:val="Compact"/>
              <w:jc w:val="left"/>
            </w:pPr>
            <w:r>
              <w:t xml:space="preserve">S29</w:t>
            </w:r>
          </w:p>
        </w:tc>
        <w:tc>
          <w:tcPr/>
          <w:p>
            <w:pPr>
              <w:pStyle w:val="Compact"/>
              <w:jc w:val="left"/>
            </w:pPr>
            <w:r>
              <w:t xml:space="preserve">Yin et al., 2024 [35]</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Policy-based and healthcare access control</w:t>
            </w:r>
          </w:p>
        </w:tc>
      </w:tr>
      <w:tr>
        <w:trPr>
          <w:cantSplit/>
        </w:trPr>
        <w:tc>
          <w:tcPr/>
          <w:p>
            <w:pPr>
              <w:pStyle w:val="Compact"/>
              <w:jc w:val="left"/>
            </w:pPr>
            <w:r>
              <w:t xml:space="preserve">S30</w:t>
            </w:r>
          </w:p>
        </w:tc>
        <w:tc>
          <w:tcPr/>
          <w:p>
            <w:pPr>
              <w:pStyle w:val="Compact"/>
              <w:jc w:val="left"/>
            </w:pPr>
            <w:r>
              <w:t xml:space="preserve">de Oliveira et al., 2022 [5]</w:t>
            </w:r>
          </w:p>
        </w:tc>
        <w:tc>
          <w:tcPr/>
          <w:p>
            <w:pPr>
              <w:pStyle w:val="Compact"/>
              <w:jc w:val="left"/>
            </w:pPr>
            <w:r>
              <w:t xml:space="preserve">SmartAccess: attribute-based access control system for medical records based on smart contracts</w:t>
            </w:r>
          </w:p>
        </w:tc>
        <w:tc>
          <w:tcPr/>
          <w:p>
            <w:pPr>
              <w:pStyle w:val="Compact"/>
              <w:jc w:val="left"/>
            </w:pPr>
            <w:r>
              <w:t xml:space="preserve">Policy-based and healthcare access control</w:t>
            </w:r>
          </w:p>
        </w:tc>
      </w:tr>
      <w:tr>
        <w:trPr>
          <w:cantSplit/>
        </w:trPr>
        <w:tc>
          <w:tcPr/>
          <w:p>
            <w:pPr>
              <w:pStyle w:val="Compact"/>
              <w:jc w:val="left"/>
            </w:pPr>
            <w:r>
              <w:t xml:space="preserve">S31</w:t>
            </w:r>
          </w:p>
        </w:tc>
        <w:tc>
          <w:tcPr/>
          <w:p>
            <w:pPr>
              <w:pStyle w:val="Compact"/>
              <w:jc w:val="left"/>
            </w:pPr>
            <w:r>
              <w:t xml:space="preserve">Ullah et al., 2024 [31]</w:t>
            </w:r>
          </w:p>
        </w:tc>
        <w:tc>
          <w:tcPr/>
          <w:p>
            <w:pPr>
              <w:pStyle w:val="Compact"/>
              <w:jc w:val="left"/>
            </w:pPr>
            <w:r>
              <w:t xml:space="preserve">Blockchain-enabled EHR access auditing: enhancing healthcare data security</w:t>
            </w:r>
          </w:p>
        </w:tc>
        <w:tc>
          <w:tcPr/>
          <w:p>
            <w:pPr>
              <w:pStyle w:val="Compact"/>
              <w:jc w:val="left"/>
            </w:pPr>
            <w:r>
              <w:t xml:space="preserve">Policy-based and healthcare access control</w:t>
            </w:r>
          </w:p>
        </w:tc>
      </w:tr>
      <w:tr>
        <w:trPr>
          <w:cantSplit/>
        </w:trPr>
        <w:tc>
          <w:tcPr/>
          <w:p>
            <w:pPr>
              <w:pStyle w:val="Compact"/>
              <w:jc w:val="left"/>
            </w:pPr>
            <w:r>
              <w:t xml:space="preserve">S32</w:t>
            </w:r>
          </w:p>
        </w:tc>
        <w:tc>
          <w:tcPr/>
          <w:p>
            <w:pPr>
              <w:pStyle w:val="Compact"/>
              <w:jc w:val="left"/>
            </w:pPr>
            <w:r>
              <w:t xml:space="preserve">Yaqub et al., 2025 [34]</w:t>
            </w:r>
          </w:p>
        </w:tc>
        <w:tc>
          <w:tcPr/>
          <w:p>
            <w:pPr>
              <w:pStyle w:val="Compact"/>
              <w:jc w:val="left"/>
            </w:pPr>
            <w:r>
              <w:t xml:space="preserve">Blockchain-enabled policy-based access control mechanism to restrict unauthorised access to electronic health records</w:t>
            </w:r>
          </w:p>
        </w:tc>
        <w:tc>
          <w:tcPr/>
          <w:p>
            <w:pPr>
              <w:pStyle w:val="Compact"/>
              <w:jc w:val="left"/>
            </w:pPr>
            <w:r>
              <w:t xml:space="preserve">Policy-based and healthcare access control</w:t>
            </w:r>
          </w:p>
        </w:tc>
      </w:tr>
      <w:tr>
        <w:trPr>
          <w:cantSplit/>
        </w:trPr>
        <w:tc>
          <w:tcPr/>
          <w:p>
            <w:pPr>
              <w:pStyle w:val="Compact"/>
              <w:jc w:val="left"/>
            </w:pPr>
            <w:r>
              <w:t xml:space="preserve">S33</w:t>
            </w:r>
          </w:p>
        </w:tc>
        <w:tc>
          <w:tcPr/>
          <w:p>
            <w:pPr>
              <w:pStyle w:val="Compact"/>
              <w:jc w:val="left"/>
            </w:pPr>
            <w:r>
              <w:t xml:space="preserve">Ménétrey et al., 2022 [22]</w:t>
            </w:r>
          </w:p>
        </w:tc>
        <w:tc>
          <w:tcPr/>
          <w:p>
            <w:pPr>
              <w:pStyle w:val="Compact"/>
              <w:jc w:val="left"/>
            </w:pPr>
            <w:r>
              <w:t xml:space="preserve">Attestation mechanisms for trusted execution environments demystified</w:t>
            </w:r>
          </w:p>
        </w:tc>
        <w:tc>
          <w:tcPr/>
          <w:p>
            <w:pPr>
              <w:pStyle w:val="Compact"/>
              <w:jc w:val="left"/>
            </w:pPr>
            <w:r>
              <w:t xml:space="preserve">Trusted Computing and secure execution</w:t>
            </w:r>
          </w:p>
        </w:tc>
      </w:tr>
    </w:tbl>
    <w:bookmarkEnd w:id="32"/>
    <w:bookmarkEnd w:id="33"/>
    <w:bookmarkStart w:id="41" w:name="X47a7c0cd3439350f5b2bab0a0c72b8d78bf1bcb"/>
    <w:p>
      <w:pPr>
        <w:pStyle w:val="Heading2"/>
      </w:pPr>
      <w:r>
        <w:t xml:space="preserve">2.4 Summary of Papers Shortlisted in the SLR</w:t>
      </w:r>
    </w:p>
    <w:p>
      <w:pPr>
        <w:pStyle w:val="FirstParagraph"/>
      </w:pPr>
      <w:r>
        <w:t xml:space="preserve">This section summarises the shortlisted papers by category (Table 2.3). For each category the discussion is followed by a table that records the description of each study, its issues and limitations for trust-oriented consent authorisation, and whether it addresses the five key requirements of Section 2.2 (√ addressed, × not addressed).</w:t>
      </w:r>
    </w:p>
    <w:bookmarkStart w:id="34" w:name="X3643e3a96c176827f6f89acdc5119d36405fe44"/>
    <w:p>
      <w:pPr>
        <w:pStyle w:val="Heading3"/>
      </w:pPr>
      <w:r>
        <w:t xml:space="preserve">2.4.1 Healthcare Consent and Privacy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[10, 21].</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[23]. At the same time, privacy-preserving interoperability remains difficult because healthcare systems must balance individual autonomy with the operational requirements of clinical care, coordination, and legitimate secondary data use [11].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[15]. Consent receipts and auditable consent records have also been proposed to improve transparency and accountability by providing evidence of how consent was obtained and exercised [12].</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BodyText"/>
      </w:pPr>
      <w:r>
        <w:t xml:space="preserve">More recent architectures go a step further. A blockchain-backed service-oriented architecture stores consents immutably, enforces access to health data according to them and exposes audit tasks to supervisory authorities and to patients themselves [28], and a self-determined consent framework combines blockchain, self-sovereign identity and de-identified tokens so that consent and data use can be tracked across clinical, app and wearable data [33]. Both act on the consent record; neither evaluates the requester’s authority or a collective approval before the record is applied. A recent systematic review of 55 blockchain-based consent frameworks confirms that smart contracts, decentralised identifiers and verifiable credentials have become the common building blocks of programmable consent, while reporting that revocation propagation, interoperability and usability remain unresolved [27].</w:t>
      </w:r>
    </w:p>
    <w:p>
      <w:pPr>
        <w:pStyle w:val="BodyText"/>
      </w:pPr>
      <w:r>
        <w:t xml:space="preserve">Table 2.4 presents a summary of the studies that fall under the healthcare consent and privacy governance category and their coverage of the key requirements.</w:t>
      </w:r>
    </w:p>
    <w:p>
      <w:pPr>
        <w:pStyle w:val="TableCaption"/>
      </w:pPr>
      <w:r>
        <w:t xml:space="preserve">Table 2.4: Descriptions, issues and limitations of the studies on healthcare consent and privacy governance and their coverage of the key requirements</w:t>
      </w:r>
    </w:p>
    <w:tbl>
      <w:tblPr>
        <w:tblStyle w:val="Table"/>
        <w:tblW w:type="pct" w:w="5000"/>
        <w:tblLayout w:type="fixed"/>
        <w:tblLook w:firstRow="1" w:lastRow="0" w:firstColumn="0" w:lastColumn="0" w:noHBand="0" w:noVBand="0" w:val="0020"/>
        <w:tblCaption w:val="Table 2.4: Descriptions, issues and limitations of the studies on healthcare consent and privacy governance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S1 [11]</w:t>
            </w:r>
          </w:p>
        </w:tc>
        <w:tc>
          <w:tcPr/>
          <w:p>
            <w:pPr>
              <w:pStyle w:val="Compact"/>
              <w:jc w:val="left"/>
            </w:pPr>
            <w:r>
              <w:t xml:space="preserve">Cross-sectional study of 150 nurses in a general hospital on how patient confidentiality is balanced against care coordination, measured with HIPAA, privacy-impact and EHR security assessment tools.</w:t>
            </w:r>
          </w:p>
        </w:tc>
        <w:tc>
          <w:tcPr/>
          <w:p>
            <w:pPr>
              <w:pStyle w:val="Compact"/>
              <w:jc w:val="left"/>
            </w:pPr>
            <w:r>
              <w:t xml:space="preserve">Studies organisational practice; consent is treated as a compliance matter and no authorisation mechanism is proposed.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 [12]</w:t>
            </w:r>
          </w:p>
        </w:tc>
        <w:tc>
          <w:tcPr/>
          <w:p>
            <w:pPr>
              <w:pStyle w:val="Compact"/>
              <w:jc w:val="left"/>
            </w:pPr>
            <w:r>
              <w:t xml:space="preserve">Proposes consent receipts as machine-readable, auditable records of how consent was obtained and exercised, with proofs of concept for privacy policies, cookie dialogues and voice assistants.</w:t>
            </w:r>
          </w:p>
        </w:tc>
        <w:tc>
          <w:tcPr/>
          <w:p>
            <w:pPr>
              <w:pStyle w:val="Compact"/>
              <w:jc w:val="left"/>
            </w:pPr>
            <w:r>
              <w:t xml:space="preserve">A receipt proves that consent was given; it does not evaluate whether a later request satisfies identity, authority, approval or scope conditions.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 [15]</w:t>
            </w:r>
          </w:p>
        </w:tc>
        <w:tc>
          <w:tcPr/>
          <w:p>
            <w:pPr>
              <w:pStyle w:val="Compact"/>
              <w:jc w:val="left"/>
            </w:pPr>
            <w:r>
              <w:t xml:space="preserve">Privacy-first model for blockchain-based dynamic consent management in which subject data and consent are kept encrypted on-chain and the data-controller role is decentralised.</w:t>
            </w:r>
          </w:p>
        </w:tc>
        <w:tc>
          <w:tcPr/>
          <w:p>
            <w:pPr>
              <w:pStyle w:val="Compact"/>
              <w:jc w:val="left"/>
            </w:pPr>
            <w:r>
              <w:t xml:space="preserve">Consent is stored and shared securely, but a request is not evaluated against the requester’s authority or a multi-party approval threshold.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S4 [21]</w:t>
            </w:r>
          </w:p>
        </w:tc>
        <w:tc>
          <w:tcPr/>
          <w:p>
            <w:pPr>
              <w:pStyle w:val="Compact"/>
              <w:jc w:val="left"/>
            </w:pPr>
            <w:r>
              <w:t xml:space="preserve">Legal analysis of informed consent for the use and disclosure of patient information under the GDPR, the common law and professional ethics.</w:t>
            </w:r>
          </w:p>
        </w:tc>
        <w:tc>
          <w:tcPr/>
          <w:p>
            <w:pPr>
              <w:pStyle w:val="Compact"/>
              <w:jc w:val="left"/>
            </w:pPr>
            <w:r>
              <w:t xml:space="preserve">Defines the legal conditions of a valid consent but not an executable authorisation object.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S5 [23]</w:t>
            </w:r>
          </w:p>
        </w:tc>
        <w:tc>
          <w:tcPr/>
          <w:p>
            <w:pPr>
              <w:pStyle w:val="Compact"/>
              <w:jc w:val="left"/>
            </w:pPr>
            <w:r>
              <w:t xml:space="preserve">Review of privacy models and consent frameworks (dynamic and granular consent, blockchain, My Health Record, Estonian e-Health) for patient data ownership.</w:t>
            </w:r>
          </w:p>
        </w:tc>
        <w:tc>
          <w:tcPr/>
          <w:p>
            <w:pPr>
              <w:pStyle w:val="Compact"/>
              <w:jc w:val="left"/>
            </w:pPr>
            <w:r>
              <w:t xml:space="preserve">Descriptive review; the consent frameworks are not connected to identity verification or scope enforcement.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S6 [27]</w:t>
            </w:r>
          </w:p>
        </w:tc>
        <w:tc>
          <w:tcPr/>
          <w:p>
            <w:pPr>
              <w:pStyle w:val="Compact"/>
              <w:jc w:val="left"/>
            </w:pPr>
            <w:r>
              <w:t xml:space="preserve">Systematic review (PRISMA, 55 studies, 2020–2025) of blockchain-based frameworks for dynamic, auditable and revocable consent for the secondary use of health data, analysed by consent lifecycle, auditability, usability and legal alignment.</w:t>
            </w:r>
          </w:p>
        </w:tc>
        <w:tc>
          <w:tcPr/>
          <w:p>
            <w:pPr>
              <w:pStyle w:val="Compact"/>
              <w:jc w:val="left"/>
            </w:pPr>
            <w:r>
              <w:t xml:space="preserve">Confirms that lifecycle automation and auditability are achievable, but reports that revocation propagation, interoperability and usability remain open; consent is evaluated as a record rather than against the requester.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S7 [28]</w:t>
            </w:r>
          </w:p>
        </w:tc>
        <w:tc>
          <w:tcPr/>
          <w:p>
            <w:pPr>
              <w:pStyle w:val="Compact"/>
              <w:jc w:val="left"/>
            </w:pPr>
            <w:r>
              <w:t xml:space="preserve">Service-oriented architecture backed by blockchain that stores subject-of-care consents immutably, enforces fine-grained access to health data according to those consents and exposes audit tasks to supervisory authorities and patients, using HL7 and access-control standards.</w:t>
            </w:r>
          </w:p>
        </w:tc>
        <w:tc>
          <w:tcPr/>
          <w:p>
            <w:pPr>
              <w:pStyle w:val="Compact"/>
              <w:jc w:val="left"/>
            </w:pPr>
            <w:r>
              <w:t xml:space="preserve">Consent is stored and executed, but the requester’s authority and any multi-party approval are outside the model; enforcement follows the record rather than an evaluated decision.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S8 [33]</w:t>
            </w:r>
          </w:p>
        </w:tc>
        <w:tc>
          <w:tcPr/>
          <w:p>
            <w:pPr>
              <w:pStyle w:val="Compact"/>
              <w:jc w:val="left"/>
            </w:pPr>
            <w:r>
              <w:t xml:space="preserve">Conceptual framework that reviews blockchain, self-sovereign identity and de-identified tokens for a consent management system able to track consent and data utilisation across clinical, app and wearable data.</w:t>
            </w:r>
          </w:p>
        </w:tc>
        <w:tc>
          <w:tcPr/>
          <w:p>
            <w:pPr>
              <w:pStyle w:val="Compact"/>
              <w:jc w:val="left"/>
            </w:pPr>
            <w:r>
              <w:t xml:space="preserve">Early-stage conceptual framework; identity and consent components are listed rather than combined into an authorisation decision.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S9 [10]</w:t>
            </w:r>
          </w:p>
        </w:tc>
        <w:tc>
          <w:tcPr/>
          <w:p>
            <w:pPr>
              <w:pStyle w:val="Compact"/>
              <w:jc w:val="left"/>
            </w:pPr>
            <w:r>
              <w:t xml:space="preserve">Scoping review (74 studies, 2007–2021) of the views, use and experiences of children, adolescents, parents and clinicians regarding web-based access to paediatric electronic health records, including parental proxy access and the age at which access changes.</w:t>
            </w:r>
          </w:p>
        </w:tc>
        <w:tc>
          <w:tcPr/>
          <w:p>
            <w:pPr>
              <w:pStyle w:val="Compact"/>
              <w:jc w:val="left"/>
            </w:pPr>
            <w:r>
              <w:t xml:space="preserve">Establishes that guardian and proxy access varies between providers and that adolescent confidentiality is the main concern, but offers no mechanism for verifying a guardian’s authority or for joint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4"/>
    <w:bookmarkStart w:id="35" w:name="X2b887499669ea90de256e63d16984e9c6f7f03a"/>
    <w:p>
      <w:pPr>
        <w:pStyle w:val="Heading3"/>
      </w:pPr>
      <w:r>
        <w:t xml:space="preserve">2.4.2 Blockchain-Based Healthcare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[2, 3, 4, 9]. More generally, blockchain has been studied as an infrastructure for trustworthy data sharing and decentralised decision-making across organisational boundaries [8, 25].</w:t>
      </w:r>
    </w:p>
    <w:p>
      <w:pPr>
        <w:pStyle w:val="BodyText"/>
      </w:pPr>
      <w:r>
        <w:t xml:space="preserve">A major contribution of blockchain is its ability to preserve tamper-resistant evidence of transactions and state changes. This characteristic strengthens auditability and provides evidence that recorded information has not been modified without detection [2, 25].</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[3, 4, 9, 30].</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BodyText"/>
      </w:pPr>
      <w:r>
        <w:t xml:space="preserve">Table 2.5 summarises the blockchain-based studies and their coverage of the key requirements.</w:t>
      </w:r>
    </w:p>
    <w:p>
      <w:pPr>
        <w:pStyle w:val="TableCaption"/>
      </w:pPr>
      <w:r>
        <w:t xml:space="preserve">Table 2.5: Descriptions, issues and limitations of the studies on blockchain-based healthcare data governance and their coverage of the key requirements</w:t>
      </w:r>
    </w:p>
    <w:tbl>
      <w:tblPr>
        <w:tblStyle w:val="Table"/>
        <w:tblW w:type="pct" w:w="5000"/>
        <w:tblLayout w:type="fixed"/>
        <w:tblLook w:firstRow="1" w:lastRow="0" w:firstColumn="0" w:lastColumn="0" w:noHBand="0" w:noVBand="0" w:val="0020"/>
        <w:tblCaption w:val="Table 2.5: Descriptions, issues and limitations of the studies on blockchain-based healthcare data governance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S10 [2]</w:t>
            </w:r>
          </w:p>
        </w:tc>
        <w:tc>
          <w:tcPr/>
          <w:p>
            <w:pPr>
              <w:pStyle w:val="Compact"/>
              <w:jc w:val="left"/>
            </w:pPr>
            <w:r>
              <w:t xml:space="preserve">Systematic review of 99 blockchain-based EHR proposals analysed by privacy, security, scalability, accessibility, cost, consensus and blockchain type.</w:t>
            </w:r>
          </w:p>
        </w:tc>
        <w:tc>
          <w:tcPr/>
          <w:p>
            <w:pPr>
              <w:pStyle w:val="Compact"/>
              <w:jc w:val="left"/>
            </w:pPr>
            <w:r>
              <w:t xml:space="preserve">Blockchain is evaluated as a storage and audit substrate; participant authority and consent scope are not modelled.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S11 [3]</w:t>
            </w:r>
          </w:p>
        </w:tc>
        <w:tc>
          <w:tcPr/>
          <w:p>
            <w:pPr>
              <w:pStyle w:val="Compact"/>
              <w:jc w:val="left"/>
            </w:pPr>
            <w:r>
              <w:t xml:space="preserve">Survey of blockchain architectures for healthcare systems, their security challenges, trends and future directions.</w:t>
            </w:r>
          </w:p>
        </w:tc>
        <w:tc>
          <w:tcPr/>
          <w:p>
            <w:pPr>
              <w:pStyle w:val="Compact"/>
              <w:jc w:val="left"/>
            </w:pPr>
            <w:r>
              <w:t xml:space="preserve">Architecture-level survey; the access decision itself is left to the individual systems reviewed.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S12 [4]</w:t>
            </w:r>
          </w:p>
        </w:tc>
        <w:tc>
          <w:tcPr/>
          <w:p>
            <w:pPr>
              <w:pStyle w:val="Compact"/>
              <w:jc w:val="left"/>
            </w:pPr>
            <w:r>
              <w:t xml:space="preserve">Survey classifying more than 40 blockchain healthcare systems by entity interactions, functional components, challenges and benefits, with a discussion of GDPR and HIPAA compliance.</w:t>
            </w:r>
          </w:p>
        </w:tc>
        <w:tc>
          <w:tcPr/>
          <w:p>
            <w:pPr>
              <w:pStyle w:val="Compact"/>
              <w:jc w:val="left"/>
            </w:pPr>
            <w:r>
              <w:t xml:space="preserve">Treats consent as a regulatory requirement rather than an evaluable object; authority verification is not addressed.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S13 [9]</w:t>
            </w:r>
          </w:p>
        </w:tc>
        <w:tc>
          <w:tcPr/>
          <w:p>
            <w:pPr>
              <w:pStyle w:val="Compact"/>
              <w:jc w:val="left"/>
            </w:pPr>
            <w:r>
              <w:t xml:space="preserve">Review of 144 articles on blockchain applications in healthcare, their application areas, limitations and research directions.</w:t>
            </w:r>
          </w:p>
        </w:tc>
        <w:tc>
          <w:tcPr/>
          <w:p>
            <w:pPr>
              <w:pStyle w:val="Compact"/>
              <w:jc w:val="left"/>
            </w:pPr>
            <w:r>
              <w:t xml:space="preserve">Confirms the auditability benefit; multi-party approval and authority verification are not treated.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S14 [25]</w:t>
            </w:r>
          </w:p>
        </w:tc>
        <w:tc>
          <w:tcPr/>
          <w:p>
            <w:pPr>
              <w:pStyle w:val="Compact"/>
              <w:jc w:val="left"/>
            </w:pPr>
            <w:r>
              <w:t xml:space="preserve">Survey and reference architecture for blockchain-based data sharing covering provenance, privacy, consent management and incentives across healthcare and other sectors.</w:t>
            </w:r>
          </w:p>
        </w:tc>
        <w:tc>
          <w:tcPr/>
          <w:p>
            <w:pPr>
              <w:pStyle w:val="Compact"/>
              <w:jc w:val="left"/>
            </w:pPr>
            <w:r>
              <w:t xml:space="preserve">Consent management is named as a challenge; the architecture does not specify how a request is evaluated against identity, approval and scope.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5"/>
    <w:bookmarkStart w:id="36" w:name="Xce8374abd25737680a0ea224e7b0673254898a7"/>
    <w:p>
      <w:pPr>
        <w:pStyle w:val="Heading3"/>
      </w:pPr>
      <w:r>
        <w:t xml:space="preserve">2.4.3 Decentralised Identity and Verifiable Credentials</w:t>
      </w:r>
    </w:p>
    <w:p>
      <w:pPr>
        <w:pStyle w:val="FirstParagraph"/>
      </w:pPr>
      <w:r>
        <w:t xml:space="preserve">Decentralised</w:t>
      </w:r>
      <w:r>
        <w:t xml:space="preserve"> </w:t>
      </w:r>
      <w:r>
        <w:rPr>
          <w:rStyle w:val="OrangeDelete"/>
        </w:rPr>
        <w:t xml:space="preserve">Identity (DID)</w:t>
      </w:r>
      <w:r>
        <w:rPr>
          <w:rStyle w:val="OrangeFix"/>
        </w:rPr>
        <w:t xml:space="preserve">Identifiers (DIDs)</w:t>
      </w:r>
      <w:r>
        <w:t xml:space="preserve"> </w:t>
      </w:r>
      <w:r>
        <w:t xml:space="preserve">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[6, 18, 20, 36].</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[6, 36]. Other studies have examined privacy-preserving authentication and selective disclosure, allowing participants to prove selected attributes without unnecessarily revealing additional information [7, 26].</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w:t>
      </w:r>
      <w:r>
        <w:t xml:space="preserve"> </w:t>
      </w:r>
      <w:r>
        <w:rPr>
          <w:rStyle w:val="OrangeDelete"/>
        </w:rPr>
        <w:t xml:space="preserve">attributes.Reviews</w:t>
      </w:r>
      <w:r>
        <w:rPr>
          <w:rStyle w:val="OrangeFix"/>
        </w:rPr>
        <w:t xml:space="preserve">attributes. Reviews</w:t>
      </w:r>
      <w:r>
        <w:t xml:space="preserve"> </w:t>
      </w:r>
      <w:r>
        <w:t xml:space="preserve">of blockchain-based identity management for the Internet of Things</w:t>
      </w:r>
      <w:r>
        <w:t xml:space="preserve"> </w:t>
      </w:r>
      <w:r>
        <w:rPr>
          <w:rStyle w:val="OrangeFix"/>
        </w:rPr>
        <w:t xml:space="preserve">(IoT)</w:t>
      </w:r>
      <w:r>
        <w:t xml:space="preserve"> </w:t>
      </w:r>
      <w:r>
        <w:t xml:space="preserve">reach the same conclusion for constrained devices [17, 18]. 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pStyle w:val="BodyText"/>
      </w:pPr>
      <w:r>
        <w:t xml:space="preserve">Table 2.6 summarises the decentralised identity studies and their coverage of the key requirements.</w:t>
      </w:r>
    </w:p>
    <w:p>
      <w:pPr>
        <w:pStyle w:val="TableCaption"/>
      </w:pPr>
      <w:r>
        <w:t xml:space="preserve">Table 2.6: Descriptions, issues and limitations of the studies on decentralised identity and verifiable credentials and their coverage of the key requirements</w:t>
      </w:r>
    </w:p>
    <w:tbl>
      <w:tblPr>
        <w:tblStyle w:val="Table"/>
        <w:tblW w:type="pct" w:w="5000"/>
        <w:tblLayout w:type="fixed"/>
        <w:tblLook w:firstRow="1" w:lastRow="0" w:firstColumn="0" w:lastColumn="0" w:noHBand="0" w:noVBand="0" w:val="0020"/>
        <w:tblCaption w:val="Table 2.6: Descriptions, issues and limitations of the studies on decentralised identity and verifiable credentials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S15 [6]</w:t>
            </w:r>
          </w:p>
        </w:tc>
        <w:tc>
          <w:tcPr/>
          <w:p>
            <w:pPr>
              <w:pStyle w:val="Compact"/>
              <w:jc w:val="left"/>
            </w:pPr>
            <w:r>
              <w:t xml:space="preserve">FutureDID: a fully decentralised identity system in which identity claims are verified by multiple parties.</w:t>
            </w:r>
          </w:p>
        </w:tc>
        <w:tc>
          <w:tcPr/>
          <w:p>
            <w:pPr>
              <w:pStyle w:val="Compact"/>
              <w:jc w:val="left"/>
            </w:pPr>
            <w:r>
              <w:t xml:space="preserve">Multi-party verification applies to the identity claim, not to the authorisation of data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S16 [7]</w:t>
            </w:r>
          </w:p>
        </w:tc>
        <w:tc>
          <w:tcPr/>
          <w:p>
            <w:pPr>
              <w:pStyle w:val="Compact"/>
              <w:jc w:val="left"/>
            </w:pPr>
            <w:r>
              <w:t xml:space="preserve">Analysis of the cryptographic mechanisms available for the selective disclosure of verifiable credentials.</w:t>
            </w:r>
          </w:p>
        </w:tc>
        <w:tc>
          <w:tcPr/>
          <w:p>
            <w:pPr>
              <w:pStyle w:val="Compact"/>
              <w:jc w:val="left"/>
            </w:pPr>
            <w:r>
              <w:t xml:space="preserve">Concerns what a holder reveals, not whether the holder is authorised for a particular patient’s data.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S17 [17]</w:t>
            </w:r>
          </w:p>
        </w:tc>
        <w:tc>
          <w:tcPr/>
          <w:p>
            <w:pPr>
              <w:pStyle w:val="Compact"/>
              <w:jc w:val="left"/>
            </w:pPr>
            <w:r>
              <w:t xml:space="preserve">Review of blockchain-based identity management, access control and trust mechanisms for the IoT.</w:t>
            </w:r>
          </w:p>
        </w:tc>
        <w:tc>
          <w:tcPr/>
          <w:p>
            <w:pPr>
              <w:pStyle w:val="Compact"/>
              <w:jc w:val="left"/>
            </w:pPr>
            <w:r>
              <w:t xml:space="preserve">IoT-oriented; consent and multi-party approval are outside its scope.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S18 [18]</w:t>
            </w:r>
          </w:p>
        </w:tc>
        <w:tc>
          <w:tcPr/>
          <w:p>
            <w:pPr>
              <w:pStyle w:val="Compact"/>
              <w:jc w:val="left"/>
            </w:pPr>
            <w:r>
              <w:t xml:space="preserve">Overview of decentralised and self-sovereign identity for IoT authentication, authorisation and access control.</w:t>
            </w:r>
          </w:p>
        </w:tc>
        <w:tc>
          <w:tcPr/>
          <w:p>
            <w:pPr>
              <w:pStyle w:val="Compact"/>
              <w:jc w:val="left"/>
            </w:pPr>
            <w:r>
              <w:t xml:space="preserve">Establishes DIDs and VCs as the identity pillars; authorisation is derived from the credential alone.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S19 [20]</w:t>
            </w:r>
          </w:p>
        </w:tc>
        <w:tc>
          <w:tcPr/>
          <w:p>
            <w:pPr>
              <w:pStyle w:val="Compact"/>
              <w:jc w:val="left"/>
            </w:pPr>
            <w:r>
              <w:t xml:space="preserve">Comprehensive survey of decentralised identifiers and verifiable credentials, their standards, architectures and open issues.</w:t>
            </w:r>
          </w:p>
        </w:tc>
        <w:tc>
          <w:tcPr/>
          <w:p>
            <w:pPr>
              <w:pStyle w:val="Compact"/>
              <w:jc w:val="left"/>
            </w:pPr>
            <w:r>
              <w:t xml:space="preserve">Identity and credential validity are the end point; there is no link to consent-defined authority.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S20 [26]</w:t>
            </w:r>
          </w:p>
        </w:tc>
        <w:tc>
          <w:tcPr/>
          <w:p>
            <w:pPr>
              <w:pStyle w:val="Compact"/>
              <w:jc w:val="left"/>
            </w:pPr>
            <w:r>
              <w:t xml:space="preserve">DID/VC-based privacy-preserving authentication protocol with zero-knowledge proofs for electric-vehicle charging.</w:t>
            </w:r>
          </w:p>
        </w:tc>
        <w:tc>
          <w:tcPr/>
          <w:p>
            <w:pPr>
              <w:pStyle w:val="Compact"/>
              <w:jc w:val="left"/>
            </w:pPr>
            <w:r>
              <w:t xml:space="preserve">Shows DID/VC authentication in another domain; no consent or scope conditions.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S21 [36]</w:t>
            </w:r>
          </w:p>
        </w:tc>
        <w:tc>
          <w:tcPr/>
          <w:p>
            <w:pPr>
              <w:pStyle w:val="Compact"/>
              <w:jc w:val="left"/>
            </w:pPr>
            <w:r>
              <w:t xml:space="preserve">DP-DID: a dynamic and proactive decentralised identity system that supports identity updates and revocation.</w:t>
            </w:r>
          </w:p>
        </w:tc>
        <w:tc>
          <w:tcPr/>
          <w:p>
            <w:pPr>
              <w:pStyle w:val="Compact"/>
              <w:jc w:val="left"/>
            </w:pPr>
            <w:r>
              <w:t xml:space="preserve">Lifecycle handling applies to the identity, not to the consent that authorises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6"/>
    <w:bookmarkStart w:id="37" w:name="X836fdb855249812e1f666cb0298115c8e62a77c"/>
    <w:p>
      <w:pPr>
        <w:pStyle w:val="Heading3"/>
      </w:pPr>
      <w:r>
        <w:t xml:space="preserve">2.4.4 Multi-Party and Decentralised Governance</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[10, 11].</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w:t>
      </w:r>
      <w:r>
        <w:t xml:space="preserve"> </w:t>
      </w:r>
      <w:r>
        <w:rPr>
          <w:rStyle w:val="OrangeDelete"/>
        </w:rPr>
        <w:t xml:space="preserve">governance processes [19].A decentralised trust framework</w:t>
      </w:r>
      <w:r>
        <w:rPr>
          <w:rStyle w:val="OrangeFix"/>
        </w:rPr>
        <w:t xml:space="preserve">governance processes [19]. A decentralised trust framework</w:t>
      </w:r>
      <w:r>
        <w:t xml:space="preserve"> </w:t>
      </w:r>
      <w:r>
        <w:t xml:space="preserve">for multi-stakeholder livestock data sharing shows that controlled exposure to authorised entities can be achieved without a central authority [1]. A blockchain-aided data-governance framework for multi-stakeholder applications lets the data owner manage consent and disclose data selectively while the data consumers verify its provenance, and demonstrates this on an e-prescription case involving patients, doctors and pharmacists [8]. FutureDID further demonstrates that multi-party verification can be incorporated into decentralised identity processes [6].</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pStyle w:val="BodyText"/>
      </w:pPr>
      <w:r>
        <w:t xml:space="preserve">The closest existing approach to threshold-based authorisation is the multi-party pre-authorisation protocol of Tan et al. [29], in which a patient pre-delegates access authorisation to several parties using self-sovereign identity, secure multi-party computation and threshold cryptography, so that a record can be released only when a threshold of shares is combined. The threshold applies to cryptographic shares held by parties chosen in advance, however, and the resulting approval is not evaluated against the requester’s authority or the purpose and scope of the request.</w:t>
      </w:r>
    </w:p>
    <w:p>
      <w:pPr>
        <w:pStyle w:val="BodyText"/>
      </w:pPr>
      <w:r>
        <w:t xml:space="preserve">Table 2.7 summarises the multi-party governance studies and their coverage of the key requirements.</w:t>
      </w:r>
    </w:p>
    <w:p>
      <w:pPr>
        <w:pStyle w:val="TableCaption"/>
      </w:pPr>
      <w:r>
        <w:t xml:space="preserve">Table 2.7: Descriptions, issues and limitations of the studies on multi-party and decentralised governance and their coverage of the key requirements</w:t>
      </w:r>
    </w:p>
    <w:tbl>
      <w:tblPr>
        <w:tblStyle w:val="Table"/>
        <w:tblW w:type="pct" w:w="5000"/>
        <w:tblLayout w:type="fixed"/>
        <w:tblLook w:firstRow="1" w:lastRow="0" w:firstColumn="0" w:lastColumn="0" w:noHBand="0" w:noVBand="0" w:val="0020"/>
        <w:tblCaption w:val="Table 2.7: Descriptions, issues and limitations of the studies on multi-party and decentralised governance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S22 [1]</w:t>
            </w:r>
          </w:p>
        </w:tc>
        <w:tc>
          <w:tcPr/>
          <w:p>
            <w:pPr>
              <w:pStyle w:val="Compact"/>
              <w:jc w:val="left"/>
            </w:pPr>
            <w:r>
              <w:t xml:space="preserve">FLEX framework for decentralised trust and secure data sharing among livestock supply-chain stakeholders, with STRIDE threat modelling and an open-source implementation.</w:t>
            </w:r>
          </w:p>
        </w:tc>
        <w:tc>
          <w:tcPr/>
          <w:p>
            <w:pPr>
              <w:pStyle w:val="Compact"/>
              <w:jc w:val="left"/>
            </w:pPr>
            <w:r>
              <w:t xml:space="preserve">Controlled exposure to authorised entities is supported, but approvals are not aggregated to a threshold and consent is not modelled.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S23 [19]</w:t>
            </w:r>
          </w:p>
        </w:tc>
        <w:tc>
          <w:tcPr/>
          <w:p>
            <w:pPr>
              <w:pStyle w:val="Compact"/>
              <w:jc w:val="left"/>
            </w:pPr>
            <w:r>
              <w:t xml:space="preserve">Data Trusts as a Service: a platform through which multiple parties take part in data-sharing arrangements and their governance.</w:t>
            </w:r>
          </w:p>
        </w:tc>
        <w:tc>
          <w:tcPr/>
          <w:p>
            <w:pPr>
              <w:pStyle w:val="Compact"/>
              <w:jc w:val="left"/>
            </w:pPr>
            <w:r>
              <w:t xml:space="preserve">Governance is collective, but the individual access decision is not bound to identity verification or consent scope.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S24 [8]</w:t>
            </w:r>
          </w:p>
        </w:tc>
        <w:tc>
          <w:tcPr/>
          <w:p>
            <w:pPr>
              <w:pStyle w:val="Compact"/>
              <w:jc w:val="left"/>
            </w:pPr>
            <w:r>
              <w:t xml:space="preserve">Decentralised data-governance framework for multi-stakeholder applications that combines blockchain, proxy re-encryption and BBS signatures so that data owners can manage consent, disclose data selectively and let consumers verify provenance, evaluated on an e-prescription use case with patients, doctors and pharmacists.</w:t>
            </w:r>
          </w:p>
        </w:tc>
        <w:tc>
          <w:tcPr/>
          <w:p>
            <w:pPr>
              <w:pStyle w:val="Compact"/>
              <w:jc w:val="left"/>
            </w:pPr>
            <w:r>
              <w:t xml:space="preserve">Consent and selective disclosure are controlled by the data owner alone; the requester’s authority and any multi-party approval threshold are not evaluated before the data is released.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S25 [29]</w:t>
            </w:r>
          </w:p>
        </w:tc>
        <w:tc>
          <w:tcPr/>
          <w:p>
            <w:pPr>
              <w:pStyle w:val="Compact"/>
              <w:jc w:val="left"/>
            </w:pPr>
            <w:r>
              <w:t xml:space="preserve">Patient-centric protocol in which the patient pre-delegates authorisation for EHR access to several parties, combining self-sovereign identity with secure multi-party computation and threshold cryptography so that access requires a threshold of shares.</w:t>
            </w:r>
          </w:p>
        </w:tc>
        <w:tc>
          <w:tcPr/>
          <w:p>
            <w:pPr>
              <w:pStyle w:val="Compact"/>
              <w:jc w:val="left"/>
            </w:pPr>
            <w:r>
              <w:t xml:space="preserve">The threshold applies to cryptographic shares held by parties fixed in advance; the approval is not evaluated against the requester’s authority or the purpose and scope of the request.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7"/>
    <w:bookmarkStart w:id="38" w:name="X65ac327857ae873d38ffe426701abf3e34d1162"/>
    <w:p>
      <w:pPr>
        <w:pStyle w:val="Heading3"/>
      </w:pPr>
      <w:r>
        <w:t xml:space="preserve">2.4.5 Policy-Based and Healthcare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[35]. Risk-aware and usage-control models have further investigated how access decisions can incorporate dynamic conditions and constraints beyond traditional role-based permissions [13].</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[24, 30].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 medications and procedures,</w:t>
      </w:r>
    </w:p>
    <w:p>
      <w:pPr>
        <w:pStyle w:val="BodyText"/>
      </w:pPr>
      <m:oMathPara>
        <m:oMathParaPr>
          <m:jc m:val="center"/>
        </m:oMathParaPr>
        <m:oMath>
          <m:sSub>
            <m:e>
              <m:r>
                <m:t>S</m:t>
              </m:r>
            </m:e>
            <m:sub>
              <m:r>
                <m:t>C</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3</m:t>
          </m:r>
          <m:r>
            <m:rPr>
              <m:sty m:val="p"/>
            </m:rPr>
            <m:t>)</m:t>
          </m:r>
        </m:oMath>
      </m:oMathPara>
    </w:p>
    <w:p>
      <w:pPr>
        <w:pStyle w:val="FirstParagraph"/>
      </w:pPr>
      <w:r>
        <w:t xml:space="preserve">then a request for medications, procedures, and observations,</w:t>
      </w:r>
    </w:p>
    <w:p>
      <w:pPr>
        <w:pStyle w:val="BodyText"/>
      </w:pPr>
      <m:oMathPara>
        <m:oMathParaPr>
          <m:jc m:val="center"/>
        </m:oMathParaPr>
        <m:oMath>
          <m:sSub>
            <m:e>
              <m:r>
                <m:t>S</m:t>
              </m:r>
            </m:e>
            <m:sub>
              <m:r>
                <m:t>R</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O</m:t>
          </m:r>
          <m:r>
            <m:t>b</m:t>
          </m:r>
          <m:r>
            <m:t>s</m:t>
          </m:r>
          <m:r>
            <m:t>e</m:t>
          </m:r>
          <m:r>
            <m:t>r</m:t>
          </m:r>
          <m:r>
            <m:t>v</m:t>
          </m:r>
          <m:r>
            <m:t>a</m:t>
          </m:r>
          <m:r>
            <m:t>t</m:t>
          </m:r>
          <m:r>
            <m:t>i</m:t>
          </m:r>
          <m:r>
            <m:t>o</m:t>
          </m:r>
          <m:r>
            <m:t>n</m:t>
          </m:r>
          <m:r>
            <m:rPr>
              <m:sty m:val="p"/>
            </m:rPr>
            <m:t>}</m:t>
          </m:r>
          <m:r>
            <m:rPr>
              <m:sty m:val="p"/>
            </m:rPr>
            <m:t>,</m:t>
          </m:r>
          <m:r>
            <m:t>  </m:t>
          </m:r>
          <m:r>
            <m:t>  </m:t>
          </m:r>
          <m:r>
            <m:rPr>
              <m:sty m:val="p"/>
            </m:rPr>
            <m:t>(</m:t>
          </m:r>
          <m:r>
            <m:t>4</m:t>
          </m:r>
          <m:r>
            <m:rPr>
              <m:sty m:val="p"/>
            </m: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BodyText"/>
      </w:pPr>
      <w:r>
        <w:t xml:space="preserve">Purpose-based access control has also been combined with blockchain audit trails so that every access is recorded together with its declared purpose [31], and policy-based access control governed by smart contracts allows the subject, controller and requester roles of the GDPR to grant, revoke and inspect access rights [34]. In both cases the purpose is checked against a policy rather than against the purpose the patient consented to. SmartAccess goes further by letting the organisations involved agree jointly on attribute-based access policies enforced by smart contracts [5]; the agreement is between organisations, however, rather than between the patient and the parties who must approve access.</w:t>
      </w:r>
    </w:p>
    <w:p>
      <w:pPr>
        <w:pStyle w:val="BodyText"/>
      </w:pPr>
      <w:r>
        <w:t xml:space="preserve">Table 2.8 summarises the access-control studies and their coverage of the key requirements.</w:t>
      </w:r>
    </w:p>
    <w:p>
      <w:pPr>
        <w:pStyle w:val="TableCaption"/>
      </w:pPr>
      <w:r>
        <w:t xml:space="preserve">Table 2.8: Descriptions, issues and limitations of the studies on policy-based and healthcare access control and their coverage of the key requirements</w:t>
      </w:r>
    </w:p>
    <w:tbl>
      <w:tblPr>
        <w:tblStyle w:val="Table"/>
        <w:tblW w:type="pct" w:w="5000"/>
        <w:tblLayout w:type="fixed"/>
        <w:tblLook w:firstRow="1" w:lastRow="0" w:firstColumn="0" w:lastColumn="0" w:noHBand="0" w:noVBand="0" w:val="0020"/>
        <w:tblCaption w:val="Table 2.8: Descriptions, issues and limitations of the studies on policy-based and healthcare access control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S26 [13]</w:t>
            </w:r>
          </w:p>
        </w:tc>
        <w:tc>
          <w:tcPr/>
          <w:p>
            <w:pPr>
              <w:pStyle w:val="Compact"/>
              <w:jc w:val="left"/>
            </w:pPr>
            <w:r>
              <w:t xml:space="preserve">RQ-UCON: a usage-control model for healthcare big data that quantifies physician risk from visit history and adjusts access rights in real time.</w:t>
            </w:r>
          </w:p>
        </w:tc>
        <w:tc>
          <w:tcPr/>
          <w:p>
            <w:pPr>
              <w:pStyle w:val="Compact"/>
              <w:jc w:val="left"/>
            </w:pPr>
            <w:r>
              <w:t xml:space="preserve">Access is conditioned on risk and usage, not on patient consent or multi-party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S27 [24]</w:t>
            </w:r>
          </w:p>
        </w:tc>
        <w:tc>
          <w:tcPr/>
          <w:p>
            <w:pPr>
              <w:pStyle w:val="Compact"/>
              <w:jc w:val="left"/>
            </w:pPr>
            <w:r>
              <w:t xml:space="preserve">Survey of access control in healthcare IoT (RBAC, ABAC, CapBAC, CAAC), emergency access, privacy compliance and DID/VC-based authorisation.</w:t>
            </w:r>
          </w:p>
        </w:tc>
        <w:tc>
          <w:tcPr/>
          <w:p>
            <w:pPr>
              <w:pStyle w:val="Compact"/>
              <w:jc w:val="left"/>
            </w:pPr>
            <w:r>
              <w:t xml:space="preserve">Surveys the models in isolation; the integration of consent, identity and collective approval is identified as a gap, not solved.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S28 [30]</w:t>
            </w:r>
          </w:p>
        </w:tc>
        <w:tc>
          <w:tcPr/>
          <w:p>
            <w:pPr>
              <w:pStyle w:val="Compact"/>
              <w:jc w:val="left"/>
            </w:pPr>
            <w:r>
              <w:t xml:space="preserve">Survey of 45 blockchain-based access-control and privacy-preservation frameworks for EHRs, including smart-contract authentication and cryptographic techniques.</w:t>
            </w:r>
          </w:p>
        </w:tc>
        <w:tc>
          <w:tcPr/>
          <w:p>
            <w:pPr>
              <w:pStyle w:val="Compact"/>
              <w:jc w:val="left"/>
            </w:pPr>
            <w:r>
              <w:t xml:space="preserve">Smart contracts enforce rules, but the surveyed frameworks do not evaluate multi-party consent conditions.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S29 [35]</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Cryptographic enforcement of attribute policies; authority and consent approval are assumed rather than verified.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S30 [5]</w:t>
            </w:r>
          </w:p>
        </w:tc>
        <w:tc>
          <w:tcPr/>
          <w:p>
            <w:pPr>
              <w:pStyle w:val="Compact"/>
              <w:jc w:val="left"/>
            </w:pPr>
            <w:r>
              <w:t xml:space="preserve">SmartAccess: attribute-based access control for cross-organisation medical-record sharing implemented as smart contracts on a permissioned blockchain, with joint agreement over access policies, a threat model and a performance evaluation.</w:t>
            </w:r>
          </w:p>
        </w:tc>
        <w:tc>
          <w:tcPr/>
          <w:p>
            <w:pPr>
              <w:pStyle w:val="Compact"/>
              <w:jc w:val="left"/>
            </w:pPr>
            <w:r>
              <w:t xml:space="preserve">Policies are agreed jointly by organisations, not by the patient and guardians; the decision follows attributes rather than the purpose and scope of a consent.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S31 [31]</w:t>
            </w:r>
          </w:p>
        </w:tc>
        <w:tc>
          <w:tcPr/>
          <w:p>
            <w:pPr>
              <w:pStyle w:val="Compact"/>
              <w:jc w:val="left"/>
            </w:pPr>
            <w:r>
              <w:t xml:space="preserve">Blockchain-based EHR access auditing that records who accessed which record, when and for what purpose, combined with purpose-based access control enforced by smart contracts.</w:t>
            </w:r>
          </w:p>
        </w:tc>
        <w:tc>
          <w:tcPr/>
          <w:p>
            <w:pPr>
              <w:pStyle w:val="Compact"/>
              <w:jc w:val="left"/>
            </w:pPr>
            <w:r>
              <w:t xml:space="preserve">Purpose is checked against a policy, not against the purpose the patient consented to; no identity verification or collective approval.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S32 [34]</w:t>
            </w:r>
          </w:p>
        </w:tc>
        <w:tc>
          <w:tcPr/>
          <w:p>
            <w:pPr>
              <w:pStyle w:val="Compact"/>
              <w:jc w:val="left"/>
            </w:pPr>
            <w:r>
              <w:t xml:space="preserve">Policy-based access control for EHRs governed by smart contracts, in which the subject, controller and requester roles of the GDPR can grant, revoke and inspect access rights.</w:t>
            </w:r>
          </w:p>
        </w:tc>
        <w:tc>
          <w:tcPr/>
          <w:p>
            <w:pPr>
              <w:pStyle w:val="Compact"/>
              <w:jc w:val="left"/>
            </w:pPr>
            <w:r>
              <w:t xml:space="preserve">Policies are role-based; consent is implicit in the subject’s grant and no threshold of approvals is 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8"/>
    <w:bookmarkStart w:id="39" w:name="X70697d1bf80033494359f9b6207e02cd31d6057"/>
    <w:p>
      <w:pPr>
        <w:pStyle w:val="Heading3"/>
      </w:pPr>
      <w:r>
        <w:t xml:space="preserve">2.4.6 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[22]. Remote attestation mechanisms can further provide evidence concerning the integrity of the execution environment in which a security-sensitive process is performed.</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BodyText"/>
      </w:pPr>
      <w:r>
        <w:t xml:space="preserve">Integrating trusted execution and remote attestation with the proposed authorisation model is outside the current scope and is identified as future work (Section 10.2).</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pStyle w:val="BodyText"/>
      </w:pPr>
      <w:r>
        <w:t xml:space="preserve">Table 2.9 summarises the Trusted Computing study and its coverage of the key requirements.</w:t>
      </w:r>
    </w:p>
    <w:p>
      <w:pPr>
        <w:pStyle w:val="TableCaption"/>
      </w:pPr>
      <w:r>
        <w:t xml:space="preserve">Table 2.9: Descriptions, issues and limitations of the studies on</w:t>
      </w:r>
      <w:r>
        <w:t xml:space="preserve"> </w:t>
      </w:r>
      <w:r>
        <w:rPr>
          <w:rStyle w:val="OrangeDelete"/>
        </w:rPr>
        <w:t xml:space="preserve">trusted computing</w:t>
      </w:r>
      <w:r>
        <w:rPr>
          <w:rStyle w:val="OrangeFix"/>
        </w:rPr>
        <w:t xml:space="preserve">Trusted Computing</w:t>
      </w:r>
      <w:r>
        <w:t xml:space="preserve"> </w:t>
      </w:r>
      <w:r>
        <w:t xml:space="preserve">and secure execution and their coverage of the key requirements</w:t>
      </w:r>
    </w:p>
    <w:tbl>
      <w:tblPr>
        <w:tblStyle w:val="Table"/>
        <w:tblW w:type="pct" w:w="5000"/>
        <w:tblLayout w:type="fixed"/>
        <w:tblLook w:firstRow="1" w:lastRow="0" w:firstColumn="0" w:lastColumn="0" w:noHBand="0" w:noVBand="0" w:val="0020"/>
        <w:tblCaption w:val="Table 2.9: Descriptions, issues and limitations of the studies on trusted computingTrusted Computing and secure execution and their coverage of the key requirements"/>
      </w:tblPr>
      <w:tblGrid>
        <w:gridCol w:w="546"/>
        <w:gridCol w:w="2321"/>
        <w:gridCol w:w="2321"/>
        <w:gridCol w:w="546"/>
        <w:gridCol w:w="546"/>
        <w:gridCol w:w="546"/>
        <w:gridCol w:w="546"/>
        <w:gridCol w:w="546"/>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left"/>
            </w:pPr>
            <w:r>
              <w:rPr>
                <w:b/>
                <w:bCs/>
              </w:rPr>
              <w:t xml:space="preserve">Req 1</w:t>
            </w:r>
          </w:p>
        </w:tc>
        <w:tc>
          <w:tcPr>
            <w:tcBorders>
              <w:bottom w:val="single" w:sz="8" w:space="0" w:color="000000"/>
            </w:tcBorders>
            <w:shd w:val="clear" w:color="auto" w:fill="E7E6E6"/>
            <w:vAlign w:val="center"/>
          </w:tcPr>
          <w:p>
            <w:pPr>
              <w:pStyle w:val="Compact"/>
              <w:jc w:val="left"/>
            </w:pPr>
            <w:r>
              <w:rPr>
                <w:b/>
                <w:bCs/>
              </w:rPr>
              <w:t xml:space="preserve">Req 2</w:t>
            </w:r>
          </w:p>
        </w:tc>
        <w:tc>
          <w:tcPr>
            <w:tcBorders>
              <w:bottom w:val="single" w:sz="8" w:space="0" w:color="000000"/>
            </w:tcBorders>
            <w:shd w:val="clear" w:color="auto" w:fill="E7E6E6"/>
            <w:vAlign w:val="center"/>
          </w:tcPr>
          <w:p>
            <w:pPr>
              <w:pStyle w:val="Compact"/>
              <w:jc w:val="left"/>
            </w:pPr>
            <w:r>
              <w:rPr>
                <w:b/>
                <w:bCs/>
              </w:rPr>
              <w:t xml:space="preserve">Req 3</w:t>
            </w:r>
          </w:p>
        </w:tc>
        <w:tc>
          <w:tcPr>
            <w:tcBorders>
              <w:bottom w:val="single" w:sz="8" w:space="0" w:color="000000"/>
            </w:tcBorders>
            <w:shd w:val="clear" w:color="auto" w:fill="E7E6E6"/>
            <w:vAlign w:val="center"/>
          </w:tcPr>
          <w:p>
            <w:pPr>
              <w:pStyle w:val="Compact"/>
              <w:jc w:val="left"/>
            </w:pPr>
            <w:r>
              <w:rPr>
                <w:b/>
                <w:bCs/>
              </w:rPr>
              <w:t xml:space="preserve">Req 4</w:t>
            </w:r>
          </w:p>
        </w:tc>
        <w:tc>
          <w:tcPr>
            <w:tcBorders>
              <w:bottom w:val="single" w:sz="8" w:space="0" w:color="000000"/>
            </w:tcBorders>
            <w:shd w:val="clear" w:color="auto" w:fill="E7E6E6"/>
            <w:vAlign w:val="center"/>
          </w:tcPr>
          <w:p>
            <w:pPr>
              <w:pStyle w:val="Compact"/>
              <w:jc w:val="left"/>
            </w:pPr>
            <w:r>
              <w:rPr>
                <w:b/>
                <w:bCs/>
              </w:rPr>
              <w:t xml:space="preserve">Req 5</w:t>
            </w:r>
          </w:p>
        </w:tc>
      </w:tr>
      <w:tr>
        <w:trPr>
          <w:cantSplit/>
        </w:trPr>
        <w:tc>
          <w:tcPr/>
          <w:p>
            <w:pPr>
              <w:pStyle w:val="Compact"/>
              <w:jc w:val="left"/>
            </w:pPr>
            <w:r>
              <w:t xml:space="preserve">S33 [22]</w:t>
            </w:r>
          </w:p>
        </w:tc>
        <w:tc>
          <w:tcPr/>
          <w:p>
            <w:pPr>
              <w:pStyle w:val="Compact"/>
              <w:jc w:val="left"/>
            </w:pPr>
            <w:r>
              <w:t xml:space="preserve">Systematic explanation of remote-attestation mechanisms for trusted execution environments.</w:t>
            </w:r>
          </w:p>
        </w:tc>
        <w:tc>
          <w:tcPr/>
          <w:p>
            <w:pPr>
              <w:pStyle w:val="Compact"/>
              <w:jc w:val="left"/>
            </w:pPr>
            <w:r>
              <w:t xml:space="preserve">Protects the execution; it says nothing about whether the authorisation policy being executed is correct.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9"/>
    <w:bookmarkStart w:id="40" w:name="X825064b2f9c6a59f6907e485e5a8e31c4a70bee"/>
    <w:p>
      <w:pPr>
        <w:pStyle w:val="Heading3"/>
      </w:pPr>
      <w:r>
        <w:t xml:space="preserve">2.4.7 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t xml:space="preserve">Table 2.10 summarises the principal focus and limitations of the major research streams and positions the proposed framework relative to the existing literature.</w:t>
      </w:r>
    </w:p>
    <w:p>
      <w:pPr>
        <w:pStyle w:val="TableCaption"/>
      </w:pPr>
      <w:r>
        <w:t xml:space="preserve">Table 2.10: Comparison of the existing research streams and the proposed framework</w:t>
      </w:r>
    </w:p>
    <w:tbl>
      <w:tblPr>
        <w:tblStyle w:val="Table"/>
        <w:tblW w:type="pct" w:w="5000"/>
        <w:tblLayout w:type="fixed"/>
        <w:tblLook w:firstRow="1" w:lastRow="0" w:firstColumn="0" w:lastColumn="0" w:noHBand="0" w:noVBand="0" w:val="0020"/>
        <w:tblCaption w:val="Table 2.10: Comparison of the existing research streams and the proposed framework"/>
      </w:tblPr>
      <w:tblGrid>
        <w:gridCol w:w="2117"/>
        <w:gridCol w:w="2160"/>
        <w:gridCol w:w="2160"/>
        <w:gridCol w:w="148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t xml:space="preserve">[10, 12, 15, 21, 23, 27, 28, 33]</w:t>
            </w:r>
          </w:p>
        </w:tc>
      </w:tr>
      <w:tr>
        <w:trPr>
          <w:cantSplit/>
        </w:trPr>
        <w:tc>
          <w:tcPr/>
          <w:p>
            <w:pPr>
              <w:pStyle w:val="Compact"/>
              <w:jc w:val="left"/>
            </w:pPr>
            <w:r>
              <w:t xml:space="preserve">Blockchain-based 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t xml:space="preserve">[2, 3, 4, 9, 25]</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t xml:space="preserve">[6, 7, 18, 20, 26, 36]</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t xml:space="preserve">[1, 6, 8, 11, 19, 29]</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t xml:space="preserve">[5, 13, 24, 30, 31, 34, 35]</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t xml:space="preserve">[22]</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40"/>
    <w:bookmarkEnd w:id="41"/>
    <w:bookmarkStart w:id="42" w:name="X8f0d5a13a2d56d21e1bec7d2ebd521767d7b0f3"/>
    <w:p>
      <w:pPr>
        <w:pStyle w:val="Heading2"/>
      </w:pPr>
      <w:r>
        <w:t xml:space="preserve">2.5 Research Gaps in the Existing Studies from the Requirement Perspective</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odyText"/>
      </w:pPr>
      <w:r>
        <w:t xml:space="preserve">From the perspective of the five key requirements defined in Section 2.2, the shortlisted studies (Tables 2.4–2.9) show the following gaps:</w:t>
      </w:r>
    </w:p>
    <w:p>
      <w:pPr>
        <w:numPr>
          <w:ilvl w:val="0"/>
          <w:numId w:val="1004"/>
        </w:numPr>
      </w:pPr>
      <w:r>
        <w:rPr>
          <w:b/>
          <w:bCs/>
        </w:rPr>
        <w:t xml:space="preserve">Consent as an evaluable authorisation object (Req 1).</w:t>
      </w:r>
      <w:r>
        <w:t xml:space="preserve"> </w:t>
      </w:r>
      <w:r>
        <w:t xml:space="preserve">Only S2, S3, S4, S5, S6, S7, S8, S14, S24 treat consent as more than a stored permission, and even these stop at recording, encrypting, executing or legally defining consent. None of the studies represents consent as an object that carries the identity, authority, approval, purpose and scope conditions required to evaluate a later request.</w:t>
      </w:r>
    </w:p>
    <w:p>
      <w:pPr>
        <w:numPr>
          <w:ilvl w:val="0"/>
          <w:numId w:val="1004"/>
        </w:numPr>
      </w:pPr>
      <w:r>
        <w:rPr>
          <w:b/>
          <w:bCs/>
        </w:rPr>
        <w:t xml:space="preserve">Verifiable identity separated from authority (Req 2).</w:t>
      </w:r>
      <w:r>
        <w:t xml:space="preserve"> </w:t>
      </w:r>
      <w:r>
        <w:t xml:space="preserve">The decentralised identity studies (S15, S16, S17, S18, S19, S20, S21), the multi-party and access-control studies S22, S25, S27 and the paediatric record-access review S9 establish who a participant is, but in every case the credential is treated as the end of the decision. No study models the authority required by a particular consent as a condition that is verified separately from identity.</w:t>
      </w:r>
    </w:p>
    <w:p>
      <w:pPr>
        <w:numPr>
          <w:ilvl w:val="0"/>
          <w:numId w:val="1004"/>
        </w:numPr>
      </w:pPr>
      <w:r>
        <w:rPr>
          <w:b/>
          <w:bCs/>
        </w:rPr>
        <w:t xml:space="preserve">Multi-party threshold authorisation (Req 3).</w:t>
      </w:r>
      <w:r>
        <w:t xml:space="preserve"> </w:t>
      </w:r>
      <w:r>
        <w:t xml:space="preserve">Multi-party mechanisms appear in S15, S23, S25: multi-party verification of identity claims, collective governance of data trusts, collective decision-making and threshold-based pre-authorisation of record access. In none of them is a threshold of independently verified approvals attached to the patient’s consent and evaluated when access is requested.</w:t>
      </w:r>
    </w:p>
    <w:p>
      <w:pPr>
        <w:numPr>
          <w:ilvl w:val="0"/>
          <w:numId w:val="1004"/>
        </w:numPr>
      </w:pPr>
      <w:r>
        <w:rPr>
          <w:b/>
          <w:bCs/>
        </w:rPr>
        <w:t xml:space="preserve">Purpose- and scope-bound access (Req 4).</w:t>
      </w:r>
      <w:r>
        <w:t xml:space="preserve"> </w:t>
      </w:r>
      <w:r>
        <w:t xml:space="preserve">Policy-based enforcement is well covered (S7, S10, S11, S12, S13, S17, S18, S22, S23, S24, S26, S27, S28, S29, S30, S31, S32), yet the policy is evaluated against roles, attributes, purpose trees or risk rather than against the purpose and data scope stated in the patient’s consent, so a verified and approved requester can still obtain data outside the authorised scope.</w:t>
      </w:r>
    </w:p>
    <w:p>
      <w:pPr>
        <w:numPr>
          <w:ilvl w:val="0"/>
          <w:numId w:val="1004"/>
        </w:numPr>
      </w:pPr>
      <w:r>
        <w:rPr>
          <w:b/>
          <w:bCs/>
        </w:rPr>
        <w:t xml:space="preserve">Lifecycle validity and auditable evidence (Req 5).</w:t>
      </w:r>
      <w:r>
        <w:t xml:space="preserve"> </w:t>
      </w:r>
      <w:r>
        <w:t xml:space="preserve">Audit trails and revocation are provided by S2, S3, S6, S7, S8, S10, S11, S12, S13, S14, S21, S22, S24, S26, S28, S30, S31, S32, but expiry, revocation and state transitions of the consent itself are not evaluated at the time of the request, and the recorded evidence describes transactions rather than the trust conditions under which each decision was made.</w:t>
      </w:r>
    </w:p>
    <w:p>
      <w:pPr>
        <w:pStyle w:val="FirstParagraph"/>
      </w:pPr>
      <w:r>
        <w:t xml:space="preserve">These gaps are addressed in the following order by the research objectives of Chapter</w:t>
      </w:r>
      <w:r>
        <w:t xml:space="preserve"> </w:t>
      </w:r>
      <w:r>
        <w:rPr>
          <w:rStyle w:val="OrangeDelete"/>
        </w:rPr>
        <w:t xml:space="preserve">3:</w:t>
      </w:r>
      <w:r>
        <w:rPr>
          <w:rStyle w:val="OrangeFix"/>
        </w:rPr>
        <w:t xml:space="preserve">4:</w:t>
      </w:r>
      <w:r>
        <w:t xml:space="preserve"> </w:t>
      </w:r>
      <w:r>
        <w:t xml:space="preserve">RO1 (Req 1), RO2 (Req 2), RO3 (Req 3), RO4 (Req 4) and RO5 (Req 5), with RO6 providing the formal and empirical validation of the resulting decisions.</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42"/>
    <w:bookmarkStart w:id="43" w:name="conclusion"/>
    <w:p>
      <w:pPr>
        <w:pStyle w:val="Heading2"/>
      </w:pPr>
      <w:r>
        <w:t xml:space="preserve">2.6 Conclusion</w:t>
      </w:r>
    </w:p>
    <w:p>
      <w:pPr>
        <w:pStyle w:val="FirstParagraph"/>
      </w:pPr>
      <w:r>
        <w:t xml:space="preserve">This systematic literature review identified five key requirements that a trust-oriented healthcare consent authorisation framework should satisfy: an evaluable consent object, verifiable identity separated from authority, multi-party threshold authorisation, purpose- and scope-bound access, and lifecycle validity with auditable evidence. Following a four-step shortlisting process, 33 studies published between 2022 and 2026 were categorised into six areas and evaluated against these requirements. The review shows that each requirement is addressed in isolation by at least one stream of research, but that no existing approach combines them into a single, independently verifiable authorisation decision. In particular, consent continues to be treated as a record rather than as an object to be evaluated, multi-party approval is not modelled as a condition of that object, and policy enforcement is not bound to the purpose and scope the patient authorised.</w:t>
      </w:r>
    </w:p>
    <w:p>
      <w:pPr>
        <w:pStyle w:val="BodyText"/>
      </w:pPr>
      <w:r>
        <w:t xml:space="preserve">These findings motivate the research questions and objectives presented in</w:t>
      </w:r>
      <w:r>
        <w:t xml:space="preserve"> </w:t>
      </w:r>
      <w:r>
        <w:rPr>
          <w:rStyle w:val="OrangeDelete"/>
        </w:rPr>
        <w:t xml:space="preserve">the next chapter</w:t>
      </w:r>
      <w:r>
        <w:rPr>
          <w:rStyle w:val="OrangeFix"/>
        </w:rPr>
        <w:t xml:space="preserve">Chapters 3 and 4</w:t>
      </w:r>
      <w:r>
        <w:t xml:space="preserve"> </w:t>
      </w:r>
      <w:r>
        <w:t xml:space="preserve">and the trust-oriented consent authorisation framework proposed in Chapters 5 and 6, in which decentralised identifiers, verifiable credentials, threshold-based approval and policy evaluation contribute to one explainable decision.</w:t>
      </w:r>
    </w:p>
    <w:bookmarkEnd w:id="43"/>
    <w:bookmarkEnd w:id="44"/>
    <w:bookmarkStart w:id="55" w:name="research-gaps-and-questions"/>
    <w:p>
      <w:pPr>
        <w:pStyle w:val="Heading1"/>
      </w:pPr>
      <w:r>
        <w:t xml:space="preserve">3 Research Gaps and Questions</w:t>
      </w:r>
    </w:p>
    <w:bookmarkStart w:id="45" w:name="research-gap"/>
    <w:p>
      <w:pPr>
        <w:pStyle w:val="Heading2"/>
      </w:pPr>
      <w:r>
        <w:t xml:space="preserve">3.1 Research Gap</w:t>
      </w:r>
    </w:p>
    <w:p>
      <w:pPr>
        <w:pStyle w:val="FirstParagraph"/>
      </w:pPr>
      <w: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pStyle w:val="BodyText"/>
      </w:pPr>
      <w:r>
        <w:t xml:space="preserve">In particular, the review defined five key requirements for a trust-oriented consent authorisation framework (Section 2.2) and assessed each of the</w:t>
      </w:r>
      <w:r>
        <w:t xml:space="preserve"> </w:t>
      </w:r>
      <w:r>
        <w:rPr>
          <w:rStyle w:val="OrangeDelete"/>
        </w:rPr>
        <w:t xml:space="preserve">28</w:t>
      </w:r>
      <w:r>
        <w:rPr>
          <w:rStyle w:val="OrangeFix"/>
        </w:rPr>
        <w:t xml:space="preserve">33</w:t>
      </w:r>
      <w:r>
        <w:t xml:space="preserve"> </w:t>
      </w:r>
      <w:r>
        <w:t xml:space="preserve">shortlisted studies against them (Tables 2.4–2.9). No study satisfies more than three of the five requirements, and none treats consent as an evaluable object (Req 1) while also providing multi-party threshold authorisation (Req 3); the gaps are stated requirement by requirement in Section 2.5.</w:t>
      </w:r>
    </w:p>
    <w:p>
      <w:pPr>
        <w:pStyle w:val="BodyText"/>
      </w:pPr>
      <w: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pStyle w:val="BodyText"/>
      </w:pPr>
      <w:r>
        <w:t xml:space="preserve">This distinction is important because</w:t>
      </w:r>
      <w:r>
        <w:t xml:space="preserve"> </w:t>
      </w:r>
      <w:r>
        <w:rPr>
          <w:i/>
          <w:iCs/>
        </w:rPr>
        <w:t xml:space="preserve">recording consent</w:t>
      </w:r>
      <w:r>
        <w:t xml:space="preserve"> </w:t>
      </w:r>
      <w:r>
        <w:t xml:space="preserve">and</w:t>
      </w:r>
      <w:r>
        <w:t xml:space="preserve"> </w:t>
      </w:r>
      <w:r>
        <w:rPr>
          <w:i/>
          <w:iCs/>
        </w:rPr>
        <w:t xml:space="preserve">enforcing trustworthy authorisation</w:t>
      </w:r>
      <w:r>
        <w:t xml:space="preserve"> </w:t>
      </w:r>
      <w:r>
        <w:t xml:space="preserve">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pStyle w:val="BodyText"/>
      </w:pPr>
      <w: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pStyle w:val="BodyText"/>
      </w:pPr>
      <w:r>
        <w:t xml:space="preserve">This perspective also introduces an important distinction between</w:t>
      </w:r>
      <w:r>
        <w:t xml:space="preserve"> </w:t>
      </w:r>
      <w:r>
        <w:rPr>
          <w:i/>
          <w:iCs/>
        </w:rPr>
        <w:t xml:space="preserve">authentication</w:t>
      </w:r>
      <w:r>
        <w:t xml:space="preserve">,</w:t>
      </w:r>
      <w:r>
        <w:t xml:space="preserve"> </w:t>
      </w:r>
      <w:r>
        <w:rPr>
          <w:i/>
          <w:iCs/>
        </w:rPr>
        <w:t xml:space="preserve">authorisation</w:t>
      </w:r>
      <w:r>
        <w:t xml:space="preserve">, and</w:t>
      </w:r>
      <w:r>
        <w:t xml:space="preserve"> </w:t>
      </w:r>
      <w:r>
        <w:rPr>
          <w:i/>
          <w:iCs/>
        </w:rPr>
        <w:t xml:space="preserve">trustworthy access</w:t>
      </w:r>
      <w:r>
        <w:t xml:space="preserve">.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pStyle w:val="BodyText"/>
      </w:pPr>
      <w: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pStyle w:val="BodyText"/>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bookmarkEnd w:id="45"/>
    <w:bookmarkStart w:id="46" w:name="main-research-question"/>
    <w:p>
      <w:pPr>
        <w:pStyle w:val="Heading2"/>
      </w:pPr>
      <w:r>
        <w:t xml:space="preserve">3.2 Main Research Question</w:t>
      </w:r>
    </w:p>
    <w:p>
      <w:pPr>
        <w:pStyle w:val="FirstParagraph"/>
      </w:pPr>
      <w:r>
        <w:t xml:space="preserve">Based on the identified research gap, the overarching research question is formulated as follows:</w:t>
      </w:r>
    </w:p>
    <w:p>
      <w:pPr>
        <w:pStyle w:val="BlockText"/>
      </w:pPr>
      <w:r>
        <w:rPr>
          <w:i/>
          <w:iCs/>
        </w:rPr>
        <w:t xml:space="preserve">How can a trust-oriented computing framework establish and enforce trustworthy multi-party consent for decentralised healthcare data sharing under identity, authority, and policy constraints?</w:t>
      </w:r>
    </w:p>
    <w:p>
      <w:pPr>
        <w:pStyle w:val="FirstParagraph"/>
      </w:pPr>
      <w:r>
        <w:t xml:space="preserve">The formulation of this question deliberately emphasises</w:t>
      </w:r>
      <w:r>
        <w:t xml:space="preserve"> </w:t>
      </w:r>
      <w:r>
        <w:rPr>
          <w:i/>
          <w:iCs/>
        </w:rPr>
        <w:t xml:space="preserve">trust-oriented computing</w:t>
      </w:r>
      <w:r>
        <w:t xml:space="preserve"> </w:t>
      </w:r>
      <w:r>
        <w:t xml:space="preserve">rather than any individual implementation technology. The terms</w:t>
      </w:r>
      <w:r>
        <w:t xml:space="preserve"> </w:t>
      </w:r>
      <w:r>
        <w:rPr>
          <w:i/>
          <w:iCs/>
        </w:rPr>
        <w:t xml:space="preserve">establish</w:t>
      </w:r>
      <w:r>
        <w:t xml:space="preserve"> </w:t>
      </w:r>
      <w:r>
        <w:t xml:space="preserve">and</w:t>
      </w:r>
      <w:r>
        <w:t xml:space="preserve"> </w:t>
      </w:r>
      <w:r>
        <w:rPr>
          <w:i/>
          <w:iCs/>
        </w:rPr>
        <w:t xml:space="preserve">enforce</w:t>
      </w:r>
      <w:r>
        <w:t xml:space="preserve"> </w:t>
      </w:r>
      <w:r>
        <w:t xml:space="preserve">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BodyText"/>
      </w:pPr>
      <w: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pStyle w:val="BodyText"/>
      </w:pPr>
      <w:r>
        <w:t xml:space="preserve">For the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bookmarkEnd w:id="46"/>
    <w:bookmarkStart w:id="53" w:name="sub-research-questions"/>
    <w:p>
      <w:pPr>
        <w:pStyle w:val="Heading2"/>
      </w:pPr>
      <w:r>
        <w:t xml:space="preserve">3.3 Sub-Research Questions</w:t>
      </w:r>
    </w:p>
    <w:p>
      <w:pPr>
        <w:pStyle w:val="FirstParagraph"/>
      </w:pPr>
      <w: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bookmarkStart w:id="47" w:name="srq1-trust-centric-consent-modelling"/>
    <w:p>
      <w:pPr>
        <w:pStyle w:val="Heading3"/>
      </w:pPr>
      <w:r>
        <w:t xml:space="preserve">3.3.1 SRQ1: Trust-Centric Consent Modelling</w:t>
      </w:r>
    </w:p>
    <w:p>
      <w:pPr>
        <w:pStyle w:val="FirstParagraph"/>
      </w:pPr>
      <w:r>
        <w:t xml:space="preserve">The first sub-research question is:</w:t>
      </w:r>
    </w:p>
    <w:p>
      <w:pPr>
        <w:pStyle w:val="BlockText"/>
      </w:pPr>
      <w:r>
        <w:rPr>
          <w:i/>
          <w:iCs/>
        </w:rPr>
        <w:t xml:space="preserve">How can patient consent be modelled as a trust-aware authorisation object that explicitly represents identity, authority requirements, policy constraints, and authorisation evidence?</w:t>
      </w:r>
    </w:p>
    <w:p>
      <w:pPr>
        <w:pStyle w:val="FirstParagraph"/>
      </w:pPr>
      <w: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7</m:t>
          </m:r>
          <m:r>
            <m:rPr>
              <m:sty m:val="p"/>
            </m:rPr>
            <m:t>)</m:t>
          </m:r>
        </m:oMath>
      </m:oMathPara>
    </w:p>
    <w:p>
      <w:pPr>
        <w:pStyle w:val="FirstParagraph"/>
      </w:pPr>
      <w:r>
        <w:t xml:space="preserve">where</w:t>
      </w:r>
      <w:r>
        <w:t xml:space="preserve"> </w:t>
      </w:r>
      <w:r>
        <w:rPr>
          <w:i/>
          <w:iCs/>
        </w:rPr>
        <w:t xml:space="preserve">I</w:t>
      </w:r>
      <w:r>
        <w:t xml:space="preserve"> </w:t>
      </w:r>
      <w:r>
        <w:t xml:space="preserve">represents identity information,</w:t>
      </w:r>
      <w:r>
        <w:t xml:space="preserve"> </w:t>
      </w:r>
      <w:r>
        <w:rPr>
          <w:i/>
          <w:iCs/>
        </w:rPr>
        <w:t xml:space="preserve">A</w:t>
      </w:r>
      <w:r>
        <w:t xml:space="preserve"> </w:t>
      </w:r>
      <w:r>
        <w:t xml:space="preserve">represents authority and authorisation requirements,</w:t>
      </w:r>
      <w:r>
        <w:t xml:space="preserve"> </w:t>
      </w:r>
      <w:r>
        <w:rPr>
          <w:i/>
          <w:iCs/>
        </w:rPr>
        <w:t xml:space="preserve">P</w:t>
      </w:r>
      <w:r>
        <w:t xml:space="preserve"> </w:t>
      </w:r>
      <w:r>
        <w:t xml:space="preserve">represents policy and data-scope constraints, and</w:t>
      </w:r>
      <w:r>
        <w:t xml:space="preserve"> </w:t>
      </w:r>
      <w:r>
        <w:rPr>
          <w:i/>
          <w:iCs/>
        </w:rPr>
        <w:t xml:space="preserve">E</w:t>
      </w:r>
      <w:r>
        <w:t xml:space="preserve"> </w:t>
      </w:r>
      <w:r>
        <w:t xml:space="preserve">represents authorisation evidence.</w:t>
      </w:r>
    </w:p>
    <w:p>
      <w:pPr>
        <w:pStyle w:val="BodyText"/>
      </w:pPr>
      <w:r>
        <w:t xml:space="preserve">Stage 2 extends this object to</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where</w:t>
      </w:r>
      <w:r>
        <w:t xml:space="preserve"> </w:t>
      </w:r>
      <m:oMath>
        <m:r>
          <m:t>T</m:t>
        </m:r>
      </m:oMath>
      <w:r>
        <w:t xml:space="preserve"> </w:t>
      </w:r>
      <w:r>
        <w:t xml:space="preserve">is the validity interval and</w:t>
      </w:r>
      <w:r>
        <w:t xml:space="preserve"> </w:t>
      </w:r>
      <m:oMath>
        <m:r>
          <m:t>L</m:t>
        </m:r>
      </m:oMath>
      <w:r>
        <w:t xml:space="preserve"> </w:t>
      </w:r>
      <w:r>
        <w:t xml:space="preserve">the lifecycle state. This extended object is already used by the HALAH prototype (Section 7.2).</w:t>
      </w:r>
    </w:p>
    <w:p>
      <w:pPr>
        <w:pStyle w:val="BodyText"/>
      </w:pPr>
      <w: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pStyle w:val="BodyText"/>
      </w:pPr>
      <w:r>
        <w:t xml:space="preserve">SRQ1 therefore establishes the conceptual representation required by the subsequent identity, multi-party authorisation, policy, and security-assurance mechanisms.</w:t>
      </w:r>
    </w:p>
    <w:bookmarkEnd w:id="47"/>
    <w:bookmarkStart w:id="48" w:name="X9b163572191d4e2040a6100639ac59ebb4b4786"/>
    <w:p>
      <w:pPr>
        <w:pStyle w:val="Heading3"/>
      </w:pPr>
      <w:r>
        <w:t xml:space="preserve">3.3.2 SRQ2: Decentralised Identity and Authority Trust</w:t>
      </w:r>
    </w:p>
    <w:p>
      <w:pPr>
        <w:pStyle w:val="FirstParagraph"/>
      </w:pPr>
      <w:r>
        <w:t xml:space="preserve">The second sub-research question is:</w:t>
      </w:r>
    </w:p>
    <w:p>
      <w:pPr>
        <w:pStyle w:val="BlockText"/>
      </w:pPr>
      <w:r>
        <w:rPr>
          <w:i/>
          <w:iCs/>
        </w:rPr>
        <w:t xml:space="preserve">How can decentralised identities and verifiable credentials establish trustworthy participants while explicitly separating identity authentication from authorisation authority?</w:t>
      </w:r>
    </w:p>
    <w:p>
      <w:pPr>
        <w:pStyle w:val="FirstParagraph"/>
      </w:pPr>
      <w: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Therefore, identity is not authorisation (Eq. (1)). The identity and authority validity condition is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8</m:t>
          </m:r>
          <m:r>
            <m:rPr>
              <m:sty m:val="p"/>
            </m:rPr>
            <m:t>)</m:t>
          </m:r>
        </m:oMath>
      </m:oMathPara>
    </w:p>
    <w:p>
      <w:pPr>
        <w:pStyle w:val="FirstParagraph"/>
      </w:pPr>
      <w: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pStyle w:val="BodyText"/>
      </w:pPr>
      <w:r>
        <w:t xml:space="preserve">SRQ2 therefore addresses how trustworthy participants can be established before their participation in collective authorisation decisions.</w:t>
      </w:r>
    </w:p>
    <w:bookmarkEnd w:id="48"/>
    <w:bookmarkStart w:id="49" w:name="Xd0d44d0922943d86c54c0a2972b9bad49456cd0"/>
    <w:p>
      <w:pPr>
        <w:pStyle w:val="Heading3"/>
      </w:pPr>
      <w:r>
        <w:t xml:space="preserve">3.3.3 SRQ3: Trustworthy Multi-Party Authorisation</w:t>
      </w:r>
    </w:p>
    <w:p>
      <w:pPr>
        <w:pStyle w:val="FirstParagraph"/>
      </w:pPr>
      <w:r>
        <w:t xml:space="preserve">The third sub-research question is:</w:t>
      </w:r>
    </w:p>
    <w:p>
      <w:pPr>
        <w:pStyle w:val="BlockText"/>
      </w:pPr>
      <w:r>
        <w:rPr>
          <w:i/>
          <w:iCs/>
        </w:rPr>
        <w:t xml:space="preserve">How can multiple independently verified participants jointly establish a trustworthy consent decision without allowing a single participant to unilaterally authorise sensitive healthcare data access?</w:t>
      </w:r>
    </w:p>
    <w:p>
      <w:pPr>
        <w:pStyle w:val="FirstParagraph"/>
      </w:pPr>
      <w:r>
        <w:t xml:space="preserve">This question addresses the collaborative authorisation problem. Let</w:t>
      </w:r>
      <w:r>
        <w:t xml:space="preserve"> </w:t>
      </w:r>
      <w:r>
        <w:rPr>
          <w:i/>
          <w:iCs/>
        </w:rPr>
        <w:t xml:space="preserve">A</w:t>
      </w:r>
      <w:r>
        <w:rPr>
          <w:vertAlign w:val="subscript"/>
        </w:rPr>
        <w:t xml:space="preserve">v</w:t>
      </w:r>
      <w:r>
        <w:t xml:space="preserve"> </w:t>
      </w:r>
      <w:r>
        <w:t xml:space="preserve">denote the set of independently verified authorisation participants and let</w:t>
      </w:r>
      <w:r>
        <w:t xml:space="preserve"> </w:t>
      </w:r>
      <w:r>
        <w:rPr>
          <w:i/>
          <w:iCs/>
        </w:rPr>
        <w:t xml:space="preserve">N</w:t>
      </w:r>
      <w:r>
        <w:t xml:space="preserve"> </w:t>
      </w:r>
      <w:r>
        <w:t xml:space="preserve">denote the required authorisation threshold. Multi-party authorisation is defined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9</m:t>
          </m:r>
          <m:r>
            <m:rPr>
              <m:sty m:val="p"/>
            </m:rPr>
            <m:t>)</m:t>
          </m:r>
        </m:oMath>
      </m:oMathPara>
    </w:p>
    <w:p>
      <w:pPr>
        <w:pStyle w:val="FirstParagraph"/>
      </w:pPr>
      <w:r>
        <w:t xml:space="preserve">Consequently,</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10</m:t>
          </m:r>
          <m:r>
            <m:rPr>
              <m:sty m:val="p"/>
            </m:rPr>
            <m:t>)</m:t>
          </m:r>
        </m:oMath>
      </m:oMathPara>
    </w:p>
    <w:p>
      <w:pPr>
        <w:pStyle w:val="FirstParagraph"/>
      </w:pPr>
      <w: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pStyle w:val="BodyText"/>
      </w:pPr>
      <w:r>
        <w:t xml:space="preserve">More fundamentally, SRQ3 changes the interpretation of trust from an assumption concerning a single trusted entity to a property established through the joint satisfaction of independently verified authorisation requirements.</w:t>
      </w:r>
    </w:p>
    <w:bookmarkEnd w:id="49"/>
    <w:bookmarkStart w:id="50" w:name="X18d67b34848dc6b049b38f880e406e6933f540a"/>
    <w:p>
      <w:pPr>
        <w:pStyle w:val="Heading3"/>
      </w:pPr>
      <w:r>
        <w:t xml:space="preserve">3.3.4 SRQ4: Policy- and Context-Aware Access Control</w:t>
      </w:r>
    </w:p>
    <w:p>
      <w:pPr>
        <w:pStyle w:val="FirstParagraph"/>
      </w:pPr>
      <w:r>
        <w:t xml:space="preserve">The fourth sub-research question is:</w:t>
      </w:r>
    </w:p>
    <w:p>
      <w:pPr>
        <w:pStyle w:val="BlockText"/>
      </w:pPr>
      <w:r>
        <w:rPr>
          <w:i/>
          <w:iCs/>
        </w:rPr>
        <w:t xml:space="preserve">How can policy, purpose, and data-scope constraints be incorporated into authorisation decisions so that valid identities and sufficient approvals cannot be used to obtain unauthorised healthcare data?</w:t>
      </w:r>
    </w:p>
    <w:p>
      <w:pPr>
        <w:pStyle w:val="FirstParagraph"/>
      </w:pPr>
      <w: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11</m:t>
          </m:r>
          <m:r>
            <m:rPr>
              <m:sty m:val="p"/>
            </m:rPr>
            <m:t>)</m:t>
          </m:r>
        </m:oMath>
      </m:oMathPara>
    </w:p>
    <w:p>
      <w:pPr>
        <w:pStyle w:val="FirstParagraph"/>
      </w:pPr>
      <w:r>
        <w:t xml:space="preserve">which evaluates whether the requested operation satisfies the purpose and data-scope constraints defined by the consent object.</w:t>
      </w:r>
    </w:p>
    <w:p>
      <w:pPr>
        <w:pStyle w:val="BodyText"/>
      </w:pPr>
      <w:r>
        <w:t xml:space="preserve">For example, the request in Eq. (4) must be rejected because</w:t>
      </w:r>
      <w:r>
        <w:t xml:space="preserve"> </w:t>
      </w:r>
      <m:oMath>
        <m:sSub>
          <m:e>
            <m:r>
              <m:t>S</m:t>
            </m:r>
          </m:e>
          <m:sub>
            <m:r>
              <m:t>R</m:t>
            </m:r>
          </m:sub>
        </m:sSub>
        <m:r>
          <m:rPr>
            <m:sty m:val="p"/>
          </m:rPr>
          <m:t>⊈</m:t>
        </m:r>
        <m:sSub>
          <m:e>
            <m:r>
              <m:t>S</m:t>
            </m:r>
          </m:e>
          <m:sub>
            <m:r>
              <m:t>C</m:t>
            </m:r>
          </m:sub>
        </m:sSub>
      </m:oMath>
      <w:r>
        <w:t xml:space="preserve"> </w:t>
      </w:r>
      <w:r>
        <w:t xml:space="preserve">(Eq. (5)).</w:t>
      </w:r>
    </w:p>
    <w:p>
      <w:pPr>
        <w:pStyle w:val="BodyText"/>
      </w:pPr>
      <w:r>
        <w:t xml:space="preserve">Similarly, a request may be rejected when its declared purpose is inconsistent with the purpose specified in the consent.</w:t>
      </w:r>
    </w:p>
    <w:p>
      <w:pPr>
        <w:pStyle w:val="BodyText"/>
      </w:pPr>
      <w:r>
        <w:t xml:space="preserve">Thus, trustworthy authorisation requires not only trusted participants and sufficient approvals, but also compliance between the requested operation and the authorisation policy.</w:t>
      </w:r>
    </w:p>
    <w:p>
      <w:pPr>
        <w:pStyle w:val="BodyText"/>
      </w:pPr>
      <w:r>
        <w:t xml:space="preserve">SRQ4 therefore completes the foundational access-control mechanisms by connecting participant trust and collective authorisation with the actual operation being requested.</w:t>
      </w:r>
    </w:p>
    <w:bookmarkEnd w:id="50"/>
    <w:bookmarkStart w:id="51" w:name="srq5-temporal-and-lifecycle-trust"/>
    <w:p>
      <w:pPr>
        <w:pStyle w:val="Heading3"/>
      </w:pPr>
      <w:r>
        <w:t xml:space="preserve">3.3.5 SRQ5: Temporal and Lifecycle Trust</w:t>
      </w:r>
    </w:p>
    <w:p>
      <w:pPr>
        <w:pStyle w:val="FirstParagraph"/>
      </w:pPr>
      <w:r>
        <w:t xml:space="preserve">The fifth sub-research question is:</w:t>
      </w:r>
    </w:p>
    <w:p>
      <w:pPr>
        <w:pStyle w:val="BlockText"/>
      </w:pPr>
      <w:r>
        <w:rPr>
          <w:i/>
          <w:iCs/>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pStyle w:val="FirstParagraph"/>
      </w:pPr>
      <w:r>
        <w:t xml:space="preserve">Trustworthy authorisation is inherently dynamic. A consent that is valid at one point in time cannot necessarily be assumed to remain valid indefinitely. Let the validity interval of a consent object be</w:t>
      </w:r>
      <w:r>
        <w:t xml:space="preserve"> </w:t>
      </w:r>
      <w:r>
        <w:rPr>
          <w:rStyle w:val="OrangeDelete"/>
        </w:rPr>
        <w:t xml:space="preserve">[</w:t>
      </w:r>
      <w:r>
        <w:rPr>
          <w:rStyle w:val="OrangeDelete"/>
          <w:i/>
          <w:iCs/>
        </w:rPr>
        <w:t xml:space="preserve">t</w:t>
      </w:r>
      <w:r>
        <w:rPr>
          <w:rStyle w:val="OrangeDelete"/>
          <w:vertAlign w:val="subscript"/>
        </w:rPr>
        <w:t xml:space="preserve">s</w:t>
      </w:r>
      <w:r>
        <w:rPr>
          <w:rStyle w:val="OrangeDelete"/>
          <w:i/>
          <w:iCs/>
        </w:rPr>
        <w:t xml:space="preserve">, t</w:t>
      </w:r>
      <w:r>
        <w:rPr>
          <w:rStyle w:val="OrangeDelete"/>
          <w:vertAlign w:val="subscript"/>
        </w:rPr>
        <w:t xml:space="preserve">e</w:t>
      </w:r>
      <w:r>
        <w:rPr>
          <w:rStyle w:val="OrangeDelete"/>
        </w:rPr>
        <w:t xml:space="preserve">]</w:t>
      </w:r>
      <w:r>
        <w:rPr>
          <w:rStyle w:val="OrangeFix"/>
        </w:rPr>
        <w:t xml:space="preserve">[</w:t>
      </w:r>
      <w:r>
        <w:rPr>
          <w:rStyle w:val="OrangeFix"/>
          <w:i/>
          <w:iCs/>
        </w:rPr>
        <w:t xml:space="preserve">t</w:t>
      </w:r>
      <w:r>
        <w:rPr>
          <w:rStyle w:val="OrangeFix"/>
          <w:vertAlign w:val="subscript"/>
        </w:rPr>
        <w:t xml:space="preserve">s</w:t>
      </w:r>
      <w:r>
        <w:rPr>
          <w:rStyle w:val="OrangeFix"/>
        </w:rPr>
        <w:t xml:space="preserve">,</w:t>
      </w:r>
      <w:r>
        <w:rPr>
          <w:rStyle w:val="OrangeFix"/>
        </w:rPr>
        <w:t xml:space="preserve"> </w:t>
      </w:r>
      <w:r>
        <w:rPr>
          <w:rStyle w:val="OrangeFix"/>
          <w:i/>
          <w:iCs/>
        </w:rPr>
        <w:t xml:space="preserve">t</w:t>
      </w:r>
      <w:r>
        <w:rPr>
          <w:rStyle w:val="OrangeFix"/>
          <w:vertAlign w:val="subscript"/>
        </w:rPr>
        <w:t xml:space="preserve">e</w:t>
      </w:r>
      <w:r>
        <w:rPr>
          <w:rStyle w:val="OrangeFix"/>
        </w:rPr>
        <w:t xml:space="preserve">]</w:t>
      </w:r>
      <w:r>
        <w:t xml:space="preserve">. Temporal validity is defined as</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  </m:t>
          </m:r>
          <m:r>
            <m:t>  </m:t>
          </m:r>
          <m:r>
            <m:rPr>
              <m:sty m:val="p"/>
            </m:rPr>
            <m:t>(</m:t>
          </m:r>
          <m:r>
            <m:t>12</m:t>
          </m:r>
          <m:r>
            <m:rPr>
              <m:sty m:val="p"/>
            </m:rPr>
            <m:t>)</m:t>
          </m:r>
        </m:oMath>
      </m:oMathPara>
    </w:p>
    <w:p>
      <w:pPr>
        <w:pStyle w:val="FirstParagraph"/>
      </w:pPr>
      <w:r>
        <w:t xml:space="preserve">Consequently,</w:t>
      </w:r>
    </w:p>
    <w:p>
      <w:pPr>
        <w:pStyle w:val="BodyText"/>
      </w:pPr>
      <m:oMathPara>
        <m:oMathParaPr>
          <m:jc m:val="center"/>
        </m:oMathParaPr>
        <m:oMath>
          <m:r>
            <m:t>t</m:t>
          </m:r>
          <m:r>
            <m:rPr>
              <m:sty m:val="p"/>
            </m:rPr>
            <m:t>&lt;</m:t>
          </m:r>
          <m:sSub>
            <m:e>
              <m:r>
                <m:t>t</m:t>
              </m:r>
            </m:e>
            <m:sub>
              <m:r>
                <m:t>s</m:t>
              </m:r>
            </m:sub>
          </m:sSub>
          <m:r>
            <m:rPr>
              <m:sty m:val="p"/>
            </m:rPr>
            <m:t>∨</m:t>
          </m:r>
          <m:r>
            <m:t>t</m:t>
          </m:r>
          <m:r>
            <m:rPr>
              <m:sty m:val="p"/>
            </m:rPr>
            <m:t>&gt;</m:t>
          </m:r>
          <m:sSub>
            <m:e>
              <m:r>
                <m:t>t</m:t>
              </m:r>
            </m:e>
            <m:sub>
              <m:r>
                <m:t>e</m:t>
              </m:r>
            </m:sub>
          </m:sSub>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13</m:t>
          </m:r>
          <m:r>
            <m:rPr>
              <m:sty m:val="p"/>
            </m:rPr>
            <m:t>)</m:t>
          </m:r>
        </m:oMath>
      </m:oMathPara>
    </w:p>
    <w:p>
      <w:pPr>
        <w:pStyle w:val="FirstParagraph"/>
      </w:pPr>
      <w:r>
        <w:t xml:space="preserve">Temporal validity must also be evaluated together with the lifecycle state of the consent. The lifecycle can be represented as</w:t>
      </w:r>
    </w:p>
    <w:p>
      <w:pPr>
        <w:pStyle w:val="BodyText"/>
      </w:pPr>
      <m:oMathPara>
        <m:oMathParaPr>
          <m:jc m:val="center"/>
        </m:oMathParaPr>
        <m:oMath>
          <m:m>
            <m:mPr>
              <m:baseJc m:val="center"/>
              <m:plcHide m:val="on"/>
              <m:mcs>
                <m:mc>
                  <m:mcPr>
                    <m:count m:val="1"/>
                    <m:mcJc m:val="left"/>
                  </m:mcPr>
                </m:mc>
              </m:mcs>
            </m:mPr>
            <m:mr>
              <m:e>
                <m:r>
                  <m:t>S</m:t>
                </m:r>
                <m:r>
                  <m:t>p</m:t>
                </m:r>
                <m:r>
                  <m:t>e</m:t>
                </m:r>
                <m:r>
                  <m:t>c</m:t>
                </m:r>
                <m:r>
                  <m:t>i</m:t>
                </m:r>
                <m:r>
                  <m:t>f</m:t>
                </m:r>
                <m:r>
                  <m:t>i</m:t>
                </m:r>
                <m:r>
                  <m:t>c</m:t>
                </m:r>
                <m:r>
                  <m:t>a</m:t>
                </m:r>
                <m:r>
                  <m:t>t</m:t>
                </m:r>
                <m:r>
                  <m:t>i</m:t>
                </m:r>
                <m:r>
                  <m:t>o</m:t>
                </m:r>
                <m:r>
                  <m:t>n</m:t>
                </m:r>
                <m:r>
                  <m:rPr>
                    <m:sty m:val="p"/>
                  </m:rPr>
                  <m:t>→</m:t>
                </m:r>
                <m:r>
                  <m:t>V</m:t>
                </m:r>
                <m:r>
                  <m:t>e</m:t>
                </m:r>
                <m:r>
                  <m:t>r</m:t>
                </m:r>
                <m:r>
                  <m:t>i</m:t>
                </m:r>
                <m:r>
                  <m:t>f</m:t>
                </m:r>
                <m:r>
                  <m:t>i</m:t>
                </m:r>
                <m:r>
                  <m:t>c</m:t>
                </m:r>
                <m:r>
                  <m:t>a</m:t>
                </m:r>
                <m:r>
                  <m:t>t</m:t>
                </m:r>
                <m:r>
                  <m:t>i</m:t>
                </m:r>
                <m:r>
                  <m:t>o</m:t>
                </m:r>
                <m:r>
                  <m:t>n</m:t>
                </m:r>
                <m:r>
                  <m:rPr>
                    <m:sty m:val="p"/>
                  </m:rPr>
                  <m:t>→</m:t>
                </m:r>
                <m:r>
                  <m:t>A</m:t>
                </m:r>
                <m:r>
                  <m:t>p</m:t>
                </m:r>
                <m:r>
                  <m:t>p</m:t>
                </m:r>
                <m:r>
                  <m:t>r</m:t>
                </m:r>
                <m:r>
                  <m:t>o</m:t>
                </m:r>
                <m:r>
                  <m:t>v</m:t>
                </m:r>
                <m:r>
                  <m:t>a</m:t>
                </m:r>
                <m:r>
                  <m:t>l</m:t>
                </m:r>
              </m:e>
            </m:mr>
            <m:mr>
              <m:e>
                <m:r>
                  <m:rPr>
                    <m:sty m:val="p"/>
                  </m:rPr>
                  <m:t>→</m:t>
                </m:r>
                <m:r>
                  <m:t>A</m:t>
                </m:r>
                <m:r>
                  <m:t>c</m:t>
                </m:r>
                <m:r>
                  <m:t>t</m:t>
                </m:r>
                <m:r>
                  <m:t>i</m:t>
                </m:r>
                <m:r>
                  <m:t>v</m:t>
                </m:r>
                <m:r>
                  <m:t>e</m:t>
                </m:r>
                <m:r>
                  <m:rPr>
                    <m:sty m:val="p"/>
                  </m:rPr>
                  <m:t>→</m:t>
                </m:r>
                <m:r>
                  <m:t>E</m:t>
                </m:r>
                <m:r>
                  <m:t>x</m:t>
                </m:r>
                <m:r>
                  <m:t>p</m:t>
                </m:r>
                <m:r>
                  <m:t>i</m:t>
                </m:r>
                <m:r>
                  <m:t>r</m:t>
                </m:r>
                <m:r>
                  <m:t>a</m:t>
                </m:r>
                <m:r>
                  <m:t>t</m:t>
                </m:r>
                <m:r>
                  <m:t>i</m:t>
                </m:r>
                <m:r>
                  <m:t>o</m:t>
                </m:r>
                <m:r>
                  <m:t>n</m:t>
                </m:r>
                <m:r>
                  <m:rPr>
                    <m:sty m:val="p"/>
                  </m:rPr>
                  <m:t>/</m:t>
                </m:r>
                <m:r>
                  <m:t>R</m:t>
                </m:r>
                <m:r>
                  <m:t>e</m:t>
                </m:r>
                <m:r>
                  <m:t>v</m:t>
                </m:r>
                <m:r>
                  <m:t>o</m:t>
                </m:r>
                <m:r>
                  <m:t>c</m:t>
                </m:r>
                <m:r>
                  <m:t>a</m:t>
                </m:r>
                <m:r>
                  <m:t>t</m:t>
                </m:r>
                <m:r>
                  <m:t>i</m:t>
                </m:r>
                <m:r>
                  <m:t>o</m:t>
                </m:r>
                <m:r>
                  <m:t>n</m:t>
                </m:r>
                <m:r>
                  <m:rPr>
                    <m:sty m:val="p"/>
                  </m:rPr>
                  <m:t>.</m:t>
                </m:r>
              </m:e>
            </m:mr>
          </m:m>
          <m:r>
            <m:t>  </m:t>
          </m:r>
          <m:r>
            <m:t>  </m:t>
          </m:r>
          <m:r>
            <m:rPr>
              <m:sty m:val="p"/>
            </m:rPr>
            <m:t>(</m:t>
          </m:r>
          <m:r>
            <m:t>14</m:t>
          </m:r>
          <m:r>
            <m:rPr>
              <m:sty m:val="p"/>
            </m:rPr>
            <m:t>)</m:t>
          </m:r>
        </m:oMath>
      </m:oMathPara>
    </w:p>
    <w:p>
      <w:pPr>
        <w:pStyle w:val="FirstParagraph"/>
      </w:pPr>
      <w:r>
        <w:t xml:space="preserve">The lifecycle validity predicate can therefore be represented as</w:t>
      </w:r>
    </w:p>
    <w:p>
      <w:pPr>
        <w:pStyle w:val="BodyText"/>
      </w:pPr>
      <m:oMathPara>
        <m:oMathParaPr>
          <m:jc m:val="center"/>
        </m:oMathParaPr>
        <m:oMath>
          <m:sSub>
            <m:e>
              <m:r>
                <m:t>V</m:t>
              </m:r>
            </m:e>
            <m:sub>
              <m:r>
                <m:t>L</m:t>
              </m:r>
            </m:sub>
          </m:sSub>
          <m:r>
            <m:rPr>
              <m:sty m:val="p"/>
            </m:rPr>
            <m:t>(</m:t>
          </m:r>
          <m:r>
            <m:t>C</m:t>
          </m:r>
          <m:r>
            <m:rPr>
              <m:sty m:val="p"/>
            </m:rPr>
            <m:t>)</m:t>
          </m:r>
          <m:r>
            <m:rPr>
              <m:sty m:val="p"/>
            </m:rPr>
            <m:t>=</m:t>
          </m:r>
          <m:r>
            <m:t>V</m:t>
          </m:r>
          <m:r>
            <m:t>a</m:t>
          </m:r>
          <m:r>
            <m:t>l</m:t>
          </m:r>
          <m:r>
            <m:t>i</m:t>
          </m:r>
          <m:r>
            <m:t>d</m:t>
          </m:r>
          <m:r>
            <m:t>S</m:t>
          </m:r>
          <m:r>
            <m:t>t</m:t>
          </m:r>
          <m:r>
            <m:t>a</m:t>
          </m:r>
          <m:r>
            <m:t>t</m:t>
          </m:r>
          <m:r>
            <m:t>e</m:t>
          </m:r>
          <m:r>
            <m:rPr>
              <m:sty m:val="p"/>
            </m:rPr>
            <m:t>(</m:t>
          </m:r>
          <m:r>
            <m:t>C</m:t>
          </m:r>
          <m:r>
            <m:rPr>
              <m:sty m:val="p"/>
            </m:rPr>
            <m:t>)</m:t>
          </m:r>
          <m:r>
            <m:rPr>
              <m:sty m:val="p"/>
            </m:rPr>
            <m:t>∧</m:t>
          </m:r>
          <m:r>
            <m:t>V</m:t>
          </m:r>
          <m:r>
            <m:t>a</m:t>
          </m:r>
          <m:r>
            <m:t>l</m:t>
          </m:r>
          <m:r>
            <m:t>i</m:t>
          </m:r>
          <m:r>
            <m:t>d</m:t>
          </m:r>
          <m:r>
            <m:t>T</m:t>
          </m:r>
          <m:r>
            <m:t>r</m:t>
          </m:r>
          <m:r>
            <m:t>a</m:t>
          </m:r>
          <m:r>
            <m:t>n</m:t>
          </m:r>
          <m:r>
            <m:t>s</m:t>
          </m:r>
          <m:r>
            <m:t>i</m:t>
          </m:r>
          <m:r>
            <m:t>t</m:t>
          </m:r>
          <m:r>
            <m:t>i</m:t>
          </m:r>
          <m:r>
            <m:t>o</m:t>
          </m:r>
          <m:r>
            <m:t>n</m:t>
          </m:r>
          <m:r>
            <m:rPr>
              <m:sty m:val="p"/>
            </m:rPr>
            <m:t>(</m:t>
          </m:r>
          <m:r>
            <m:t>C</m:t>
          </m:r>
          <m:r>
            <m:rPr>
              <m:sty m:val="p"/>
            </m:rPr>
            <m:t>)</m:t>
          </m:r>
          <m:r>
            <m:rPr>
              <m:sty m:val="p"/>
            </m:rPr>
            <m:t>.</m:t>
          </m:r>
          <m:r>
            <m:t>  </m:t>
          </m:r>
          <m:r>
            <m:t>  </m:t>
          </m:r>
          <m:r>
            <m:rPr>
              <m:sty m:val="p"/>
            </m:rPr>
            <m:t>(</m:t>
          </m:r>
          <m:r>
            <m:t>15</m:t>
          </m:r>
          <m:r>
            <m:rPr>
              <m:sty m:val="p"/>
            </m:rPr>
            <m:t>)</m:t>
          </m:r>
        </m:oMath>
      </m:oMathPara>
    </w:p>
    <w:p>
      <w:pPr>
        <w:pStyle w:val="FirstParagrap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pStyle w:val="BodyText"/>
      </w:pPr>
      <w:r>
        <w:t xml:space="preserve">SRQ5 therefore extends the foundational authorisation model into a dynamic consent environment in which trust is continuously evaluated according to both temporal conditions and lifecycle state.</w:t>
      </w:r>
    </w:p>
    <w:bookmarkEnd w:id="51"/>
    <w:bookmarkStart w:id="52" w:name="X7c6b045f751290aa07830b72c2ac7e52de8dcce"/>
    <w:p>
      <w:pPr>
        <w:pStyle w:val="Heading3"/>
      </w:pPr>
      <w:r>
        <w:t xml:space="preserve">3.3.6 SRQ6: Formal Security Assurance and Empirical Validation</w:t>
      </w:r>
    </w:p>
    <w:p>
      <w:pPr>
        <w:pStyle w:val="FirstParagraph"/>
      </w:pPr>
      <w:r>
        <w:t xml:space="preserve">The sixth sub-research question is:</w:t>
      </w:r>
    </w:p>
    <w:p>
      <w:pPr>
        <w:pStyle w:val="BlockText"/>
      </w:pPr>
      <w:r>
        <w:rPr>
          <w:i/>
          <w:iCs/>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FirstParagraph"/>
      </w:pPr>
      <w: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pStyle w:val="BodyText"/>
      </w:pPr>
      <w:r>
        <w:t xml:space="preserve">The overall authorisation decision is defined as a conjunction of independently evaluated predicates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16</m:t>
          </m:r>
          <m:r>
            <m:rPr>
              <m:sty m:val="p"/>
            </m:rPr>
            <m:t>)</m:t>
          </m:r>
        </m:oMath>
      </m:oMathPara>
    </w:p>
    <w:p>
      <w:pPr>
        <w:pStyle w:val="FirstParagraph"/>
      </w:pPr>
      <w:r>
        <w:t xml:space="preserve">The corresponding security properties include identity correctness, which can be formulated as</w:t>
      </w:r>
    </w:p>
    <w:p>
      <w:pPr>
        <w:pStyle w:val="BodyText"/>
      </w:pPr>
      <m:oMathPara>
        <m:oMathParaPr>
          <m:jc m:val="center"/>
        </m:oMathParaPr>
        <m:oMath>
          <m:r>
            <m:t>u</m:t>
          </m:r>
          <m:r>
            <m:rPr>
              <m:sty m:val="p"/>
            </m:rPr>
            <m:t>∈</m:t>
          </m:r>
          <m:sSub>
            <m:e>
              <m:r>
                <m:t>A</m:t>
              </m:r>
            </m:e>
            <m:sub>
              <m:r>
                <m:t>v</m:t>
              </m:r>
            </m:sub>
          </m:sSub>
          <m:r>
            <m:rPr>
              <m:sty m:val="p"/>
            </m:rPr>
            <m:t>⇒</m:t>
          </m:r>
          <m:sSub>
            <m:e>
              <m:r>
                <m:t>V</m:t>
              </m:r>
            </m:e>
            <m:sub>
              <m:r>
                <m:t>I</m:t>
              </m:r>
            </m:sub>
          </m:sSub>
          <m:r>
            <m:rPr>
              <m:sty m:val="p"/>
            </m:rPr>
            <m:t>(</m:t>
          </m:r>
          <m:r>
            <m:t>u</m:t>
          </m:r>
          <m:r>
            <m:rPr>
              <m:sty m:val="p"/>
            </m:rPr>
            <m:t>)</m:t>
          </m:r>
          <m:r>
            <m:rPr>
              <m:sty m:val="p"/>
            </m:rPr>
            <m:t>=</m:t>
          </m:r>
          <m:r>
            <m:t>1</m:t>
          </m:r>
          <m:r>
            <m:rPr>
              <m:sty m:val="p"/>
            </m:rPr>
            <m:t>,</m:t>
          </m:r>
          <m:r>
            <m:t>  </m:t>
          </m:r>
          <m:r>
            <m:t>  </m:t>
          </m:r>
          <m:r>
            <m:rPr>
              <m:sty m:val="p"/>
            </m:rPr>
            <m:t>(</m:t>
          </m:r>
          <m:r>
            <m:t>17</m:t>
          </m:r>
          <m:r>
            <m:rPr>
              <m:sty m:val="p"/>
            </m:rPr>
            <m:t>)</m:t>
          </m:r>
        </m:oMath>
      </m:oMathPara>
    </w:p>
    <w:p>
      <w:pPr>
        <w:pStyle w:val="FirstParagraph"/>
      </w:pPr>
      <w:r>
        <w:t xml:space="preserve">authorisation integrity, formulated as</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18</m:t>
          </m:r>
          <m:r>
            <m:rPr>
              <m:sty m:val="p"/>
            </m:rPr>
            <m:t>)</m:t>
          </m:r>
        </m:oMath>
      </m:oMathPara>
    </w:p>
    <w:p>
      <w:pPr>
        <w:pStyle w:val="FirstParagraph"/>
      </w:pPr>
      <w:r>
        <w:t xml:space="preserve">threshold security, formulated as</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19</m:t>
          </m:r>
          <m:r>
            <m:rPr>
              <m:sty m:val="p"/>
            </m:rPr>
            <m:t>)</m:t>
          </m:r>
        </m:oMath>
      </m:oMathPara>
    </w:p>
    <w:p>
      <w:pPr>
        <w:pStyle w:val="FirstParagraph"/>
      </w:pPr>
      <w:r>
        <w:t xml:space="preserve">and temporal safety, formulated as</w:t>
      </w:r>
    </w:p>
    <w:p>
      <w:pPr>
        <w:pStyle w:val="BodyText"/>
      </w:pPr>
      <m:oMathPara>
        <m:oMathParaPr>
          <m:jc m:val="center"/>
        </m:oMathParaPr>
        <m:oMath>
          <m:r>
            <m:t>t</m:t>
          </m:r>
          <m:r>
            <m:rPr>
              <m:sty m:val="p"/>
            </m:rPr>
            <m:t>∉</m:t>
          </m:r>
          <m:r>
            <m:rPr>
              <m:sty m:val="p"/>
            </m:rPr>
            <m:t>[</m:t>
          </m:r>
          <m:sSub>
            <m:e>
              <m:r>
                <m:t>t</m:t>
              </m:r>
            </m:e>
            <m:sub>
              <m:r>
                <m:t>s</m:t>
              </m:r>
            </m:sub>
          </m:sSub>
          <m:r>
            <m:rPr>
              <m:sty m:val="p"/>
            </m:rPr>
            <m:t>,</m:t>
          </m:r>
          <m:sSub>
            <m:e>
              <m:r>
                <m:t>t</m:t>
              </m:r>
            </m:e>
            <m:sub>
              <m:r>
                <m:t>e</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20</m:t>
          </m:r>
          <m:r>
            <m:rPr>
              <m:sty m:val="p"/>
            </m:rPr>
            <m:t>)</m:t>
          </m:r>
        </m:oMath>
      </m:oMathPara>
    </w:p>
    <w:p>
      <w:pPr>
        <w:pStyle w:val="FirstParagraph"/>
      </w:pPr>
      <w:r>
        <w:t xml:space="preserve">Lifecycle safety additionally requires that unauthorised state transitions be rejected</w:t>
      </w:r>
    </w:p>
    <w:p>
      <w:pPr>
        <w:pStyle w:val="BodyText"/>
      </w:pPr>
      <m:oMathPara>
        <m:oMathParaPr>
          <m:jc m:val="center"/>
        </m:oMathParaPr>
        <m:oMath>
          <m:r>
            <m:t>I</m:t>
          </m:r>
          <m:r>
            <m:t>l</m:t>
          </m:r>
          <m:r>
            <m:t>l</m:t>
          </m:r>
          <m:r>
            <m:t>e</m:t>
          </m:r>
          <m:r>
            <m:t>g</m:t>
          </m:r>
          <m:r>
            <m:t>a</m:t>
          </m:r>
          <m:r>
            <m:t>l</m:t>
          </m:r>
          <m:r>
            <m:t>T</m:t>
          </m:r>
          <m:r>
            <m:t>r</m:t>
          </m:r>
          <m:r>
            <m:t>a</m:t>
          </m:r>
          <m:r>
            <m:t>n</m:t>
          </m:r>
          <m:r>
            <m:t>s</m:t>
          </m:r>
          <m:r>
            <m:t>i</m:t>
          </m:r>
          <m:r>
            <m:t>t</m:t>
          </m:r>
          <m:r>
            <m:t>i</m:t>
          </m:r>
          <m:r>
            <m:t>o</m:t>
          </m:r>
          <m:r>
            <m:t>n</m:t>
          </m:r>
          <m:r>
            <m:rPr>
              <m:sty m:val="p"/>
            </m:rPr>
            <m:t>(</m:t>
          </m:r>
          <m:r>
            <m:t>C</m:t>
          </m:r>
          <m:r>
            <m:rPr>
              <m:sty m:val="p"/>
            </m:rPr>
            <m:t>)</m:t>
          </m:r>
          <m:r>
            <m:rPr>
              <m:sty m:val="p"/>
            </m:rPr>
            <m:t>⇒</m:t>
          </m:r>
          <m:r>
            <m:t>R</m:t>
          </m:r>
          <m:r>
            <m:t>e</m:t>
          </m:r>
          <m:r>
            <m:t>j</m:t>
          </m:r>
          <m:r>
            <m:t>e</m:t>
          </m:r>
          <m:r>
            <m:t>c</m:t>
          </m:r>
          <m:r>
            <m:t>t</m:t>
          </m:r>
          <m:r>
            <m:rPr>
              <m:sty m:val="p"/>
            </m:rPr>
            <m:t>.</m:t>
          </m:r>
          <m:r>
            <m:t>  </m:t>
          </m:r>
          <m:r>
            <m:t>  </m:t>
          </m:r>
          <m:r>
            <m:rPr>
              <m:sty m:val="p"/>
            </m:rPr>
            <m:t>(</m:t>
          </m:r>
          <m:r>
            <m:t>21</m:t>
          </m:r>
          <m:r>
            <m:rPr>
              <m:sty m:val="p"/>
            </m:rPr>
            <m:t>)</m:t>
          </m:r>
        </m:oMath>
      </m:oMathPara>
    </w:p>
    <w:p>
      <w:pPr>
        <w:pStyle w:val="FirstParagraph"/>
      </w:pPr>
      <w: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pStyle w:val="BodyText"/>
      </w:pPr>
      <w:r>
        <w:t xml:space="preserve">The empirical component evaluates whether the implemented HALAH framework realises these defined properties in representative decentralised healthcare data-sharing scenarios. Synthetic healthcare records derived from the Synthea dataset [41] 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pStyle w:val="BodyText"/>
      </w:pPr>
      <w:r>
        <w:t xml:space="preserve">For a representative multi-party consent scenario, if two authorised participants are required, then it yields</w:t>
      </w:r>
    </w:p>
    <w:p>
      <w:pPr>
        <w:pStyle w:val="BodyText"/>
      </w:pPr>
      <m:oMathPara>
        <m:oMathParaPr>
          <m:jc m:val="center"/>
        </m:oMathParaPr>
        <m:oMath>
          <m:d>
            <m:dPr>
              <m:begChr m:val="|"/>
              <m:sepChr m:val=""/>
              <m:endChr m:val="|"/>
              <m:grow/>
            </m:dPr>
            <m:e>
              <m:sSub>
                <m:e>
                  <m:r>
                    <m:t>A</m:t>
                  </m:r>
                </m:e>
                <m:sub>
                  <m:r>
                    <m:t>v</m:t>
                  </m:r>
                </m:sub>
              </m:sSub>
            </m:e>
          </m:d>
          <m:r>
            <m:rPr>
              <m:sty m:val="p"/>
            </m:rPr>
            <m:t>=</m:t>
          </m:r>
          <m:r>
            <m:t>2</m:t>
          </m:r>
          <m:r>
            <m:rPr>
              <m:sty m:val="p"/>
            </m:rPr>
            <m:t>⇒</m:t>
          </m:r>
          <m:sSub>
            <m:e>
              <m:r>
                <m:t>V</m:t>
              </m:r>
            </m:e>
            <m:sub>
              <m:r>
                <m:t>A</m:t>
              </m:r>
            </m:sub>
          </m:sSub>
          <m:r>
            <m:rPr>
              <m:sty m:val="p"/>
            </m:rPr>
            <m:t>=</m:t>
          </m:r>
          <m:r>
            <m:t>1</m:t>
          </m:r>
          <m:r>
            <m:rPr>
              <m:sty m:val="p"/>
            </m:rPr>
            <m:t>,</m:t>
          </m:r>
          <m:r>
            <m:t>  </m:t>
          </m:r>
          <m:r>
            <m:t>  </m:t>
          </m:r>
          <m:r>
            <m:rPr>
              <m:sty m:val="p"/>
            </m:rPr>
            <m:t>(</m:t>
          </m:r>
          <m:r>
            <m:t>22</m:t>
          </m:r>
          <m:r>
            <m:rPr>
              <m:sty m:val="p"/>
            </m:rPr>
            <m:t>)</m:t>
          </m:r>
        </m:oMath>
      </m:oMathPara>
    </w:p>
    <w:p>
      <w:pPr>
        <w:pStyle w:val="FirstParagraph"/>
      </w:pPr>
      <w:r>
        <w:t xml:space="preserve">whereas</w:t>
      </w:r>
    </w:p>
    <w:p>
      <w:pPr>
        <w:pStyle w:val="BodyText"/>
      </w:pPr>
      <m:oMathPara>
        <m:oMathParaPr>
          <m:jc m:val="center"/>
        </m:oMathParaPr>
        <m:oMath>
          <m:d>
            <m:dPr>
              <m:begChr m:val="|"/>
              <m:sepChr m:val=""/>
              <m:endChr m:val="|"/>
              <m:grow/>
            </m:dPr>
            <m:e>
              <m:sSub>
                <m:e>
                  <m:r>
                    <m:t>A</m:t>
                  </m:r>
                </m:e>
                <m:sub>
                  <m:r>
                    <m:t>v</m:t>
                  </m:r>
                </m:sub>
              </m:sSub>
            </m:e>
          </m:d>
          <m:r>
            <m:rPr>
              <m:sty m:val="p"/>
            </m:rPr>
            <m:t>=</m:t>
          </m:r>
          <m:r>
            <m:t>1</m:t>
          </m:r>
          <m:r>
            <m:rPr>
              <m:sty m:val="p"/>
            </m:rPr>
            <m:t>⇒</m:t>
          </m:r>
          <m:sSub>
            <m:e>
              <m:r>
                <m:t>V</m:t>
              </m:r>
            </m:e>
            <m:sub>
              <m:r>
                <m:t>A</m:t>
              </m:r>
            </m:sub>
          </m:sSub>
          <m:r>
            <m:rPr>
              <m:sty m:val="p"/>
            </m:rPr>
            <m:t>=</m:t>
          </m:r>
          <m:r>
            <m:t>0</m:t>
          </m:r>
          <m:r>
            <m:rPr>
              <m:sty m:val="p"/>
            </m:rPr>
            <m:t>.</m:t>
          </m:r>
          <m:r>
            <m:t>  </m:t>
          </m:r>
          <m:r>
            <m:t>  </m:t>
          </m:r>
          <m:r>
            <m:rPr>
              <m:sty m:val="p"/>
            </m:rPr>
            <m:t>(</m:t>
          </m:r>
          <m:r>
            <m:t>23</m:t>
          </m:r>
          <m:r>
            <m:rPr>
              <m:sty m:val="p"/>
            </m:rPr>
            <m:t>)</m:t>
          </m:r>
        </m:oMath>
      </m:oMathPara>
    </w:p>
    <w:p>
      <w:pPr>
        <w:pStyle w:val="FirstParagraph"/>
      </w:pPr>
      <w: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pStyle w:val="BodyText"/>
      </w:pPr>
      <w:r>
        <w:t xml:space="preserve">Audit records are generated throughout the workflow to provide evidence of consent creation, participant verification, approval events, authorisation-state evaluation, data-access decisions, and relevant lifecycle transitions.</w:t>
      </w:r>
    </w:p>
    <w:p>
      <w:pPr>
        <w:pStyle w:val="BodyText"/>
      </w:pPr>
      <w: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pStyle w:val="BodyText"/>
      </w:pPr>
      <w:r>
        <w:t xml:space="preserve">SRQ6 consequently represents the final assurance stage of the research program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bookmarkEnd w:id="52"/>
    <w:bookmarkEnd w:id="53"/>
    <w:bookmarkStart w:id="54" w:name="X9cc2cc5b48f664d7cd3e7b6edadc241ad9a9dd9"/>
    <w:p>
      <w:pPr>
        <w:pStyle w:val="Heading2"/>
      </w:pPr>
      <w:r>
        <w:t xml:space="preserve">3.4 Research Questions as an Integrated Research Problem</w:t>
      </w:r>
    </w:p>
    <w:p>
      <w:pPr>
        <w:pStyle w:val="FirstParagraph"/>
      </w:pPr>
      <w: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pStyle w:val="BodyText"/>
      </w:pPr>
      <w: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pStyle w:val="BodyText"/>
      </w:pPr>
      <w:r>
        <w:t xml:space="preserve">The integrated authorisation condition can therefore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24</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 </w:t>
      </w:r>
      <w:r>
        <w:t xml:space="preserve">represents identity and authority validity,</w:t>
      </w:r>
      <w:r>
        <w:t xml:space="preserve"> </w:t>
      </w:r>
      <w:r>
        <w:rPr>
          <w:i/>
          <w:iCs/>
        </w:rPr>
        <w:t xml:space="preserve">V</w:t>
      </w:r>
      <w:r>
        <w:rPr>
          <w:vertAlign w:val="subscript"/>
        </w:rPr>
        <w:t xml:space="preserve">A</w:t>
      </w:r>
      <w:r>
        <w:t xml:space="preserve"> </w:t>
      </w:r>
      <w:r>
        <w:t xml:space="preserve">represents collective authorisation validity,</w:t>
      </w:r>
      <w:r>
        <w:t xml:space="preserve"> </w:t>
      </w:r>
      <w:r>
        <w:rPr>
          <w:i/>
          <w:iCs/>
        </w:rPr>
        <w:t xml:space="preserve">V</w:t>
      </w:r>
      <w:r>
        <w:rPr>
          <w:vertAlign w:val="subscript"/>
        </w:rPr>
        <w:t xml:space="preserve">P</w:t>
      </w:r>
      <w:r>
        <w:t xml:space="preserve"> </w:t>
      </w:r>
      <w:r>
        <w:t xml:space="preserve">represents policy and contextual compliance,</w:t>
      </w:r>
      <w:r>
        <w:t xml:space="preserve"> </w:t>
      </w:r>
      <w:r>
        <w:rPr>
          <w:i/>
          <w:iCs/>
        </w:rPr>
        <w:t xml:space="preserve">V</w:t>
      </w:r>
      <w:r>
        <w:rPr>
          <w:vertAlign w:val="subscript"/>
        </w:rPr>
        <w:t xml:space="preserve">T</w:t>
      </w:r>
      <w:r>
        <w:t xml:space="preserve"> </w:t>
      </w:r>
      <w:r>
        <w:t xml:space="preserve">represents temporal validity, and</w:t>
      </w:r>
      <w:r>
        <w:t xml:space="preserve"> </w:t>
      </w:r>
      <w:r>
        <w:rPr>
          <w:i/>
          <w:iCs/>
        </w:rPr>
        <w:t xml:space="preserve">V</w:t>
      </w:r>
      <w:r>
        <w:rPr>
          <w:vertAlign w:val="subscript"/>
        </w:rPr>
        <w:t xml:space="preserve">L</w:t>
      </w:r>
      <w:r>
        <w:t xml:space="preserve"> </w:t>
      </w:r>
      <w:r>
        <w:t xml:space="preserve">represents consent lifecycle validity.</w:t>
      </w:r>
    </w:p>
    <w:p>
      <w:pPr>
        <w:pStyle w:val="BodyText"/>
      </w:pPr>
      <w:r>
        <w:t xml:space="preserve">This formulation provides the central logical relationship among SRQ1–SRQ5. A valid authorisation decision requires the simultaneous satisfaction of all relevant trust conditions. Consequently, failure of any individual condition results in denial, as stated by Eq. (18).</w:t>
      </w:r>
    </w:p>
    <w:p>
      <w:pPr>
        <w:pStyle w:val="BodyText"/>
      </w:pPr>
      <w: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pStyle w:val="BodyText"/>
      </w:pPr>
      <w:r>
        <w:t xml:space="preserve">The research questions form a progressive research architecture that begins with establishing a</w:t>
      </w:r>
      <w:r>
        <w:t xml:space="preserve"> </w:t>
      </w:r>
      <w:r>
        <w:rPr>
          <w:rStyle w:val="OrangeDelete"/>
        </w:rPr>
        <w:t xml:space="preserve">robust Consent Representation, which directly fosters Participant Trust</w:t>
      </w:r>
      <w:r>
        <w:rPr>
          <w:rStyle w:val="OrangeFix"/>
        </w:rPr>
        <w:t xml:space="preserve">consent representation, which directly fosters participant trust</w:t>
      </w:r>
      <w:r>
        <w:t xml:space="preserve">. This trust then translates into a framework for</w:t>
      </w:r>
      <w:r>
        <w:t xml:space="preserve"> </w:t>
      </w:r>
      <w:r>
        <w:rPr>
          <w:rStyle w:val="OrangeDelete"/>
        </w:rPr>
        <w:t xml:space="preserve">Collective Authorisation, providing the necessary foundation for systemic Policy Enforcement</w:t>
      </w:r>
      <w:r>
        <w:rPr>
          <w:rStyle w:val="OrangeFix"/>
        </w:rPr>
        <w:t xml:space="preserve">collective authorisation, providing the necessary foundation for policy enforcement</w:t>
      </w:r>
      <w:r>
        <w:t xml:space="preserve">. Consequently, this enables dynamic</w:t>
      </w:r>
      <w:r>
        <w:t xml:space="preserve"> </w:t>
      </w:r>
      <w:r>
        <w:rPr>
          <w:rStyle w:val="OrangeDelete"/>
        </w:rPr>
        <w:t xml:space="preserve">Temporal/Lifecycle Control over data and processes, culminating in comprehensive Security Assurance and Validation</w:t>
      </w:r>
      <w:r>
        <w:rPr>
          <w:rStyle w:val="OrangeFix"/>
        </w:rPr>
        <w:t xml:space="preserve">temporal and lifecycle control over data and processes, culminating in security assurance and validation</w:t>
      </w:r>
      <w:r>
        <w:t xml:space="preserve">.</w:t>
      </w:r>
      <w:r>
        <w:rPr>
          <w:rStyle w:val="OrangeDelete"/>
        </w:rPr>
        <w:t xml:space="preserve">By structuring the inquiries this way, the architecture creates a continuous logical pipeline that connects user-facing trust with back-end system security.</w:t>
      </w:r>
    </w:p>
    <w:p>
      <w:pPr>
        <w:pStyle w:val="BodyText"/>
      </w:pPr>
      <w: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pStyle w:val="BodyText"/>
      </w:pPr>
      <w: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bookmarkEnd w:id="54"/>
    <w:bookmarkEnd w:id="55"/>
    <w:bookmarkStart w:id="63" w:name="research-objectives"/>
    <w:p>
      <w:pPr>
        <w:pStyle w:val="Heading1"/>
      </w:pPr>
      <w:r>
        <w:t xml:space="preserve">4 Research Objectives</w:t>
      </w:r>
    </w:p>
    <w:p>
      <w:pPr>
        <w:pStyle w:val="FirstParagraph"/>
      </w:pPr>
      <w: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 consists of six research objectives, corresponding to six research questions. The first four objectives establish the foundational trust-oriented authorisation mechanisms investigated during the current stage, while the final two objectives extend and evaluate these mechanisms as part of the next research program.</w:t>
      </w:r>
    </w:p>
    <w:bookmarkStart w:id="56" w:name="ro1---trust-centric-consent-model"/>
    <w:p>
      <w:pPr>
        <w:pStyle w:val="Heading2"/>
      </w:pPr>
      <w:r>
        <w:t xml:space="preserve">4.1 RO1 - Trust-Centric Consent Model</w:t>
      </w:r>
    </w:p>
    <w:p>
      <w:pPr>
        <w:pStyle w:val="FirstParagraph"/>
      </w:pPr>
      <w: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BodyText"/>
      </w:pPr>
      <w:r>
        <w:t xml:space="preserve">RO1 directly addresses SRQ1 and establishes the conceptual foundation for the remaining objectives. In particular, it defines the information that must be represented before consent can be interpreted as an authorisation decision rather than merely as a static approval record.</w:t>
      </w:r>
    </w:p>
    <w:bookmarkEnd w:id="56"/>
    <w:bookmarkStart w:id="57" w:name="X3b9e419e4a4f9a8a6cd783c1e30cfe2d27dc9a9"/>
    <w:p>
      <w:pPr>
        <w:pStyle w:val="Heading2"/>
      </w:pPr>
      <w:r>
        <w:t xml:space="preserve">4.2 RO2 - Decentralised Identity and Authority Trust</w:t>
      </w:r>
    </w:p>
    <w:p>
      <w:pPr>
        <w:pStyle w:val="FirstParagraph"/>
      </w:pPr>
      <w: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RO2 addresses SRQ2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bookmarkEnd w:id="57"/>
    <w:bookmarkStart w:id="58" w:name="X96c8ad6648392c7605ed75ab20b31c56041cc8d"/>
    <w:p>
      <w:pPr>
        <w:pStyle w:val="Heading2"/>
      </w:pPr>
      <w:r>
        <w:t xml:space="preserve">4.3 RO3 - Trustworthy Multi-Party Authorisation</w:t>
      </w:r>
    </w:p>
    <w:p>
      <w:pPr>
        <w:pStyle w:val="FirstParagraph"/>
      </w:pPr>
      <w:r>
        <w:t xml:space="preserve">The third research objective is to develop a threshold-based multi-party authorisation mechanism through which multiple independently verified participants can jointly establish a trustworthy consent decision.</w:t>
      </w:r>
    </w:p>
    <w:p>
      <w:pPr>
        <w:pStyle w:val="BodyText"/>
      </w:pPr>
      <w: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pStyle w:val="BodyText"/>
      </w:pPr>
      <w:r>
        <w:t xml:space="preserve">RO3 directly addresses SRQ3 and extends the consent model from an individual permission statement to a collective authorisation decision.</w:t>
      </w:r>
    </w:p>
    <w:bookmarkEnd w:id="58"/>
    <w:bookmarkStart w:id="59" w:name="X0727da7f5cfdf2586e7a7050610bbe70c20071d"/>
    <w:p>
      <w:pPr>
        <w:pStyle w:val="Heading2"/>
      </w:pPr>
      <w:r>
        <w:t xml:space="preserve">4.4 RO4 - Policy- and Context-Aware Access Control</w:t>
      </w:r>
    </w:p>
    <w:p>
      <w:pPr>
        <w:pStyle w:val="FirstParagraph"/>
      </w:pPr>
      <w:r>
        <w:t xml:space="preserve">The fourth research objective is to develop a policy-aware authorisation mechanism that evaluates the purpose and data scope of a requested operation against the constraints defined by the consent.</w:t>
      </w:r>
    </w:p>
    <w:p>
      <w:pPr>
        <w:pStyle w:val="BodyText"/>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BodyText"/>
      </w:pPr>
      <w:r>
        <w:t xml:space="preserve">RO4 directly addresses SRQ4 and completes the foundational authorisation model investigated during the current stage. Together, RO1–RO4 establish the representation, verification, collective authorisation, and policy-enforcement mechanisms required for a trust-oriented healthcare data-sharing decision.</w:t>
      </w:r>
    </w:p>
    <w:bookmarkEnd w:id="59"/>
    <w:bookmarkStart w:id="60" w:name="ro5---temporal-and-lifecycle-trust"/>
    <w:p>
      <w:pPr>
        <w:pStyle w:val="Heading2"/>
      </w:pPr>
      <w:r>
        <w:t xml:space="preserve">4.5 RO5 - Temporal and Lifecycle Trust</w:t>
      </w:r>
    </w:p>
    <w:p>
      <w:pPr>
        <w:pStyle w:val="FirstParagrap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BodyText"/>
      </w:pPr>
      <w:r>
        <w:t xml:space="preserve">RO5 addresses SRQ5 and extends the foundational current stage authorisation model into a dynamic consent environment. Whereas the current stage establishes whether an authorisation can be considered valid under the defined identity, approval, and policy conditions, RO5 investigates whether that authorisation remains valid as time passes and as the consent state changes.</w:t>
      </w:r>
    </w:p>
    <w:p>
      <w:pPr>
        <w:pStyle w:val="BodyText"/>
      </w:pPr>
      <w:r>
        <w:t xml:space="preserve">This objective constitutes a principal component of the next-stage research program. It will investigate how temporal and lifecycle conditions can be incorporated into the authorisation decision without weakening the trust relationships established by the current stage mechanisms.</w:t>
      </w:r>
    </w:p>
    <w:bookmarkEnd w:id="60"/>
    <w:bookmarkStart w:id="61" w:name="X24a27d6a5b6d202a5a17862710e34d1cf0bfc50"/>
    <w:p>
      <w:pPr>
        <w:pStyle w:val="Heading2"/>
      </w:pPr>
      <w:r>
        <w:t xml:space="preserve">4.6 RO6 - Formal Security Assurance and Empirical Validation</w:t>
      </w:r>
    </w:p>
    <w:p>
      <w:pPr>
        <w:pStyle w:val="FirstParagraph"/>
      </w:pPr>
      <w:r>
        <w:t xml:space="preserve">The sixth research objective is to formally analyse and empirically evaluate whether the implemented framework satisfies its defined trust and authorisation properties under representative healthcare data-sharing scenarios.</w:t>
      </w:r>
    </w:p>
    <w:p>
      <w:pPr>
        <w:pStyle w:val="BodyText"/>
      </w:pPr>
      <w:r>
        <w:t xml:space="preserve">RO6 addresses SRQ6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pStyle w:val="BodyText"/>
      </w:pPr>
      <w: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pStyle w:val="BodyText"/>
      </w:pPr>
      <w: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the next-stage work.</w:t>
      </w:r>
    </w:p>
    <w:bookmarkEnd w:id="61"/>
    <w:bookmarkStart w:id="62" w:name="X07796854c457956cc5d41c43493200966f89c2d"/>
    <w:p>
      <w:pPr>
        <w:pStyle w:val="Heading2"/>
      </w:pPr>
      <w:r>
        <w:t xml:space="preserve">4.7 Relationship Between Research Questions and Objectives</w:t>
      </w:r>
    </w:p>
    <w:p>
      <w:pPr>
        <w:pStyle w:val="FirstParagraph"/>
      </w:pPr>
      <w:r>
        <w:t xml:space="preserve">The relationship between the six research questions and the six research objectives is summarised in Table 4.1 and Table 4.2. The mapping follows the structure of the research program 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pStyle w:val="BodyText"/>
      </w:pPr>
      <w:r>
        <w:t xml:space="preserve">Each objective also responds to one of the key requirements identified in the literature review: RO1 to Req 1, RO2 to Req 2, RO3 to Req 3, RO4 to Req 4</w:t>
      </w:r>
      <w:r>
        <w:rPr>
          <w:rStyle w:val="OrangeFix"/>
        </w:rPr>
        <w:t xml:space="preserve">,</w:t>
      </w:r>
      <w:r>
        <w:t xml:space="preserve"> </w:t>
      </w:r>
      <w:r>
        <w:t xml:space="preserve">and RO5 to Req 5 (Section 2.2), while RO6 provides the formal and empirical assurance that the requirements are met (Section 2.5).</w:t>
      </w:r>
    </w:p>
    <w:p>
      <w:pPr>
        <w:pStyle w:val="BodyText"/>
      </w:pPr>
      <w: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pStyle w:val="BodyText"/>
      </w:pPr>
      <w: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The current stage establishes the foundational mechanisms and their conceptual relationships, whereas the next stage investigates whether these mechanisms remain reliable under dynamic lifecycle conditions and whether their security and practical effectiveness can be formally and empirically demonstrated.</w:t>
      </w:r>
    </w:p>
    <w:p>
      <w:pPr>
        <w:pStyle w:val="TableCaption"/>
      </w:pPr>
      <w:r>
        <w:t xml:space="preserve">Table 4.1: Research Questions, Research Objectives, and Thesis Chapters for Current Stage</w:t>
      </w:r>
    </w:p>
    <w:tbl>
      <w:tblPr>
        <w:tblStyle w:val="Table"/>
        <w:tblW w:type="pct" w:w="5000"/>
        <w:tblLayout w:type="fixed"/>
        <w:tblLook w:firstRow="1" w:lastRow="0" w:firstColumn="0" w:lastColumn="0" w:noHBand="0" w:noVBand="0" w:val="0020"/>
        <w:tblCaption w:val="Table 4.1: Research Questions, Research Objectives, and Thesis Chapters for Current Stage"/>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SRQ1</w:t>
            </w:r>
          </w:p>
        </w:tc>
        <w:tc>
          <w:tcPr/>
          <w:p>
            <w:pPr>
              <w:pStyle w:val="Compact"/>
              <w:jc w:val="left"/>
            </w:pPr>
            <w:r>
              <w:rPr>
                <w:b/>
                <w:bCs/>
              </w:rPr>
              <w:t xml:space="preserve">RO1:</w:t>
            </w:r>
            <w:r>
              <w:t xml:space="preserve"> </w:t>
            </w:r>
            <w:r>
              <w:t xml:space="preserve">Trust-Centric Consent Model</w:t>
            </w:r>
          </w:p>
        </w:tc>
        <w:tc>
          <w:tcPr/>
          <w:p>
            <w:pPr>
              <w:pStyle w:val="Compact"/>
              <w:jc w:val="left"/>
            </w:pPr>
            <w:r>
              <w:t xml:space="preserve">Develop a structured and evaluable consent representation that treats patient consent as a policy-bound authorisation object containing identity information, authority requirements, policy constraints, and authorisation evidence.</w:t>
            </w:r>
          </w:p>
        </w:tc>
        <w:tc>
          <w:tcPr/>
          <w:p>
            <w:pPr>
              <w:pStyle w:val="Compact"/>
              <w:jc w:val="left"/>
            </w:pPr>
            <w:r>
              <w:t xml:space="preserve">Chapter 3</w:t>
            </w:r>
          </w:p>
        </w:tc>
      </w:tr>
      <w:tr>
        <w:trPr>
          <w:cantSplit/>
        </w:trPr>
        <w:tc>
          <w:tcPr/>
          <w:p>
            <w:pPr>
              <w:pStyle w:val="Compact"/>
              <w:jc w:val="left"/>
            </w:pPr>
            <w:r>
              <w:rPr>
                <w:b/>
                <w:bCs/>
              </w:rPr>
              <w:t xml:space="preserve">SRQ2</w:t>
            </w:r>
          </w:p>
        </w:tc>
        <w:tc>
          <w:tcPr/>
          <w:p>
            <w:pPr>
              <w:pStyle w:val="Compact"/>
              <w:jc w:val="left"/>
            </w:pPr>
            <w:r>
              <w:rPr>
                <w:b/>
                <w:bCs/>
              </w:rPr>
              <w:t xml:space="preserve">RO2:</w:t>
            </w:r>
            <w:r>
              <w:t xml:space="preserve"> </w:t>
            </w:r>
            <w:r>
              <w:t xml:space="preserve">Decentralised Identity and Authority Trust</w:t>
            </w:r>
          </w:p>
        </w:tc>
        <w:tc>
          <w:tcPr/>
          <w:p>
            <w:pPr>
              <w:pStyle w:val="Compact"/>
              <w:jc w:val="left"/>
            </w:pPr>
            <w:r>
              <w:t xml:space="preserve">Establish trustworthy participants using DIDs and VCs while explicitly separating identity authentication from authorisation authority.</w:t>
            </w:r>
          </w:p>
        </w:tc>
        <w:tc>
          <w:tcPr/>
          <w:p>
            <w:pPr>
              <w:pStyle w:val="Compact"/>
              <w:jc w:val="left"/>
            </w:pPr>
            <w:r>
              <w:t xml:space="preserve">Chapter 3</w:t>
            </w:r>
          </w:p>
        </w:tc>
      </w:tr>
      <w:tr>
        <w:trPr>
          <w:cantSplit/>
        </w:trPr>
        <w:tc>
          <w:tcPr/>
          <w:p>
            <w:pPr>
              <w:pStyle w:val="Compact"/>
              <w:jc w:val="left"/>
            </w:pPr>
            <w:r>
              <w:rPr>
                <w:b/>
                <w:bCs/>
              </w:rPr>
              <w:t xml:space="preserve">SRQ3</w:t>
            </w:r>
          </w:p>
        </w:tc>
        <w:tc>
          <w:tcPr/>
          <w:p>
            <w:pPr>
              <w:pStyle w:val="Compact"/>
              <w:jc w:val="left"/>
            </w:pPr>
            <w:r>
              <w:rPr>
                <w:b/>
                <w:bCs/>
              </w:rPr>
              <w:t xml:space="preserve">RO3:</w:t>
            </w:r>
            <w:r>
              <w:t xml:space="preserve"> </w:t>
            </w:r>
            <w:r>
              <w:t xml:space="preserve">Trustworthy Multi-Party Authorisation</w:t>
            </w:r>
          </w:p>
        </w:tc>
        <w:tc>
          <w:tcPr/>
          <w:p>
            <w:pPr>
              <w:pStyle w:val="Compact"/>
              <w:jc w:val="left"/>
            </w:pPr>
            <w:r>
              <w:t xml:space="preserve">Establish collective authorisation through independently verified participants and threshold-based approval mechanisms, thereby preventing unilateral authorisation when collective approval is required.</w:t>
            </w:r>
          </w:p>
        </w:tc>
        <w:tc>
          <w:tcPr/>
          <w:p>
            <w:pPr>
              <w:pStyle w:val="Compact"/>
              <w:jc w:val="left"/>
            </w:pPr>
            <w:r>
              <w:t xml:space="preserve">Chapter 4</w:t>
            </w:r>
          </w:p>
        </w:tc>
      </w:tr>
    </w:tbl>
    <w:p/>
    <w:p>
      <w:pPr>
        <w:pStyle w:val="TableCaption"/>
      </w:pPr>
      <w:r>
        <w:t xml:space="preserve">Table 4.2: Research Questions, Research Objectives, and Thesis Chapters (continued:</w:t>
      </w:r>
      <w:r>
        <w:t xml:space="preserve"> </w:t>
      </w:r>
      <w:r>
        <w:rPr>
          <w:rStyle w:val="OrangeDelete"/>
        </w:rPr>
        <w:t xml:space="preserve">RQ4 current stage; RQ5–RQ6</w:t>
      </w:r>
      <w:r>
        <w:rPr>
          <w:rStyle w:val="OrangeFix"/>
        </w:rPr>
        <w:t xml:space="preserve">SRQ4 current stage; SRQ5–SRQ6</w:t>
      </w:r>
      <w:r>
        <w:t xml:space="preserve"> </w:t>
      </w:r>
      <w:r>
        <w:t xml:space="preserve">CA3)</w:t>
      </w:r>
    </w:p>
    <w:tbl>
      <w:tblPr>
        <w:tblStyle w:val="Table"/>
        <w:tblW w:type="pct" w:w="5000"/>
        <w:tblLayout w:type="fixed"/>
        <w:tblLook w:firstRow="1" w:lastRow="0" w:firstColumn="0" w:lastColumn="0" w:noHBand="0" w:noVBand="0" w:val="0020"/>
        <w:tblCaption w:val="Table 4.2: Research Questions, Research Objectives, and Thesis Chapters (continued: RQ4 current stage; RQ5–RQ6SRQ4 current stage; SRQ5–SRQ6 CA3)"/>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SRQ4</w:t>
            </w:r>
          </w:p>
        </w:tc>
        <w:tc>
          <w:tcPr/>
          <w:p>
            <w:pPr>
              <w:pStyle w:val="Compact"/>
              <w:jc w:val="left"/>
            </w:pPr>
            <w:r>
              <w:rPr>
                <w:b/>
                <w:bCs/>
              </w:rPr>
              <w:t xml:space="preserve">RO4:</w:t>
            </w:r>
            <w:r>
              <w:t xml:space="preserve"> </w:t>
            </w:r>
            <w:r>
              <w:t xml:space="preserve">Policy- and Context-Aware Access Control</w:t>
            </w:r>
          </w:p>
        </w:tc>
        <w:tc>
          <w:tcPr/>
          <w:p>
            <w:pPr>
              <w:pStyle w:val="Compact"/>
              <w:jc w:val="left"/>
            </w:pPr>
            <w:r>
              <w:t xml:space="preserve">Enforce purpose and healthcare data-scope constraints as explicit and evaluable conditions of access, ensuring that valid identities and sufficient approvals cannot be used outside the authorised scope.</w:t>
            </w:r>
          </w:p>
        </w:tc>
        <w:tc>
          <w:tcPr/>
          <w:p>
            <w:pPr>
              <w:pStyle w:val="Compact"/>
              <w:jc w:val="left"/>
            </w:pPr>
            <w:r>
              <w:t xml:space="preserve">Chapter 4</w:t>
            </w:r>
          </w:p>
        </w:tc>
      </w:tr>
      <w:tr>
        <w:trPr>
          <w:cantSplit/>
        </w:trPr>
        <w:tc>
          <w:tcPr/>
          <w:p>
            <w:pPr>
              <w:pStyle w:val="Compact"/>
              <w:jc w:val="left"/>
            </w:pPr>
            <w:r>
              <w:rPr>
                <w:b/>
                <w:bCs/>
              </w:rPr>
              <w:t xml:space="preserve">SRQ5</w:t>
            </w:r>
          </w:p>
        </w:tc>
        <w:tc>
          <w:tcPr/>
          <w:p>
            <w:pPr>
              <w:pStyle w:val="Compact"/>
              <w:jc w:val="left"/>
            </w:pPr>
            <w:r>
              <w:rPr>
                <w:b/>
                <w:bCs/>
              </w:rPr>
              <w:t xml:space="preserve">RO5:</w:t>
            </w:r>
            <w:r>
              <w:t xml:space="preserve"> </w:t>
            </w:r>
            <w:r>
              <w:t xml:space="preserve">Temporal and Lifecycle Trust</w:t>
            </w:r>
          </w:p>
        </w:tc>
        <w:tc>
          <w:tcPr/>
          <w:p>
            <w:pPr>
              <w:pStyle w:val="Compact"/>
              <w:jc w:val="left"/>
            </w:pPr>
            <w:r>
              <w:t xml:space="preserve">Extend the authorisation model with temporal validity, expiration, revocation, and controlled consent-state transitions.</w:t>
            </w:r>
          </w:p>
        </w:tc>
        <w:tc>
          <w:tcPr/>
          <w:p>
            <w:pPr>
              <w:pStyle w:val="Compact"/>
              <w:jc w:val="left"/>
            </w:pPr>
            <w:r>
              <w:t xml:space="preserve">Chapter 5</w:t>
            </w:r>
          </w:p>
        </w:tc>
      </w:tr>
      <w:tr>
        <w:trPr>
          <w:cantSplit/>
        </w:trPr>
        <w:tc>
          <w:tcPr/>
          <w:p>
            <w:pPr>
              <w:pStyle w:val="Compact"/>
              <w:jc w:val="left"/>
            </w:pPr>
            <w:r>
              <w:rPr>
                <w:b/>
                <w:bCs/>
              </w:rPr>
              <w:t xml:space="preserve">SRQ6</w:t>
            </w:r>
          </w:p>
        </w:tc>
        <w:tc>
          <w:tcPr/>
          <w:p>
            <w:pPr>
              <w:pStyle w:val="Compact"/>
              <w:jc w:val="left"/>
            </w:pPr>
            <w:r>
              <w:rPr>
                <w:b/>
                <w:bCs/>
              </w:rPr>
              <w:t xml:space="preserve">RO6:</w:t>
            </w:r>
            <w:r>
              <w:t xml:space="preserve"> </w:t>
            </w:r>
            <w:r>
              <w:t xml:space="preserve">Formal Security Assurance and Empirical Validation</w:t>
            </w:r>
          </w:p>
        </w:tc>
        <w:tc>
          <w:tcPr/>
          <w:p>
            <w:pPr>
              <w:pStyle w:val="Compact"/>
              <w:jc w:val="left"/>
            </w:pPr>
            <w: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p>
            <w:pPr>
              <w:pStyle w:val="Compact"/>
              <w:jc w:val="left"/>
            </w:pPr>
            <w:r>
              <w:t xml:space="preserve">Chapter 5</w:t>
            </w:r>
          </w:p>
        </w:tc>
      </w:tr>
    </w:tbl>
    <w:p>
      <w:pPr>
        <w:pStyle w:val="BodyText"/>
      </w:pPr>
      <w: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w:t>
      </w:r>
    </w:p>
    <w:p>
      <w:pPr>
        <w:pStyle w:val="BodyText"/>
      </w:pPr>
      <w:r>
        <w:t xml:space="preserve">For the foundational current stage model,</w:t>
      </w:r>
      <w:r>
        <w:t xml:space="preserve"> </w:t>
      </w:r>
      <w:r>
        <w:rPr>
          <w:rStyle w:val="OrangeDelete"/>
        </w:rPr>
        <w:t xml:space="preserve">the authorisation decision is given by Eq. (6),</w:t>
      </w:r>
      <w:r>
        <w:rPr>
          <w:rStyle w:val="OrangeFix"/>
        </w:rPr>
        <w:t xml:space="preserve">the authorisation decision is given by Eq. (6).</w:t>
      </w:r>
    </w:p>
    <w:p>
      <w:pPr>
        <w:pStyle w:val="BodyText"/>
      </w:pPr>
      <w:r>
        <w:rPr>
          <w:rStyle w:val="OrangeDelete"/>
        </w:rPr>
        <w:t xml:space="preserve">where</w:t>
      </w:r>
      <w:r>
        <w:rPr>
          <w:rStyle w:val="OrangeDelete"/>
        </w:rPr>
        <w:t xml:space="preserve"> </w:t>
      </w:r>
      <w:r>
        <w:rPr>
          <w:rStyle w:val="OrangeDelete"/>
          <w:i/>
          <w:iCs/>
        </w:rPr>
        <w:t xml:space="preserve">V</w:t>
      </w:r>
      <w:r>
        <w:rPr>
          <w:rStyle w:val="OrangeDelete"/>
          <w:vertAlign w:val="subscript"/>
        </w:rPr>
        <w:t xml:space="preserve">I</w:t>
      </w:r>
      <w:r>
        <w:rPr>
          <w:rStyle w:val="OrangeDelete"/>
        </w:rPr>
        <w:t xml:space="preserve">(</w:t>
      </w:r>
      <w:r>
        <w:rPr>
          <w:rStyle w:val="OrangeDelete"/>
          <w:i/>
          <w:iCs/>
        </w:rPr>
        <w:t xml:space="preserve">u</w:t>
      </w:r>
      <w:r>
        <w:rPr>
          <w:rStyle w:val="OrangeDelete"/>
        </w:rPr>
        <w:t xml:space="preserve">) represents the validity</w:t>
      </w:r>
      <w:r>
        <w:rPr>
          <w:rStyle w:val="OrangeFix"/>
        </w:rPr>
        <w:t xml:space="preserve">In Eq. (6),</w:t>
      </w:r>
      <w:r>
        <w:rPr>
          <w:rStyle w:val="OrangeFix"/>
        </w:rPr>
        <w:t xml:space="preserve"> </w:t>
      </w:r>
      <w:r>
        <w:rPr>
          <w:rStyle w:val="OrangeFix"/>
          <w:i/>
          <w:iCs/>
        </w:rPr>
        <w:t xml:space="preserve">V</w:t>
      </w:r>
      <w:r>
        <w:rPr>
          <w:rStyle w:val="OrangeFix"/>
          <w:vertAlign w:val="subscript"/>
        </w:rPr>
        <w:t xml:space="preserve">I</w:t>
      </w:r>
      <w:r>
        <w:rPr>
          <w:rStyle w:val="OrangeFix"/>
        </w:rPr>
        <w:t xml:space="preserve">(</w:t>
      </w:r>
      <w:r>
        <w:rPr>
          <w:rStyle w:val="OrangeFix"/>
          <w:i/>
          <w:iCs/>
        </w:rPr>
        <w:t xml:space="preserve">u</w:t>
      </w:r>
      <w:r>
        <w:rPr>
          <w:rStyle w:val="OrangeFix"/>
        </w:rPr>
        <w:t xml:space="preserve">) represents the validity</w:t>
      </w:r>
      <w:r>
        <w:t xml:space="preserve"> </w:t>
      </w:r>
      <w:r>
        <w:t xml:space="preserve">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w:t>
      </w:r>
    </w:p>
    <w:p>
      <w:pPr>
        <w:pStyle w:val="BodyText"/>
      </w:pPr>
      <w:r>
        <w:t xml:space="preserve">The next stage research will extend this decision model by incorporating temporal and lifecycle conditions,</w:t>
      </w:r>
      <w:r>
        <w:t xml:space="preserve"> </w:t>
      </w:r>
      <w:r>
        <w:rPr>
          <w:rStyle w:val="OrangeDelete"/>
        </w:rPr>
        <w:t xml:space="preserve">as given by Eq. (24),</w:t>
      </w:r>
      <w:r>
        <w:rPr>
          <w:rStyle w:val="OrangeFix"/>
        </w:rPr>
        <w:t xml:space="preserve">as given by Eq. (24).</w:t>
      </w:r>
    </w:p>
    <w:p>
      <w:pPr>
        <w:pStyle w:val="BodyText"/>
      </w:pPr>
      <w:r>
        <w:rPr>
          <w:rStyle w:val="OrangeDelete"/>
        </w:rPr>
        <w:t xml:space="preserve">where</w:t>
      </w:r>
      <w:r>
        <w:rPr>
          <w:rStyle w:val="OrangeDelete"/>
        </w:rPr>
        <w:t xml:space="preserve"> </w:t>
      </w:r>
      <w:r>
        <w:rPr>
          <w:rStyle w:val="OrangeDelete"/>
          <w:i/>
          <w:iCs/>
        </w:rPr>
        <w:t xml:space="preserve">V</w:t>
      </w:r>
      <w:r>
        <w:rPr>
          <w:rStyle w:val="OrangeDelete"/>
          <w:vertAlign w:val="subscript"/>
        </w:rPr>
        <w:t xml:space="preserve">T</w:t>
      </w:r>
      <w:r>
        <w:rPr>
          <w:rStyle w:val="OrangeDelete"/>
        </w:rPr>
        <w:t xml:space="preserve">(</w:t>
      </w:r>
      <w:r>
        <w:rPr>
          <w:rStyle w:val="OrangeDelete"/>
          <w:i/>
          <w:iCs/>
        </w:rPr>
        <w:t xml:space="preserve">C, t</w:t>
      </w:r>
      <w:r>
        <w:rPr>
          <w:rStyle w:val="OrangeDelete"/>
        </w:rPr>
        <w:t xml:space="preserve">) represents temporal validity</w:t>
      </w:r>
      <w:r>
        <w:rPr>
          <w:rStyle w:val="OrangeFix"/>
        </w:rPr>
        <w:t xml:space="preserve">In Eq. (24),</w:t>
      </w:r>
      <w:r>
        <w:rPr>
          <w:rStyle w:val="OrangeFix"/>
        </w:rPr>
        <w:t xml:space="preserve"> </w:t>
      </w:r>
      <w:r>
        <w:rPr>
          <w:rStyle w:val="OrangeFix"/>
          <w:i/>
          <w:iCs/>
        </w:rPr>
        <w:t xml:space="preserve">V</w:t>
      </w:r>
      <w:r>
        <w:rPr>
          <w:rStyle w:val="OrangeFix"/>
          <w:vertAlign w:val="subscript"/>
        </w:rPr>
        <w:t xml:space="preserve">T</w:t>
      </w:r>
      <w:r>
        <w:rPr>
          <w:rStyle w:val="OrangeFix"/>
        </w:rPr>
        <w:t xml:space="preserve">(</w:t>
      </w:r>
      <w:r>
        <w:rPr>
          <w:rStyle w:val="OrangeFix"/>
          <w:i/>
          <w:iCs/>
        </w:rPr>
        <w:t xml:space="preserve">C, t</w:t>
      </w:r>
      <w:r>
        <w:rPr>
          <w:rStyle w:val="OrangeFix"/>
        </w:rPr>
        <w:t xml:space="preserve">) represents temporal validity</w:t>
      </w:r>
      <w:r>
        <w:t xml:space="preserve"> </w:t>
      </w:r>
      <w:r>
        <w:t xml:space="preserve">and</w:t>
      </w:r>
      <w:r>
        <w:t xml:space="preserve"> </w:t>
      </w:r>
      <w:r>
        <w:rPr>
          <w:i/>
          <w:iCs/>
        </w:rPr>
        <w:t xml:space="preserve">V</w:t>
      </w:r>
      <w:r>
        <w:rPr>
          <w:vertAlign w:val="subscript"/>
        </w:rPr>
        <w:t xml:space="preserve">L</w:t>
      </w:r>
      <w:r>
        <w:t xml:space="preserve">(</w:t>
      </w:r>
      <w:r>
        <w:rPr>
          <w:i/>
          <w:iCs/>
        </w:rPr>
        <w:t xml:space="preserve">C</w:t>
      </w:r>
      <w:r>
        <w:t xml:space="preserve">) represents the validity of the consent lifecycle state and its transitions. This extension provides a consistent connection between the foundational current stage objectives and the planned next</w:t>
      </w:r>
      <w:r>
        <w:rPr>
          <w:rStyle w:val="OrangeFix"/>
        </w:rPr>
        <w:t xml:space="preserve">-stage</w:t>
      </w:r>
      <w:r>
        <w:t xml:space="preserve"> </w:t>
      </w:r>
      <w:r>
        <w:t xml:space="preserve">research on dynamic trust, formal assurance, and comprehensive validation.</w:t>
      </w:r>
    </w:p>
    <w:bookmarkEnd w:id="62"/>
    <w:bookmarkEnd w:id="63"/>
    <w:bookmarkStart w:id="91" w:name="research-architecture-mvc"/>
    <w:p>
      <w:pPr>
        <w:pStyle w:val="Heading1"/>
      </w:pPr>
      <w:r>
        <w:t xml:space="preserve">5 Research Architecture: MVC</w:t>
      </w:r>
    </w:p>
    <w:p>
      <w:pPr>
        <w:pStyle w:val="FirstParagraph"/>
      </w:pPr>
      <w: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w:t>
      </w:r>
    </w:p>
    <w:p>
      <w:pPr>
        <w:pStyle w:val="BodyText"/>
      </w:pPr>
      <w:r>
        <w:t xml:space="preserve">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BodyText"/>
      </w:pPr>
      <w:r>
        <w:t xml:space="preserve">The proposed architecture therefore distinguishes three complementary responsibilities. The</w:t>
      </w:r>
      <w:r>
        <w:t xml:space="preserve"> </w:t>
      </w:r>
      <w:r>
        <w:rPr>
          <w:i/>
          <w:iCs/>
        </w:rPr>
        <w:t xml:space="preserve">Model</w:t>
      </w:r>
      <w:r>
        <w:t xml:space="preserve"> </w:t>
      </w:r>
      <w:r>
        <w:t xml:space="preserve">represents the security and governance state of the system, including identities, credentials, consent objects, authorisation requirements, policies, approval evidence, and healthcare data scopes. The</w:t>
      </w:r>
      <w:r>
        <w:t xml:space="preserve"> </w:t>
      </w:r>
      <w:r>
        <w:rPr>
          <w:i/>
          <w:iCs/>
        </w:rPr>
        <w:t xml:space="preserve">View</w:t>
      </w:r>
      <w:r>
        <w:t xml:space="preserve"> </w:t>
      </w:r>
      <w:r>
        <w:t xml:space="preserve">provides controlled interaction mechanisms through which independent participants can create, inspect, approve, or exercise consent-related operations. The</w:t>
      </w:r>
      <w:r>
        <w:t xml:space="preserve"> </w:t>
      </w:r>
      <w:r>
        <w:rPr>
          <w:i/>
          <w:iCs/>
        </w:rPr>
        <w:t xml:space="preserve">Controller</w:t>
      </w:r>
      <w:r>
        <w:t xml:space="preserve"> </w:t>
      </w:r>
      <w:r>
        <w:t xml:space="preserve">acts as the trusted decision coordination layer responsible for validating identity, evaluating authority, aggregating multi-party approval evidence, enforcing policy constraints, and determining whether a requested healthcare data operation should be permitted.</w:t>
      </w:r>
    </w:p>
    <w:p>
      <w:pPr>
        <w:pStyle w:val="BodyText"/>
      </w:pPr>
      <w:r>
        <w:t xml:space="preserve">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w:t>
      </w:r>
      <w:r>
        <w:t xml:space="preserve"> </w:t>
      </w:r>
      <w:r>
        <w:rPr>
          <w:i/>
          <w:iCs/>
        </w:rPr>
        <w:t xml:space="preserve">what consent represents</w:t>
      </w:r>
      <w:r>
        <w:t xml:space="preserve">,</w:t>
      </w:r>
      <w:r>
        <w:t xml:space="preserve"> </w:t>
      </w:r>
      <w:r>
        <w:rPr>
          <w:rStyle w:val="OrangeDelete"/>
          <w:i/>
          <w:iCs/>
        </w:rPr>
        <w:t xml:space="preserve">how stakeholders</w:t>
      </w:r>
      <w:r>
        <w:rPr>
          <w:rStyle w:val="OrangeDelete"/>
        </w:rPr>
        <w:t xml:space="preserve"> </w:t>
      </w:r>
      <w:r>
        <w:rPr>
          <w:rStyle w:val="OrangeDelete"/>
          <w:i/>
          <w:iCs/>
        </w:rPr>
        <w:t xml:space="preserve">interact with it</w:t>
      </w:r>
      <w:r>
        <w:rPr>
          <w:rStyle w:val="OrangeFix"/>
          <w:i/>
          <w:iCs/>
        </w:rPr>
        <w:t xml:space="preserve">how stakeholders interact with it</w:t>
      </w:r>
      <w:r>
        <w:t xml:space="preserve">, and</w:t>
      </w:r>
      <w:r>
        <w:t xml:space="preserve"> </w:t>
      </w:r>
      <w:r>
        <w:rPr>
          <w:i/>
          <w:iCs/>
        </w:rPr>
        <w:t xml:space="preserve">how trust is enforced</w:t>
      </w:r>
      <w:r>
        <w:t xml:space="preserve">.</w:t>
      </w:r>
    </w:p>
    <w:bookmarkStart w:id="77" w:name="X4c5c546815ea228e4b76521fee5c855eb2a3a8b"/>
    <w:p>
      <w:pPr>
        <w:pStyle w:val="Heading2"/>
      </w:pPr>
      <w:r>
        <w:t xml:space="preserve">5.1 MVC Layered Architecture and Component Decomposition</w:t>
      </w:r>
    </w:p>
    <w:p>
      <w:pPr>
        <w:pStyle w:val="FirstParagrap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pStyle w:val="BodyText"/>
      </w:pPr>
      <w:r>
        <w:t xml:space="preserve">At the highest level, the architecture consists of three complementary layers:</w:t>
      </w:r>
      <w:r>
        <w:t xml:space="preserve"> </w:t>
      </w:r>
      <w:r>
        <w:rPr>
          <w:rStyle w:val="OrangeDelete"/>
        </w:rPr>
        <w:t xml:space="preserve">the</w:t>
      </w:r>
      <w:r>
        <w:rPr>
          <w:rStyle w:val="OrangeDelete"/>
        </w:rPr>
        <w:t xml:space="preserve"> </w:t>
      </w:r>
      <w:r>
        <w:rPr>
          <w:rStyle w:val="OrangeDelete"/>
          <w:i/>
          <w:iCs/>
        </w:rPr>
        <w:t xml:space="preserve">View</w:t>
      </w:r>
      <w:r>
        <w:rPr>
          <w:rStyle w:val="OrangeDelete"/>
        </w:rPr>
        <w:t xml:space="preserve"> </w:t>
      </w:r>
      <w:r>
        <w:rPr>
          <w:rStyle w:val="OrangeDelete"/>
          <w:i/>
          <w:iCs/>
        </w:rPr>
        <w:t xml:space="preserve">Layer</w:t>
      </w:r>
      <w:r>
        <w:rPr>
          <w:rStyle w:val="OrangeDelete"/>
        </w:rPr>
        <w:t xml:space="preserve">, the</w:t>
      </w:r>
      <w:r>
        <w:rPr>
          <w:rStyle w:val="OrangeFix"/>
        </w:rPr>
        <w:t xml:space="preserve">the</w:t>
      </w:r>
      <w:r>
        <w:rPr>
          <w:rStyle w:val="OrangeFix"/>
        </w:rPr>
        <w:t xml:space="preserve"> </w:t>
      </w:r>
      <w:r>
        <w:rPr>
          <w:rStyle w:val="OrangeFix"/>
          <w:i/>
          <w:iCs/>
        </w:rPr>
        <w:t xml:space="preserve">View Layer</w:t>
      </w:r>
      <w:r>
        <w:rPr>
          <w:rStyle w:val="OrangeFix"/>
        </w:rPr>
        <w:t xml:space="preserve">, the</w:t>
      </w:r>
      <w:r>
        <w:t xml:space="preserve"> </w:t>
      </w:r>
      <w:r>
        <w:rPr>
          <w:i/>
          <w:iCs/>
        </w:rPr>
        <w:t xml:space="preserve">Controller Layer</w:t>
      </w:r>
      <w:r>
        <w:t xml:space="preserve">, and the</w:t>
      </w:r>
      <w:r>
        <w:t xml:space="preserve"> </w:t>
      </w:r>
      <w:r>
        <w:rPr>
          <w:i/>
          <w:iCs/>
        </w:rPr>
        <w:t xml:space="preserve">Model Layer</w:t>
      </w:r>
      <w:r>
        <w:t xml:space="preserve">.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pStyle w:val="BodyText"/>
      </w:pPr>
      <w:r>
        <w:t xml:space="preserve">Figure 5.1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w:t>
      </w:r>
    </w:p>
    <w:p>
      <w:pPr>
        <w:pStyle w:val="BodyText"/>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pStyle w:val="BodyText"/>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pStyle w:val="BodyText"/>
      </w:pPr>
      <w:r>
        <w:t xml:space="preserve">The protected healthcare data are deliberately positioned outside the three MVC layers as a protected resource. 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pStyle w:val="CaptionedFigure"/>
      </w:pPr>
      <w:r>
        <w:drawing>
          <wp:inline>
            <wp:extent cx="5486400" cy="5604289"/>
            <wp:effectExtent b="0" l="0" r="0" t="0"/>
            <wp:docPr descr="Figure 5.1: Layered MVC Architecture and Component Decomposition of the HALAH Framework" title="" id="65" name="Picture"/>
            <a:graphic>
              <a:graphicData uri="http://schemas.openxmlformats.org/drawingml/2006/picture">
                <pic:pic>
                  <pic:nvPicPr>
                    <pic:cNvPr descr="media_col/fig03.png" id="66" name="Picture"/>
                    <pic:cNvPicPr>
                      <a:picLocks noChangeArrowheads="1" noChangeAspect="1"/>
                    </pic:cNvPicPr>
                  </pic:nvPicPr>
                  <pic:blipFill>
                    <a:blip r:embed="rId64"/>
                    <a:stretch>
                      <a:fillRect/>
                    </a:stretch>
                  </pic:blipFill>
                  <pic:spPr bwMode="auto">
                    <a:xfrm>
                      <a:off x="0" y="0"/>
                      <a:ext cx="5486400" cy="5604289"/>
                    </a:xfrm>
                    <a:prstGeom prst="rect">
                      <a:avLst/>
                    </a:prstGeom>
                    <a:noFill/>
                    <a:ln w="9525">
                      <a:noFill/>
                      <a:headEnd/>
                      <a:tailEnd/>
                    </a:ln>
                  </pic:spPr>
                </pic:pic>
              </a:graphicData>
            </a:graphic>
          </wp:inline>
        </w:drawing>
      </w:r>
    </w:p>
    <w:p>
      <w:pPr>
        <w:pStyle w:val="ImageCaption"/>
      </w:pPr>
      <w:r>
        <w:t xml:space="preserve">Figure 5.1: Layered MVC Architecture and Component Decomposition of the HALAH Framework</w:t>
      </w:r>
    </w:p>
    <w:bookmarkStart w:id="70" w:name="mvc-component-decomposition"/>
    <w:p>
      <w:pPr>
        <w:pStyle w:val="Heading3"/>
      </w:pPr>
      <w:r>
        <w:t xml:space="preserve">5.1.1 MVC Component Decomposition</w:t>
      </w:r>
    </w:p>
    <w:p>
      <w:pPr>
        <w:pStyle w:val="FirstParagraph"/>
      </w:pPr>
      <w:r>
        <w:t xml:space="preserve">The three architectural layers are further decomposed into functional components, each corresponding to a distinct responsibility within the trust-oriented authorisation process. 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w:t>
      </w:r>
    </w:p>
    <w:p>
      <w:pPr>
        <w:pStyle w:val="CaptionedFigure"/>
      </w:pPr>
      <w:r>
        <w:drawing>
          <wp:inline>
            <wp:extent cx="5486400" cy="3008970"/>
            <wp:effectExtent b="0" l="0" r="0" t="0"/>
            <wp:docPr descr="Figure 5.2: Functional Decomposition of the MVC Components" title="" id="68" name="Picture"/>
            <a:graphic>
              <a:graphicData uri="http://schemas.openxmlformats.org/drawingml/2006/picture">
                <pic:pic>
                  <pic:nvPicPr>
                    <pic:cNvPr descr="media_col/fig04.png" id="69" name="Picture"/>
                    <pic:cNvPicPr>
                      <a:picLocks noChangeArrowheads="1" noChangeAspect="1"/>
                    </pic:cNvPicPr>
                  </pic:nvPicPr>
                  <pic:blipFill>
                    <a:blip r:embed="rId67"/>
                    <a:stretch>
                      <a:fillRect/>
                    </a:stretch>
                  </pic:blipFill>
                  <pic:spPr bwMode="auto">
                    <a:xfrm>
                      <a:off x="0" y="0"/>
                      <a:ext cx="5486400" cy="3008970"/>
                    </a:xfrm>
                    <a:prstGeom prst="rect">
                      <a:avLst/>
                    </a:prstGeom>
                    <a:noFill/>
                    <a:ln w="9525">
                      <a:noFill/>
                      <a:headEnd/>
                      <a:tailEnd/>
                    </a:ln>
                  </pic:spPr>
                </pic:pic>
              </a:graphicData>
            </a:graphic>
          </wp:inline>
        </w:drawing>
      </w:r>
    </w:p>
    <w:p>
      <w:pPr>
        <w:pStyle w:val="ImageCaption"/>
      </w:pPr>
      <w:r>
        <w:t xml:space="preserve">Figure 5.2: Functional Decomposition of the MVC Components</w:t>
      </w:r>
    </w:p>
    <w:p>
      <w:pPr>
        <w:pStyle w:val="BodyText"/>
      </w:pPr>
      <w:r>
        <w:t xml:space="preserve">The Controller is decomposed into six principal security functions.</w:t>
      </w:r>
      <w:r>
        <w:t xml:space="preserve"> </w:t>
      </w:r>
      <w:r>
        <w:rPr>
          <w:i/>
          <w:iCs/>
        </w:rPr>
        <w:t xml:space="preserve">Identity Verification</w:t>
      </w:r>
      <w:r>
        <w:t xml:space="preserve"> </w:t>
      </w:r>
      <w:r>
        <w:t xml:space="preserve">establishes whether a participant can be identified through the relevant decentralised identity mechanism.</w:t>
      </w:r>
      <w:r>
        <w:t xml:space="preserve"> </w:t>
      </w:r>
      <w:r>
        <w:rPr>
          <w:i/>
          <w:iCs/>
        </w:rPr>
        <w:t xml:space="preserve">Authority Verification</w:t>
      </w:r>
      <w:r>
        <w:t xml:space="preserve"> </w:t>
      </w:r>
      <w:r>
        <w:t xml:space="preserve">evaluates whether the participant possesses appropriate evidence concerning the required role or authority.</w:t>
      </w:r>
      <w:r>
        <w:t xml:space="preserve"> </w:t>
      </w:r>
      <w:r>
        <w:rPr>
          <w:i/>
          <w:iCs/>
        </w:rPr>
        <w:t xml:space="preserve">Approval Aggregation</w:t>
      </w:r>
      <w:r>
        <w:t xml:space="preserve"> </w:t>
      </w:r>
      <w:r>
        <w:t xml:space="preserve">determines whether independently verified approvals satisfy the predefined threshold.</w:t>
      </w:r>
      <w:r>
        <w:t xml:space="preserve"> </w:t>
      </w:r>
      <w:r>
        <w:rPr>
          <w:i/>
          <w:iCs/>
        </w:rPr>
        <w:t xml:space="preserve">Policy Enforcement</w:t>
      </w:r>
      <w:r>
        <w:t xml:space="preserve"> </w:t>
      </w:r>
      <w:r>
        <w:t xml:space="preserve">evaluates whether the requested purpose and data scope comply with the consent policy.</w:t>
      </w:r>
      <w:r>
        <w:t xml:space="preserve"> </w:t>
      </w:r>
      <w:r>
        <w:rPr>
          <w:rStyle w:val="OrangeDelete"/>
          <w:i/>
          <w:iCs/>
        </w:rPr>
        <w:t xml:space="preserve">Decision</w:t>
      </w:r>
      <w:r>
        <w:rPr>
          <w:rStyle w:val="OrangeDelete"/>
        </w:rPr>
        <w:t xml:space="preserve"> </w:t>
      </w:r>
      <w:r>
        <w:rPr>
          <w:rStyle w:val="OrangeDelete"/>
          <w:i/>
          <w:iCs/>
        </w:rPr>
        <w:t xml:space="preserve">Engine</w:t>
      </w:r>
      <w:r>
        <w:rPr>
          <w:rStyle w:val="OrangeDelete"/>
        </w:rPr>
        <w:t xml:space="preserve"> </w:t>
      </w:r>
      <w:r>
        <w:rPr>
          <w:rStyle w:val="OrangeDelete"/>
        </w:rPr>
        <w:t xml:space="preserve">combines</w:t>
      </w:r>
      <w:r>
        <w:rPr>
          <w:rStyle w:val="OrangeFix"/>
          <w:i/>
          <w:iCs/>
        </w:rPr>
        <w:t xml:space="preserve">Decision Engine</w:t>
      </w:r>
      <w:r>
        <w:rPr>
          <w:rStyle w:val="OrangeFix"/>
        </w:rPr>
        <w:t xml:space="preserve"> </w:t>
      </w:r>
      <w:r>
        <w:rPr>
          <w:rStyle w:val="OrangeFix"/>
        </w:rPr>
        <w:t xml:space="preserve">combines</w:t>
      </w:r>
      <w:r>
        <w:t xml:space="preserve"> </w:t>
      </w:r>
      <w:r>
        <w:t xml:space="preserve">the resulting predicates into the final authorisation decision.</w:t>
      </w:r>
      <w:r>
        <w:t xml:space="preserve"> </w:t>
      </w:r>
      <w:r>
        <w:rPr>
          <w:rStyle w:val="OrangeDelete"/>
        </w:rPr>
        <w:t xml:space="preserve">Finally,</w:t>
      </w:r>
      <w:r>
        <w:rPr>
          <w:rStyle w:val="OrangeDelete"/>
        </w:rPr>
        <w:t xml:space="preserve"> </w:t>
      </w:r>
      <w:r>
        <w:rPr>
          <w:rStyle w:val="OrangeDelete"/>
          <w:i/>
          <w:iCs/>
        </w:rPr>
        <w:t xml:space="preserve">Audit</w:t>
      </w:r>
      <w:r>
        <w:rPr>
          <w:rStyle w:val="OrangeDelete"/>
        </w:rPr>
        <w:t xml:space="preserve"> </w:t>
      </w:r>
      <w:r>
        <w:rPr>
          <w:rStyle w:val="OrangeDelete"/>
          <w:i/>
          <w:iCs/>
        </w:rPr>
        <w:t xml:space="preserve">Coordination</w:t>
      </w:r>
      <w:r>
        <w:rPr>
          <w:rStyle w:val="OrangeDelete"/>
        </w:rPr>
        <w:t xml:space="preserve"> </w:t>
      </w:r>
      <w:r>
        <w:rPr>
          <w:rStyle w:val="OrangeDelete"/>
        </w:rPr>
        <w:t xml:space="preserve">records</w:t>
      </w:r>
      <w:r>
        <w:rPr>
          <w:rStyle w:val="OrangeFix"/>
        </w:rPr>
        <w:t xml:space="preserve">Finally,</w:t>
      </w:r>
      <w:r>
        <w:rPr>
          <w:rStyle w:val="OrangeFix"/>
        </w:rPr>
        <w:t xml:space="preserve"> </w:t>
      </w:r>
      <w:r>
        <w:rPr>
          <w:rStyle w:val="OrangeFix"/>
          <w:i/>
          <w:iCs/>
        </w:rPr>
        <w:t xml:space="preserve">Audit Coordination</w:t>
      </w:r>
      <w:r>
        <w:rPr>
          <w:rStyle w:val="OrangeFix"/>
        </w:rPr>
        <w:t xml:space="preserve"> </w:t>
      </w:r>
      <w:r>
        <w:rPr>
          <w:rStyle w:val="OrangeFix"/>
        </w:rPr>
        <w:t xml:space="preserve">records</w:t>
      </w:r>
      <w:r>
        <w:t xml:space="preserve"> </w:t>
      </w:r>
      <w:r>
        <w:t xml:space="preserve">the relevant evidence and decision events.</w:t>
      </w:r>
    </w:p>
    <w:p>
      <w:pPr>
        <w:pStyle w:val="BodyText"/>
      </w:pPr>
      <w:r>
        <w:t xml:space="preserve">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w:t>
      </w:r>
    </w:p>
    <w:p>
      <w:pPr>
        <w:pStyle w:val="BodyText"/>
      </w:pPr>
      <w:r>
        <w:t xml:space="preserve">This decomposition establishes an explicit distinction between</w:t>
      </w:r>
      <w:r>
        <w:t xml:space="preserve"> </w:t>
      </w:r>
      <w:r>
        <w:rPr>
          <w:i/>
          <w:iCs/>
        </w:rPr>
        <w:t xml:space="preserve">state</w:t>
      </w:r>
      <w:r>
        <w:t xml:space="preserve">,</w:t>
      </w:r>
      <w:r>
        <w:t xml:space="preserve"> </w:t>
      </w:r>
      <w:r>
        <w:rPr>
          <w:i/>
          <w:iCs/>
        </w:rPr>
        <w:t xml:space="preserve">interaction</w:t>
      </w:r>
      <w:r>
        <w:t xml:space="preserve">, and</w:t>
      </w:r>
      <w:r>
        <w:t xml:space="preserve"> </w:t>
      </w:r>
      <w:r>
        <w:rPr>
          <w:i/>
          <w:iCs/>
        </w:rPr>
        <w:t xml:space="preserve">enforcement</w:t>
      </w:r>
      <w:r>
        <w:t xml:space="preserve">. The Model stores and represents security-relevant state, the View expresses stakeholder actions, and the Controller determines whether those actions satisfy the required trust conditions.</w:t>
      </w:r>
    </w:p>
    <w:bookmarkEnd w:id="70"/>
    <w:bookmarkStart w:id="74" w:name="trust-evaluation-across-the-mvc-layers"/>
    <w:p>
      <w:pPr>
        <w:pStyle w:val="Heading3"/>
      </w:pPr>
      <w:r>
        <w:t xml:space="preserve">5.1.2 Trust Evaluation Across the MVC Layers</w:t>
      </w:r>
    </w:p>
    <w:p>
      <w:pPr>
        <w:pStyle w:val="FirstParagraph"/>
      </w:pPr>
      <w:r>
        <w:t xml:space="preserve">The architectural layers cooperate through a controlled authorisation sequence rather than through unrestricted direct communication. The relationship between the MVC components and the trust predicates introduced by SRQ1–SRQ5 is illustrated in Figure 5.3.</w:t>
      </w:r>
    </w:p>
    <w:p>
      <w:pPr>
        <w:pStyle w:val="BodyText"/>
      </w:pPr>
      <w:r>
        <w:t xml:space="preserve">Figure 5.3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w:t>
      </w:r>
    </w:p>
    <w:p>
      <w:pPr>
        <w:pStyle w:val="BodyText"/>
      </w:pPr>
      <w:r>
        <w:t xml:space="preserve">The first condition,</w:t>
      </w:r>
      <w:r>
        <w:t xml:space="preserve"> </w:t>
      </w:r>
      <w:r>
        <w:rPr>
          <w:i/>
          <w:iCs/>
        </w:rPr>
        <w:t xml:space="preserve">V</w:t>
      </w:r>
      <w:r>
        <w:rPr>
          <w:vertAlign w:val="subscript"/>
        </w:rPr>
        <w:t xml:space="preserve">I</w:t>
      </w:r>
      <w:r>
        <w:t xml:space="preserve">(</w:t>
      </w:r>
      <w:r>
        <w:rPr>
          <w:i/>
          <w:iCs/>
        </w:rPr>
        <w:t xml:space="preserve">u</w:t>
      </w:r>
      <w:r>
        <w:t xml:space="preserve">), determines whether the requesting participant possesses valid identity and authority evidence. The second condition,</w:t>
      </w:r>
      <w:r>
        <w:t xml:space="preserve"> </w:t>
      </w:r>
      <w:r>
        <w:rPr>
          <w:i/>
          <w:iCs/>
        </w:rPr>
        <w:t xml:space="preserve">V</w:t>
      </w:r>
      <w:r>
        <w:rPr>
          <w:vertAlign w:val="subscript"/>
        </w:rPr>
        <w:t xml:space="preserve">A</w:t>
      </w:r>
      <w:r>
        <w:t xml:space="preserve">(</w:t>
      </w:r>
      <w:r>
        <w:rPr>
          <w:i/>
          <w:iCs/>
        </w:rPr>
        <w:t xml:space="preserve">C</w:t>
      </w:r>
      <w:r>
        <w:t xml:space="preserve">), determines whether the required independently verified participants have collectively satisfied the authorisation threshold. The third condition,</w:t>
      </w:r>
      <w:r>
        <w:t xml:space="preserve"> </w:t>
      </w:r>
      <w:r>
        <w:rPr>
          <w:i/>
          <w:iCs/>
        </w:rPr>
        <w:t xml:space="preserve">V</w:t>
      </w:r>
      <w:r>
        <w:rPr>
          <w:vertAlign w:val="subscript"/>
        </w:rPr>
        <w:t xml:space="preserve">P</w:t>
      </w:r>
      <w:r>
        <w:t xml:space="preserve">(</w:t>
      </w:r>
      <w:r>
        <w:rPr>
          <w:i/>
          <w:iCs/>
        </w:rPr>
        <w:t xml:space="preserve">C, R</w:t>
      </w:r>
      <w:r>
        <w:t xml:space="preserve">), determines whether the requested operation complies with the consent policy, including purpose and data-scope restrictions. The fourth condition,</w:t>
      </w:r>
      <w:r>
        <w:t xml:space="preserve"> </w:t>
      </w:r>
      <w:r>
        <w:rPr>
          <w:i/>
          <w:iCs/>
        </w:rPr>
        <w:t xml:space="preserve">V</w:t>
      </w:r>
      <w:r>
        <w:rPr>
          <w:vertAlign w:val="subscript"/>
        </w:rPr>
        <w:t xml:space="preserve">T</w:t>
      </w:r>
      <w:r>
        <w:t xml:space="preserve">(</w:t>
      </w:r>
      <w:r>
        <w:rPr>
          <w:i/>
          <w:iCs/>
        </w:rPr>
        <w:t xml:space="preserve">C, t</w:t>
      </w:r>
      <w:r>
        <w:t xml:space="preserve">), determines whether the consent remains valid at the time of the request. The fifth condition,</w:t>
      </w:r>
      <w:r>
        <w:t xml:space="preserve"> </w:t>
      </w:r>
      <w:r>
        <w:rPr>
          <w:i/>
          <w:iCs/>
        </w:rPr>
        <w:t xml:space="preserve">V</w:t>
      </w:r>
      <w:r>
        <w:rPr>
          <w:vertAlign w:val="subscript"/>
        </w:rPr>
        <w:t xml:space="preserve">L</w:t>
      </w:r>
      <w:r>
        <w:t xml:space="preserve">(</w:t>
      </w:r>
      <w:r>
        <w:rPr>
          <w:i/>
          <w:iCs/>
        </w:rPr>
        <w:t xml:space="preserve">C</w:t>
      </w:r>
      <w:r>
        <w:t xml:space="preserve">), determines whether the consent remains in a valid lifecycle state.</w:t>
      </w:r>
    </w:p>
    <w:p>
      <w:pPr>
        <w:pStyle w:val="BodyText"/>
      </w:pPr>
      <w:r>
        <w:t xml:space="preserve">The integrated decision is therefore given by Eq. (24).</w:t>
      </w:r>
    </w:p>
    <w:p>
      <w:pPr>
        <w:pStyle w:val="BodyText"/>
      </w:pPr>
      <w:r>
        <w:t xml:space="preserve">The Controller does not itself create these trust conditions. Instead, it evaluates evidence represented by the Model and coordinates the resulting decision. This distinction is important for the interpretation of the architecture: the Controller is a</w:t>
      </w:r>
      <w:r>
        <w:t xml:space="preserve"> </w:t>
      </w:r>
      <w:r>
        <w:rPr>
          <w:i/>
          <w:iCs/>
        </w:rPr>
        <w:t xml:space="preserve">decision-enforcement mechanism</w:t>
      </w:r>
      <w:r>
        <w:t xml:space="preserve">, whereas the Model is a</w:t>
      </w:r>
      <w:r>
        <w:t xml:space="preserve"> </w:t>
      </w:r>
      <w:r>
        <w:rPr>
          <w:i/>
          <w:iCs/>
        </w:rPr>
        <w:t xml:space="preserve">representation of trust and governance state</w:t>
      </w:r>
      <w:r>
        <w:t xml:space="preserve">.</w:t>
      </w:r>
    </w:p>
    <w:p>
      <w:pPr>
        <w:pStyle w:val="BodyText"/>
      </w:pPr>
      <w:r>
        <w:t xml:space="preserve">If any required predicate evaluates to false, the decision is DENY (Eq. (18)).</w:t>
      </w:r>
    </w:p>
    <w:p>
      <w:pPr>
        <w:pStyle w:val="CaptionedFigure"/>
      </w:pPr>
      <w:r>
        <w:drawing>
          <wp:inline>
            <wp:extent cx="3419856" cy="7671897"/>
            <wp:effectExtent b="0" l="0" r="0" t="0"/>
            <wp:docPr descr="Figure 5.3: Trust Predicate Evaluation and Authorisation Decision Flow" title="" id="72" name="Picture"/>
            <a:graphic>
              <a:graphicData uri="http://schemas.openxmlformats.org/drawingml/2006/picture">
                <pic:pic>
                  <pic:nvPicPr>
                    <pic:cNvPr descr="media_col/fig05.png" id="73" name="Picture"/>
                    <pic:cNvPicPr>
                      <a:picLocks noChangeArrowheads="1" noChangeAspect="1"/>
                    </pic:cNvPicPr>
                  </pic:nvPicPr>
                  <pic:blipFill>
                    <a:blip r:embed="rId71"/>
                    <a:stretch>
                      <a:fillRect/>
                    </a:stretch>
                  </pic:blipFill>
                  <pic:spPr bwMode="auto">
                    <a:xfrm>
                      <a:off x="0" y="0"/>
                      <a:ext cx="3419856" cy="7671897"/>
                    </a:xfrm>
                    <a:prstGeom prst="rect">
                      <a:avLst/>
                    </a:prstGeom>
                    <a:noFill/>
                    <a:ln w="9525">
                      <a:noFill/>
                      <a:headEnd/>
                      <a:tailEnd/>
                    </a:ln>
                  </pic:spPr>
                </pic:pic>
              </a:graphicData>
            </a:graphic>
          </wp:inline>
        </w:drawing>
      </w:r>
    </w:p>
    <w:p>
      <w:pPr>
        <w:pStyle w:val="ImageCaption"/>
      </w:pPr>
      <w:r>
        <w:t xml:space="preserve">Figure 5.3: Trust Predicate Evaluation and Authorisation Decision Flow</w:t>
      </w:r>
    </w:p>
    <w:p>
      <w:pPr>
        <w:pStyle w:val="BodyText"/>
      </w:pPr>
      <w:r>
        <w:t xml:space="preserve">Both successful and unsuccessful decisions are subsequently associated with authorisation evidence. This ensures that the architecture supports not only access enforcement but also accountability and subsequent verification.</w:t>
      </w:r>
    </w:p>
    <w:bookmarkEnd w:id="74"/>
    <w:bookmarkStart w:id="75" w:name="X78e7c83bde76a8fa89c47d21e3a1fec3e5afd01"/>
    <w:p>
      <w:pPr>
        <w:pStyle w:val="Heading3"/>
      </w:pPr>
      <w:r>
        <w:t xml:space="preserve">5.1.3 Relationship Between MVC Layers and Research Questions</w:t>
      </w:r>
    </w:p>
    <w:p>
      <w:pPr>
        <w:pStyle w:val="FirstParagraph"/>
      </w:pPr>
      <w: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w:t>
      </w:r>
    </w:p>
    <w:p>
      <w:pPr>
        <w:pStyle w:val="BodyText"/>
      </w:pPr>
      <w:r>
        <w:t xml:space="preserve">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w:t>
      </w:r>
    </w:p>
    <w:p>
      <w:pPr>
        <w:pStyle w:val="BodyText"/>
      </w:pPr>
      <w:r>
        <w:t xml:space="preserve">The relationship can therefore be summarised as follows</w:t>
      </w:r>
      <w:r>
        <w:rPr>
          <w:rStyle w:val="OrangeFix"/>
        </w:rPr>
        <w:t xml:space="preserve">:</w:t>
      </w:r>
    </w:p>
    <w:p>
      <w:pPr>
        <w:pStyle w:val="BodyText"/>
      </w:pPr>
      <m:oMathPara>
        <m:oMathParaPr>
          <m:jc m:val="center"/>
        </m:oMathParaPr>
        <m:oMath>
          <m:m>
            <m:mPr>
              <m:baseJc m:val="center"/>
              <m:plcHide m:val="on"/>
              <m:mcs>
                <m:mc>
                  <m:mcPr>
                    <m:count m:val="1"/>
                    <m:mcJc m:val="left"/>
                  </m:mcPr>
                </m:mc>
                <m:mc>
                  <m:mcPr>
                    <m:count m:val="1"/>
                    <m:mcJc m:val="left"/>
                  </m:mcPr>
                </m:mc>
              </m:mcs>
            </m:mPr>
            <m:mr>
              <m:e>
                <m:r>
                  <m:t>S</m:t>
                </m:r>
                <m:r>
                  <m:t>R</m:t>
                </m:r>
                <m:r>
                  <m:t>Q</m:t>
                </m:r>
                <m:r>
                  <m:t>1</m:t>
                </m:r>
                <m:r>
                  <m:rPr>
                    <m:sty m:val="p"/>
                  </m:rPr>
                  <m:t>→</m:t>
                </m:r>
                <m:r>
                  <m:t>M</m:t>
                </m:r>
                <m:r>
                  <m:t>o</m:t>
                </m:r>
                <m:r>
                  <m:t>d</m:t>
                </m:r>
                <m:r>
                  <m:t>e</m:t>
                </m:r>
                <m:r>
                  <m:t>l</m:t>
                </m:r>
                <m:r>
                  <m:rPr>
                    <m:sty m:val="p"/>
                  </m:rPr>
                  <m:t>,</m:t>
                </m:r>
              </m:e>
              <m:e>
                <m:r>
                  <m:t>S</m:t>
                </m:r>
                <m:r>
                  <m:t>R</m:t>
                </m:r>
                <m:r>
                  <m:t>Q</m:t>
                </m:r>
                <m:r>
                  <m:t>2</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3</m:t>
                </m:r>
                <m:r>
                  <m:rPr>
                    <m:sty m:val="p"/>
                  </m:rPr>
                  <m:t>→</m:t>
                </m:r>
                <m:r>
                  <m:t>C</m:t>
                </m:r>
                <m:r>
                  <m:t>o</m:t>
                </m:r>
                <m:r>
                  <m:t>n</m:t>
                </m:r>
                <m:r>
                  <m:t>t</m:t>
                </m:r>
                <m:r>
                  <m:t>r</m:t>
                </m:r>
                <m:r>
                  <m:t>o</m:t>
                </m:r>
                <m:r>
                  <m:t>l</m:t>
                </m:r>
                <m:r>
                  <m:t>l</m:t>
                </m:r>
                <m:r>
                  <m:t>e</m:t>
                </m:r>
                <m:r>
                  <m:t>r</m:t>
                </m:r>
                <m:r>
                  <m:rPr>
                    <m:sty m:val="p"/>
                  </m:rPr>
                  <m:t>,</m:t>
                </m:r>
              </m:e>
              <m:e>
                <m:r>
                  <m:t>S</m:t>
                </m:r>
                <m:r>
                  <m:t>R</m:t>
                </m:r>
                <m:r>
                  <m:t>Q</m:t>
                </m:r>
                <m:r>
                  <m:t>4</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5</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e>
                <m:r>
                  <m:t>S</m:t>
                </m:r>
                <m:r>
                  <m:t>R</m:t>
                </m:r>
                <m:r>
                  <m:t>Q</m:t>
                </m:r>
                <m:r>
                  <m:t>6</m:t>
                </m:r>
                <m:r>
                  <m:rPr>
                    <m:sty m:val="p"/>
                  </m:rPr>
                  <m:t>→</m:t>
                </m:r>
                <m:r>
                  <m:t>M</m:t>
                </m:r>
                <m:r>
                  <m:t>o</m:t>
                </m:r>
                <m:r>
                  <m:t>d</m:t>
                </m:r>
                <m:r>
                  <m:t>e</m:t>
                </m:r>
                <m:r>
                  <m:t>l</m:t>
                </m:r>
                <m:r>
                  <m:rPr>
                    <m:sty m:val="p"/>
                  </m:rPr>
                  <m:t>+</m:t>
                </m:r>
                <m:r>
                  <m:t>V</m:t>
                </m:r>
                <m:r>
                  <m:t>i</m:t>
                </m:r>
                <m:r>
                  <m:t>e</m:t>
                </m:r>
                <m:r>
                  <m:t>w</m:t>
                </m:r>
                <m:r>
                  <m:rPr>
                    <m:sty m:val="p"/>
                  </m:rPr>
                  <m:t>+</m:t>
                </m:r>
                <m:r>
                  <m:t>C</m:t>
                </m:r>
                <m:r>
                  <m:t>o</m:t>
                </m:r>
                <m:r>
                  <m:t>n</m:t>
                </m:r>
                <m:r>
                  <m:t>t</m:t>
                </m:r>
                <m:r>
                  <m:t>r</m:t>
                </m:r>
                <m:r>
                  <m:t>o</m:t>
                </m:r>
                <m:r>
                  <m:t>l</m:t>
                </m:r>
                <m:r>
                  <m:t>l</m:t>
                </m:r>
                <m:r>
                  <m:t>e</m:t>
                </m:r>
                <m:r>
                  <m:t>r</m:t>
                </m:r>
                <m:r>
                  <m:rPr>
                    <m:sty m:val="p"/>
                  </m:rPr>
                  <m:t>.</m:t>
                </m:r>
              </m:e>
            </m:mr>
          </m:m>
        </m:oMath>
      </m:oMathPara>
    </w:p>
    <w:p>
      <w:pPr>
        <w:pStyle w:val="FirstParagraph"/>
      </w:pPr>
      <w: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bookmarkEnd w:id="75"/>
    <w:bookmarkStart w:id="76" w:name="Xd007e785e3bfaada6ef882ac3ef6839127aa1d0"/>
    <w:p>
      <w:pPr>
        <w:pStyle w:val="Heading3"/>
      </w:pPr>
      <w:r>
        <w:t xml:space="preserve">5.1.4 Architectural Boundary and Trust Assumptions</w:t>
      </w:r>
    </w:p>
    <w:p>
      <w:pPr>
        <w:pStyle w:val="FirstParagraph"/>
      </w:pPr>
      <w: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w:t>
      </w:r>
    </w:p>
    <w:p>
      <w:pPr>
        <w:pStyle w:val="BodyText"/>
      </w:pPr>
      <w:r>
        <w:t xml:space="preserve">The Controller represents the security enforcement boundary. It is responsible for applying the authorisation rules consistently and for preventing direct access to protected healthcare data when the required trust conditions are not satisfied.</w:t>
      </w:r>
    </w:p>
    <w:p>
      <w:pPr>
        <w:pStyle w:val="BodyText"/>
      </w:pPr>
      <w:r>
        <w:t xml:space="preserve">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pStyle w:val="BodyText"/>
      </w:pPr>
      <w: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w:t>
      </w:r>
    </w:p>
    <w:p>
      <w:pPr>
        <w:pStyle w:val="BodyText"/>
      </w:pPr>
      <w:r>
        <w:t xml:space="preserve">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The realisation of each layer in the HALAH prototype is mapped to its source code in Section 7.10.</w:t>
      </w:r>
    </w:p>
    <w:p>
      <w:pPr>
        <w:pStyle w:val="BodyText"/>
      </w:pPr>
      <w:r>
        <w:t xml:space="preserve">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bookmarkEnd w:id="76"/>
    <w:bookmarkEnd w:id="77"/>
    <w:bookmarkStart w:id="81" w:name="X558a2b42e7f558743af400a9676e37558071ee0"/>
    <w:p>
      <w:pPr>
        <w:pStyle w:val="Heading2"/>
      </w:pPr>
      <w:r>
        <w:t xml:space="preserve">5.2 Trust-Oriented Consent Authorisation Workflow</w:t>
      </w:r>
    </w:p>
    <w:p>
      <w:pPr>
        <w:pStyle w:val="FirstParagraph"/>
      </w:pPr>
      <w:r>
        <w:t xml:space="preserve">Figure 5.4 presents the end-to-end workflow of the proposed trust-oriented patient consent authorisation framework. The workflow operationalises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authorisation, and policy compliance. Accordingly, the proposed workflow transforms a patient’s consent from a static permission record into an evaluable authorisation object that can be verified before healthcare data are released.</w:t>
      </w:r>
    </w:p>
    <w:p>
      <w:pPr>
        <w:pStyle w:val="BodyText"/>
      </w:pPr>
      <w:r>
        <w:t xml:space="preserve">The workflow begins when the patient creates a consent request and specifies the conditions under which healthcare data may be accessed. The consent specification defines the intended purpose, permitted data scope, and other authorisation conditions. This step establishes what the patient intends to authorise and provides the policy context against which subsequent access requests can be evaluated. Therefore, consent is not represented merely as an approval flag, but as a structured object containing the information required for subsequent authorisation decisions.</w:t>
      </w:r>
    </w:p>
    <w:p>
      <w:pPr>
        <w:pStyle w:val="BodyText"/>
      </w:pPr>
      <w:r>
        <w:t xml:space="preserve">The next stage performs decentralised identity and authority verification using Decentralised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authorisation.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authorised participant.</w:t>
      </w:r>
    </w:p>
    <w:p>
      <w:pPr>
        <w:pStyle w:val="BodyText"/>
      </w:pPr>
      <w:r>
        <w:t xml:space="preserve">After identity and authority verification, the framework identifies the participants required to establish the consent decision. The authorisation requirement may involve multiple independent participants, such as a patient together with one or more guardians or other authorised parties. The framework then collects their independent approvals and evaluates whether the predefined authorisation threshold has been satisfied. Let</w:t>
      </w:r>
      <w:r>
        <w:t xml:space="preserve"> </w:t>
      </w:r>
      <w:r>
        <w:rPr>
          <w:i/>
          <w:iCs/>
        </w:rPr>
        <w:t xml:space="preserve">A</w:t>
      </w:r>
      <w:r>
        <w:rPr>
          <w:vertAlign w:val="subscript"/>
        </w:rPr>
        <w:t xml:space="preserve">v</w:t>
      </w:r>
      <w:r>
        <w:t xml:space="preserve"> </w:t>
      </w:r>
      <w:r>
        <w:t xml:space="preserve">denote the set of successfully verified approvals and let</w:t>
      </w:r>
      <w:r>
        <w:t xml:space="preserve"> </w:t>
      </w:r>
      <w:r>
        <w:rPr>
          <w:i/>
          <w:iCs/>
        </w:rPr>
        <w:t xml:space="preserve">N</w:t>
      </w:r>
      <w:r>
        <w:t xml:space="preserve"> </w:t>
      </w:r>
      <w:r>
        <w:t xml:space="preserve">denote the required authorisation threshold. Multi-party authorisation is satisfied when</w:t>
      </w:r>
      <w:r>
        <w:t xml:space="preserve"> </w:t>
      </w:r>
      <m:oMath>
        <m:d>
          <m:dPr>
            <m:begChr m:val="|"/>
            <m:sepChr m:val=""/>
            <m:endChr m:val="|"/>
            <m:grow/>
          </m:dPr>
          <m:e>
            <m:sSub>
              <m:e>
                <m:r>
                  <m:t>A</m:t>
                </m:r>
              </m:e>
              <m:sub>
                <m:r>
                  <m:t>v</m:t>
                </m:r>
              </m:sub>
            </m:sSub>
          </m:e>
        </m:d>
        <m:r>
          <m:rPr>
            <m:sty m:val="p"/>
          </m:rPr>
          <m:t>≥</m:t>
        </m:r>
        <m:r>
          <m:t>N</m:t>
        </m:r>
      </m:oMath>
      <w:r>
        <w:t xml:space="preserve"> </w:t>
      </w:r>
      <w:r>
        <w:t xml:space="preserve">(Eq. (9)).</w:t>
      </w:r>
    </w:p>
    <w:p>
      <w:pPr>
        <w:pStyle w:val="CaptionedFigure"/>
      </w:pPr>
      <w:r>
        <w:drawing>
          <wp:inline>
            <wp:extent cx="2194560" cy="7674568"/>
            <wp:effectExtent b="0" l="0" r="0" t="0"/>
            <wp:docPr descr="Figure 5.4: End-to-End Workflow of Trust-Oriented Consent Authorisation Framework" title="" id="79" name="Picture"/>
            <a:graphic>
              <a:graphicData uri="http://schemas.openxmlformats.org/drawingml/2006/picture">
                <pic:pic>
                  <pic:nvPicPr>
                    <pic:cNvPr descr="media_col/fig06.png" id="80" name="Picture"/>
                    <pic:cNvPicPr>
                      <a:picLocks noChangeArrowheads="1" noChangeAspect="1"/>
                    </pic:cNvPicPr>
                  </pic:nvPicPr>
                  <pic:blipFill>
                    <a:blip r:embed="rId78"/>
                    <a:stretch>
                      <a:fillRect/>
                    </a:stretch>
                  </pic:blipFill>
                  <pic:spPr bwMode="auto">
                    <a:xfrm>
                      <a:off x="0" y="0"/>
                      <a:ext cx="2194560" cy="7674568"/>
                    </a:xfrm>
                    <a:prstGeom prst="rect">
                      <a:avLst/>
                    </a:prstGeom>
                    <a:noFill/>
                    <a:ln w="9525">
                      <a:noFill/>
                      <a:headEnd/>
                      <a:tailEnd/>
                    </a:ln>
                  </pic:spPr>
                </pic:pic>
              </a:graphicData>
            </a:graphic>
          </wp:inline>
        </w:drawing>
      </w:r>
    </w:p>
    <w:p>
      <w:pPr>
        <w:pStyle w:val="ImageCaption"/>
      </w:pPr>
      <w:r>
        <w:t xml:space="preserve">Figure 5.4: End-to-End Workflow of Trust-Oriented Consent Authorisation Framework</w:t>
      </w:r>
    </w:p>
    <w:p>
      <w:pPr>
        <w:pStyle w:val="BodyText"/>
      </w:pPr>
      <w:r>
        <w:t xml:space="preserve">If the required threshold is not satisfied, the authorisation process terminates with a denial decision. This prevents a single participant from unilaterally establishing authorisation when the consent policy requires collective approval.</w:t>
      </w:r>
    </w:p>
    <w:p>
      <w:pPr>
        <w:pStyle w:val="BodyText"/>
      </w:pPr>
      <w:r>
        <w:t xml:space="preserve">When the authorisation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the request in Eq. (4) must not be authorised.</w:t>
      </w:r>
    </w:p>
    <w:p>
      <w:pPr>
        <w:pStyle w:val="BodyText"/>
      </w:pPr>
      <w:r>
        <w:t xml:space="preserve">Similarly, the requested purpose must be consistent with the purpose specified in the consent. Consequently, a valid identity and sufficient multi-party approval are necessary but not sufficient conditions for access.</w:t>
      </w:r>
    </w:p>
    <w:p>
      <w:pPr>
        <w:pStyle w:val="BodyText"/>
      </w:pPr>
      <w:r>
        <w:t xml:space="preserve">The final authorisation decision is therefore determined by the conjunction of identity and authority verification, multi-party authorisation, and policy compliance. For the current stage scope of the proposed framework, the decision is given by Eq. (6),</w:t>
      </w:r>
    </w:p>
    <w:p>
      <w:pPr>
        <w:pStyle w:val="BodyText"/>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 If any of these conditions is false, the request is denied. Only when all required conditions are satisfied is healthcare data access granted.</w:t>
      </w:r>
    </w:p>
    <w:p>
      <w:pPr>
        <w:pStyle w:val="BodyText"/>
      </w:pPr>
      <w:r>
        <w:t xml:space="preserve">Finally, the framework records the resulting authorisation evidence in the audit layer. Importantly, both successful and denied decisions should be recorded because a trustworthy authorisation framework requires accountability not only for data that were released but also for access attempts that were rejected. The audit evidence can therefore provide a traceable record of the authorisation decision, including the relevant consent, participants, policy evaluation, decision outcome, and associated evidence. In this manner, the workflow connects consent specification with identity trust, collective authorisation, policy enforcement, and accountability, providing the operational foundation of the proposed trust-oriented authorisation framework.</w:t>
      </w:r>
    </w:p>
    <w:bookmarkEnd w:id="81"/>
    <w:bookmarkStart w:id="82" w:name="Xe4d2ece9a21da9d7e0f73941c1ddb60d05c823c"/>
    <w:p>
      <w:pPr>
        <w:pStyle w:val="Heading2"/>
      </w:pPr>
      <w:r>
        <w:t xml:space="preserve">5.3 Model: Trust-Aware Consent and Authorisation Representation</w:t>
      </w:r>
    </w:p>
    <w:p>
      <w:pPr>
        <w:pStyle w:val="FirstParagraph"/>
      </w:pPr>
      <w:r>
        <w:t xml:space="preserve">The Model layer represents the persistent security state of the proposed consent-management framework. Rather than treating consent as a simple binary permission, the framework models consent as a structured authorisation object that captures the security conditions under which healthcare data may be accessed.</w:t>
      </w:r>
    </w:p>
    <w:p>
      <w:pPr>
        <w:pStyle w:val="BodyText"/>
      </w:pPr>
      <w:r>
        <w:t xml:space="preserve">For the current stage scope, the core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rPr>
          <w:rStyle w:val="OrangeDelete"/>
        </w:rPr>
        <w:t xml:space="preserve">(Eq. (7)),</w:t>
      </w:r>
      <w:r>
        <w:rPr>
          <w:rStyle w:val="OrangeFix"/>
        </w:rPr>
        <w:t xml:space="preserve">(Eq. (7)).</w:t>
      </w:r>
    </w:p>
    <w:p>
      <w:pPr>
        <w:pStyle w:val="BodyText"/>
      </w:pPr>
      <w:r>
        <w:rPr>
          <w:rStyle w:val="OrangeDelete"/>
        </w:rPr>
        <w:t xml:space="preserve">where</w:t>
      </w:r>
      <w:r>
        <w:rPr>
          <w:rStyle w:val="OrangeDelete"/>
        </w:rPr>
        <w:t xml:space="preserve"> </w:t>
      </w:r>
      <w:r>
        <w:rPr>
          <w:rStyle w:val="OrangeDelete"/>
          <w:i/>
          <w:iCs/>
        </w:rPr>
        <w:t xml:space="preserve">I</w:t>
      </w:r>
      <w:r>
        <w:rPr>
          <w:rStyle w:val="OrangeDelete"/>
        </w:rPr>
        <w:t xml:space="preserve"> </w:t>
      </w:r>
      <w:r>
        <w:rPr>
          <w:rStyle w:val="OrangeDelete"/>
        </w:rPr>
        <w:t xml:space="preserve">represents identity-related information</w:t>
      </w:r>
      <w:r>
        <w:rPr>
          <w:rStyle w:val="OrangeFix"/>
        </w:rPr>
        <w:t xml:space="preserve">In Eq. (7),</w:t>
      </w:r>
      <w:r>
        <w:rPr>
          <w:rStyle w:val="OrangeFix"/>
        </w:rPr>
        <w:t xml:space="preserve"> </w:t>
      </w:r>
      <w:r>
        <w:rPr>
          <w:rStyle w:val="OrangeFix"/>
          <w:i/>
          <w:iCs/>
        </w:rPr>
        <w:t xml:space="preserve">I</w:t>
      </w:r>
      <w:r>
        <w:rPr>
          <w:rStyle w:val="OrangeFix"/>
        </w:rPr>
        <w:t xml:space="preserve"> </w:t>
      </w:r>
      <w:r>
        <w:rPr>
          <w:rStyle w:val="OrangeFix"/>
        </w:rPr>
        <w:t xml:space="preserve">represents identity-related information</w:t>
      </w:r>
      <w:r>
        <w:t xml:space="preserve"> </w:t>
      </w:r>
      <w:r>
        <w:t xml:space="preserve">associated with the relevant participants,</w:t>
      </w:r>
      <w:r>
        <w:t xml:space="preserve"> </w:t>
      </w:r>
      <w:r>
        <w:rPr>
          <w:i/>
          <w:iCs/>
        </w:rPr>
        <w:t xml:space="preserve">A</w:t>
      </w:r>
      <w:r>
        <w:t xml:space="preserve"> </w:t>
      </w:r>
      <w:r>
        <w:t xml:space="preserve">represents the authorisation requirements that must be satisfied before access can be granted,</w:t>
      </w:r>
      <w:r>
        <w:t xml:space="preserve"> </w:t>
      </w:r>
      <w:r>
        <w:rPr>
          <w:i/>
          <w:iCs/>
        </w:rPr>
        <w:t xml:space="preserve">P</w:t>
      </w:r>
      <w:r>
        <w:t xml:space="preserve"> </w:t>
      </w:r>
      <w:r>
        <w:t xml:space="preserve">represents the policy conditions governing purpose and healthcare data scope, and</w:t>
      </w:r>
      <w:r>
        <w:t xml:space="preserve"> </w:t>
      </w:r>
      <w:r>
        <w:rPr>
          <w:i/>
          <w:iCs/>
        </w:rPr>
        <w:t xml:space="preserve">E</w:t>
      </w:r>
      <w:r>
        <w:t xml:space="preserve"> </w:t>
      </w:r>
      <w:r>
        <w:t xml:space="preserve">represents the evidence generated throughout the authorisation process.</w:t>
      </w:r>
    </w:p>
    <w:p>
      <w:pPr>
        <w:pStyle w:val="BodyText"/>
      </w:pPr>
      <w:r>
        <w:t xml:space="preserve">The identity component</w:t>
      </w:r>
      <w:r>
        <w:t xml:space="preserve"> </w:t>
      </w:r>
      <w:r>
        <w:rPr>
          <w:i/>
          <w:iCs/>
        </w:rPr>
        <w:t xml:space="preserve">I</w:t>
      </w:r>
      <w:r>
        <w:t xml:space="preserve"> </w:t>
      </w:r>
      <w:r>
        <w:t xml:space="preserve">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w:t>
      </w:r>
    </w:p>
    <w:p>
      <w:pPr>
        <w:pStyle w:val="BodyText"/>
      </w:pPr>
      <w:r>
        <w:t xml:space="preserve">The authorisation component</w:t>
      </w:r>
      <w:r>
        <w:t xml:space="preserve"> </w:t>
      </w:r>
      <w:r>
        <w:rPr>
          <w:i/>
          <w:iCs/>
        </w:rPr>
        <w:t xml:space="preserve">A</w:t>
      </w:r>
      <w:r>
        <w:t xml:space="preserve"> </w:t>
      </w:r>
      <w:r>
        <w:t xml:space="preserve">defines the conditions under which a consent object may become operational. In particular, it specifies whether a single participant is sufficient or whether multiple independent entities are required to jointly authorise a sensitive healthcare data operation. Let</w:t>
      </w:r>
      <w:r>
        <w:t xml:space="preserve"> </w:t>
      </w:r>
      <w:r>
        <w:rPr>
          <w:i/>
          <w:iCs/>
        </w:rPr>
        <w:t xml:space="preserve">A</w:t>
      </w:r>
      <w:r>
        <w:rPr>
          <w:vertAlign w:val="subscript"/>
        </w:rPr>
        <w:t xml:space="preserve">v</w:t>
      </w:r>
      <w:r>
        <w:t xml:space="preserve"> </w:t>
      </w:r>
      <w:r>
        <w:t xml:space="preserve">denote the set of participants whose identities and authority have been successfully verified, and let</w:t>
      </w:r>
      <w:r>
        <w:t xml:space="preserve"> </w:t>
      </w:r>
      <w:r>
        <w:rPr>
          <w:i/>
          <w:iCs/>
        </w:rPr>
        <w:t xml:space="preserve">N</w:t>
      </w:r>
      <w:r>
        <w:t xml:space="preserve"> </w:t>
      </w:r>
      <w:r>
        <w:t xml:space="preserve">denote the minimum required approval threshold. The authorisation condition is then given by Eq. (9).</w:t>
      </w:r>
    </w:p>
    <w:p>
      <w:pPr>
        <w:pStyle w:val="BodyText"/>
      </w:pPr>
      <w: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w:t>
      </w:r>
    </w:p>
    <w:p>
      <w:pPr>
        <w:pStyle w:val="BodyText"/>
      </w:pPr>
      <w:r>
        <w:t xml:space="preserve">The policy component</w:t>
      </w:r>
      <w:r>
        <w:t xml:space="preserve"> </w:t>
      </w:r>
      <w:r>
        <w:rPr>
          <w:i/>
          <w:iCs/>
        </w:rPr>
        <w:t xml:space="preserve">P</w:t>
      </w:r>
      <w:r>
        <w:t xml:space="preserve"> </w:t>
      </w:r>
      <w:r>
        <w:t xml:space="preserve">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w:t>
      </w:r>
    </w:p>
    <w:p>
      <w:pPr>
        <w:pStyle w:val="BodyText"/>
      </w:pPr>
      <w:r>
        <w:t xml:space="preserve">Let</w:t>
      </w:r>
      <w:r>
        <w:t xml:space="preserve"> </w:t>
      </w:r>
      <w:r>
        <w:rPr>
          <w:i/>
          <w:iCs/>
        </w:rPr>
        <w:t xml:space="preserve">S</w:t>
      </w:r>
      <w:r>
        <w:rPr>
          <w:vertAlign w:val="subscript"/>
        </w:rPr>
        <w:t xml:space="preserve">C</w:t>
      </w:r>
      <w:r>
        <w:t xml:space="preserve"> </w:t>
      </w:r>
      <w:r>
        <w:t xml:space="preserve">denote the healthcare data scope authorised by the consent object and</w:t>
      </w:r>
      <w:r>
        <w:t xml:space="preserve"> </w:t>
      </w:r>
      <w:r>
        <w:rPr>
          <w:i/>
          <w:iCs/>
        </w:rPr>
        <w:t xml:space="preserve">S</w:t>
      </w:r>
      <w:r>
        <w:rPr>
          <w:vertAlign w:val="subscript"/>
        </w:rPr>
        <w:t xml:space="preserve">R</w:t>
      </w:r>
      <w:r>
        <w:t xml:space="preserve"> </w:t>
      </w:r>
      <w:r>
        <w:t xml:space="preserve">denote the scope requested by an entity. Policy compliance requires</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25</m:t>
          </m:r>
          <m:r>
            <m:rPr>
              <m:sty m:val="p"/>
            </m:rPr>
            <m:t>)</m:t>
          </m:r>
        </m:oMath>
      </m:oMathPara>
    </w:p>
    <w:p>
      <w:pPr>
        <w:pStyle w:val="FirstParagraph"/>
      </w:pPr>
      <w:r>
        <w:t xml:space="preserve">If the requested data</w:t>
      </w:r>
      <w:r>
        <w:t xml:space="preserve"> </w:t>
      </w:r>
      <w:r>
        <w:rPr>
          <w:rStyle w:val="OrangeDelete"/>
        </w:rPr>
        <w:t xml:space="preserve">exceeds</w:t>
      </w:r>
      <w:r>
        <w:rPr>
          <w:rStyle w:val="OrangeFix"/>
        </w:rPr>
        <w:t xml:space="preserve">exceed</w:t>
      </w:r>
      <w:r>
        <w:t xml:space="preserve"> </w:t>
      </w:r>
      <w:r>
        <w:t xml:space="preserve">the authorised scope, the request must be rejected even if the requester has successfully authenticated and the required number of participants has approved the consent.</w:t>
      </w:r>
    </w:p>
    <w:p>
      <w:pPr>
        <w:pStyle w:val="BodyText"/>
      </w:pPr>
      <w:r>
        <w:t xml:space="preserve">The evidence component</w:t>
      </w:r>
      <w:r>
        <w:t xml:space="preserve"> </w:t>
      </w:r>
      <w:r>
        <w:rPr>
          <w:i/>
          <w:iCs/>
        </w:rPr>
        <w:t xml:space="preserve">E</w:t>
      </w:r>
      <w:r>
        <w:t xml:space="preserve"> </w:t>
      </w:r>
      <w:r>
        <w:t xml:space="preserve">represents the verifiable information generated during the authorisation process. This may include identity-verification results, credential-verification results, approval records, policy-evaluation outcomes, access decisions, and audit events. The purpose of</w:t>
      </w:r>
      <w:r>
        <w:t xml:space="preserve"> </w:t>
      </w:r>
      <w:r>
        <w:rPr>
          <w:i/>
          <w:iCs/>
        </w:rPr>
        <w:t xml:space="preserve">E</w:t>
      </w:r>
      <w:r>
        <w:t xml:space="preserve"> </w:t>
      </w:r>
      <w:r>
        <w:t xml:space="preserve">is not merely to record that a decision occurred, but to provide evidence concerning why the decision was produced.</w:t>
      </w:r>
    </w:p>
    <w:p>
      <w:pPr>
        <w:pStyle w:val="BodyText"/>
      </w:pPr>
      <w: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BodyText"/>
      </w:pPr>
      <w:r>
        <w:t xml:space="preserve">For the current stage implementation, the Model focuses on the foundational dimensions of identity, authority, multi-party approval, policy constraints, and authorisation evidence. The next-stage research will extend this representation to include temporal validity, expiration, revocation, lifecycle transitions, and formal security properties.</w:t>
      </w:r>
    </w:p>
    <w:bookmarkEnd w:id="82"/>
    <w:bookmarkStart w:id="83" w:name="X96d81aae39a4d93ee42ea3f75f4e5970520a9db"/>
    <w:p>
      <w:pPr>
        <w:pStyle w:val="Heading2"/>
      </w:pPr>
      <w:r>
        <w:t xml:space="preserve">5.4 View: Controlled Interaction Among Independent Participants</w:t>
      </w:r>
    </w:p>
    <w:p>
      <w:pPr>
        <w:pStyle w:val="FirstParagraph"/>
      </w:pPr>
      <w: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w:t>
      </w:r>
    </w:p>
    <w:p>
      <w:pPr>
        <w:pStyle w:val="BodyText"/>
      </w:pPr>
      <w:r>
        <w:t xml:space="preserve">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w:t>
      </w:r>
    </w:p>
    <w:p>
      <w:pPr>
        <w:pStyle w:val="BodyText"/>
      </w:pPr>
      <w:r>
        <w:t xml:space="preserve">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w:t>
      </w:r>
    </w:p>
    <w:p>
      <w:pPr>
        <w:pStyle w:val="BodyText"/>
      </w:pPr>
      <w:r>
        <w:t xml:space="preserve">The separation between interaction and enforcement prevents the user interface from becoming the source of trust. A request submitted through the View represents</w:t>
      </w:r>
      <w:r>
        <w:t xml:space="preserve"> </w:t>
      </w:r>
      <w:r>
        <w:rPr>
          <w:rStyle w:val="OrangeDelete"/>
        </w:rPr>
        <w:t xml:space="preserve">an</w:t>
      </w:r>
      <w:r>
        <w:rPr>
          <w:rStyle w:val="OrangeDelete"/>
        </w:rPr>
        <w:t xml:space="preserve"> </w:t>
      </w:r>
      <w:r>
        <w:rPr>
          <w:rStyle w:val="OrangeDelete"/>
          <w:i/>
          <w:iCs/>
        </w:rPr>
        <w:t xml:space="preserve">input to the</w:t>
      </w:r>
      <w:r>
        <w:rPr>
          <w:rStyle w:val="OrangeDelete"/>
        </w:rPr>
        <w:t xml:space="preserve"> </w:t>
      </w:r>
      <w:r>
        <w:rPr>
          <w:rStyle w:val="OrangeDelete"/>
          <w:i/>
          <w:iCs/>
        </w:rPr>
        <w:t xml:space="preserve">authorisation process</w:t>
      </w:r>
      <w:r>
        <w:rPr>
          <w:rStyle w:val="OrangeFix"/>
        </w:rPr>
        <w:t xml:space="preserve">an</w:t>
      </w:r>
      <w:r>
        <w:rPr>
          <w:rStyle w:val="OrangeFix"/>
        </w:rPr>
        <w:t xml:space="preserve"> </w:t>
      </w:r>
      <w:r>
        <w:rPr>
          <w:rStyle w:val="OrangeFix"/>
          <w:i/>
          <w:iCs/>
        </w:rPr>
        <w:t xml:space="preserve">input to the authorisation process</w:t>
      </w:r>
      <w:r>
        <w:t xml:space="preserve">, rather than an authorisation decision itself. The actual security decision remains the responsibility of the Controller.</w:t>
      </w:r>
    </w:p>
    <w:p>
      <w:pPr>
        <w:pStyle w:val="BodyText"/>
      </w:pPr>
      <w:r>
        <w:t xml:space="preserve">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bookmarkEnd w:id="83"/>
    <w:bookmarkStart w:id="84" w:name="X29a124864d396411eac11d932965b7ef7582ae4"/>
    <w:p>
      <w:pPr>
        <w:pStyle w:val="Heading2"/>
      </w:pPr>
      <w:r>
        <w:t xml:space="preserve">5.5 Controller: Trusted Multi-Party Authorisation Enforcement</w:t>
      </w:r>
    </w:p>
    <w:p>
      <w:pPr>
        <w:pStyle w:val="FirstParagraph"/>
      </w:pPr>
      <w: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w:t>
      </w:r>
    </w:p>
    <w:p>
      <w:pPr>
        <w:pStyle w:val="BodyText"/>
      </w:pPr>
      <w:r>
        <w:t xml:space="preserve">The Controller first evaluates whether the requesting entity and relevant authorisation participants possess valid identities and credentials. Identity verification is given by Eq. (8),</w:t>
      </w:r>
    </w:p>
    <w:p>
      <w:pPr>
        <w:pStyle w:val="BodyText"/>
      </w:pPr>
      <w:r>
        <w:t xml:space="preserve">where</w:t>
      </w:r>
      <w:r>
        <w:t xml:space="preserve"> </w:t>
      </w:r>
      <w:r>
        <w:rPr>
          <w:i/>
          <w:iCs/>
        </w:rPr>
        <w:t xml:space="preserve">VerifyDID</w:t>
      </w:r>
      <w:r>
        <w:t xml:space="preserve">(</w:t>
      </w:r>
      <w:r>
        <w:rPr>
          <w:i/>
          <w:iCs/>
        </w:rPr>
        <w:t xml:space="preserve">u</w:t>
      </w:r>
      <w:r>
        <w:t xml:space="preserve">) determines whether the decentralised identity of participant</w:t>
      </w:r>
      <w:r>
        <w:t xml:space="preserve"> </w:t>
      </w:r>
      <w:r>
        <w:rPr>
          <w:i/>
          <w:iCs/>
        </w:rPr>
        <w:t xml:space="preserve">u</w:t>
      </w:r>
      <w:r>
        <w:t xml:space="preserve"> </w:t>
      </w:r>
      <w:r>
        <w:t xml:space="preserve">can be verified and</w:t>
      </w:r>
      <w:r>
        <w:t xml:space="preserve"> </w:t>
      </w:r>
      <w:r>
        <w:rPr>
          <w:i/>
          <w:iCs/>
        </w:rPr>
        <w:t xml:space="preserve">VerifyVC</w:t>
      </w:r>
      <w:r>
        <w:t xml:space="preserve">(</w:t>
      </w:r>
      <w:r>
        <w:rPr>
          <w:i/>
          <w:iCs/>
        </w:rPr>
        <w:t xml:space="preserve">u</w:t>
      </w:r>
      <w:r>
        <w:t xml:space="preserve">) determines whether the associated credential provides valid evidence of the relevant authority or role.</w:t>
      </w:r>
    </w:p>
    <w:p>
      <w:pPr>
        <w:pStyle w:val="BodyText"/>
      </w:pPr>
      <w:r>
        <w:t xml:space="preserve">A central principle of the proposed architecture is that identity verification and authorisation authority are not equivalent. A participant may possess a valid identity while lacking the authority required to access a particular patient’s healthcare information. Therefore, identity is not authorisation (Eq. (1)).</w:t>
      </w:r>
    </w:p>
    <w:p>
      <w:pPr>
        <w:pStyle w:val="BodyText"/>
      </w:pPr>
      <w:r>
        <w:t xml:space="preserve">This distinction prevents successful authentication from being incorrectly interpreted as unrestricted permission.</w:t>
      </w:r>
    </w:p>
    <w:p>
      <w:pPr>
        <w:pStyle w:val="BodyText"/>
      </w:pPr>
      <w:r>
        <w:t xml:space="preserve">After identity and authority conditions have been evaluated, the Controller determines whether the multi-party authorisation requirements associated with the consent object have been satisfied. Only independently verified participants can</w:t>
      </w:r>
      <w:r>
        <w:t xml:space="preserve"> </w:t>
      </w:r>
      <w:r>
        <w:rPr>
          <w:rStyle w:val="OrangeDelete"/>
        </w:rPr>
        <w:t xml:space="preserve">contribute to the authorisation evidence set</w:t>
      </w:r>
      <w:r>
        <w:rPr>
          <w:rStyle w:val="OrangeDelete"/>
        </w:rPr>
        <w:t xml:space="preserve"> </w:t>
      </w:r>
      <w:r>
        <w:rPr>
          <w:rStyle w:val="OrangeDelete"/>
          <w:i/>
          <w:iCs/>
        </w:rPr>
        <w:t xml:space="preserve">A</w:t>
      </w:r>
      <w:r>
        <w:rPr>
          <w:rStyle w:val="OrangeDelete"/>
          <w:vertAlign w:val="subscript"/>
        </w:rPr>
        <w:t xml:space="preserve">v</w:t>
      </w:r>
      <w:r>
        <w:rPr>
          <w:rStyle w:val="OrangeFix"/>
        </w:rPr>
        <w:t xml:space="preserve">contribute to the verified approval set</w:t>
      </w:r>
      <w:r>
        <w:rPr>
          <w:rStyle w:val="OrangeFix"/>
        </w:rPr>
        <w:t xml:space="preserve"> </w:t>
      </w:r>
      <w:r>
        <w:rPr>
          <w:rStyle w:val="OrangeFix"/>
          <w:i/>
          <w:iCs/>
        </w:rPr>
        <w:t xml:space="preserve">A</w:t>
      </w:r>
      <w:r>
        <w:rPr>
          <w:rStyle w:val="OrangeFix"/>
          <w:vertAlign w:val="subscript"/>
        </w:rPr>
        <w:t xml:space="preserve">v</w:t>
      </w:r>
      <w:r>
        <w:t xml:space="preserve">. If the number of valid approvals is below the required threshold</w:t>
      </w:r>
      <w:r>
        <w:t xml:space="preserve"> </w:t>
      </w:r>
      <w:r>
        <w:rPr>
          <w:i/>
          <w:iCs/>
        </w:rPr>
        <w:t xml:space="preserve">N</w:t>
      </w:r>
      <w:r>
        <w:t xml:space="preserve">, the consent cannot produce an effective authorisation decision.</w:t>
      </w:r>
    </w:p>
    <w:p>
      <w:pPr>
        <w:pStyle w:val="BodyText"/>
      </w:pPr>
      <w:r>
        <w:t xml:space="preserve">The Controller then evaluates the relationship between the access request</w:t>
      </w:r>
      <w:r>
        <w:t xml:space="preserve"> </w:t>
      </w:r>
      <w:r>
        <w:rPr>
          <w:i/>
          <w:iCs/>
        </w:rPr>
        <w:t xml:space="preserve">R</w:t>
      </w:r>
      <w:r>
        <w:t xml:space="preserve"> </w:t>
      </w:r>
      <w:r>
        <w:t xml:space="preserve">and the policy conditions contained within the consent object. This process determines whether the requested healthcare data, operation, and intended purpose remain within the permitted authorisation boundary. The corresponding policy predicate is given by Eq. (11).</w:t>
      </w:r>
    </w:p>
    <w:p>
      <w:pPr>
        <w:pStyle w:val="BodyText"/>
      </w:pPr>
      <w:r>
        <w:t xml:space="preserve">The overall current stage authorisation decision is therefore determined by the conjunction of the foundational trust conditions in Eq. (6).</w:t>
      </w:r>
    </w:p>
    <w:p>
      <w:pPr>
        <w:pStyle w:val="BodyText"/>
      </w:pPr>
      <w: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w:t>
      </w:r>
    </w:p>
    <w:p>
      <w:pPr>
        <w:pStyle w:val="BodyText"/>
      </w:pPr>
      <w:r>
        <w:t xml:space="preserve">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bookmarkEnd w:id="84"/>
    <w:bookmarkStart w:id="85" w:name="X7ea2e96574592c59422d2a5ee233779814b7dd7"/>
    <w:p>
      <w:pPr>
        <w:pStyle w:val="Heading2"/>
      </w:pPr>
      <w:r>
        <w:t xml:space="preserve">5.6 Multi-Party Consent as Distributed Trust Establishment</w:t>
      </w:r>
    </w:p>
    <w:p>
      <w:pPr>
        <w:pStyle w:val="FirstParagraph"/>
      </w:pPr>
      <w:r>
        <w:t xml:space="preserve">A central contribution of the proposed architecture is the treatment of multi-party consent as a distributed trust-establishment mechanism rather than as a simple collection of multiple signatures.</w:t>
      </w:r>
    </w:p>
    <w:p>
      <w:pPr>
        <w:pStyle w:val="BodyText"/>
      </w:pPr>
      <w:r>
        <w:t xml:space="preserve">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w:t>
      </w:r>
    </w:p>
    <w:p>
      <w:pPr>
        <w:pStyle w:val="BodyText"/>
      </w:pPr>
      <w:r>
        <w:t xml:space="preserve">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w:t>
      </w:r>
    </w:p>
    <w:p>
      <w:pPr>
        <w:pStyle w:val="BodyText"/>
      </w:pPr>
      <w:r>
        <w:t xml:space="preserve">Let the set of submitted approvals be denoted by</w:t>
      </w:r>
    </w:p>
    <w:p>
      <w:pPr>
        <w:pStyle w:val="BodyText"/>
      </w:pPr>
      <m:oMathPara>
        <m:oMathParaPr>
          <m:jc m:val="center"/>
        </m:oMathParaPr>
        <m:oMath>
          <m:sSub>
            <m:e>
              <m:r>
                <m:t>A</m:t>
              </m:r>
            </m:e>
            <m:sub>
              <m:r>
                <m:t>s</m:t>
              </m:r>
            </m:sub>
          </m:sSub>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m</m:t>
              </m:r>
            </m:sub>
          </m:sSub>
          <m:r>
            <m:rPr>
              <m:sty m:val="p"/>
            </m:rPr>
            <m:t>}</m:t>
          </m:r>
          <m:r>
            <m:rPr>
              <m:sty m:val="p"/>
            </m:rPr>
            <m:t>.</m:t>
          </m:r>
          <m:r>
            <m:t>  </m:t>
          </m:r>
          <m:r>
            <m:t>  </m:t>
          </m:r>
          <m:r>
            <m:rPr>
              <m:sty m:val="p"/>
            </m:rPr>
            <m:t>(</m:t>
          </m:r>
          <m:r>
            <m:t>26</m:t>
          </m:r>
          <m:r>
            <m:rPr>
              <m:sty m:val="p"/>
            </m:rPr>
            <m:t>)</m:t>
          </m:r>
        </m:oMath>
      </m:oMathPara>
    </w:p>
    <w:p>
      <w:pPr>
        <w:pStyle w:val="FirstParagraph"/>
      </w:pPr>
      <w:r>
        <w:t xml:space="preserve">The verified approval set is then derived as</w:t>
      </w:r>
    </w:p>
    <w:p>
      <w:pPr>
        <w:pStyle w:val="BodyText"/>
      </w:pPr>
      <m:oMathPara>
        <m:oMathParaPr>
          <m:jc m:val="center"/>
        </m:oMathParaPr>
        <m:oMath>
          <m:sSub>
            <m:e>
              <m:r>
                <m:t>A</m:t>
              </m:r>
            </m:e>
            <m:sub>
              <m:r>
                <m:t>v</m:t>
              </m:r>
            </m:sub>
          </m:sSub>
          <m:r>
            <m:rPr>
              <m:sty m:val="p"/>
            </m:rPr>
            <m:t>=</m:t>
          </m:r>
          <m:r>
            <m:rPr>
              <m:sty m:val="p"/>
            </m:rPr>
            <m:t>{</m:t>
          </m:r>
          <m:sSub>
            <m:e>
              <m:r>
                <m:t>a</m:t>
              </m:r>
            </m:e>
            <m:sub>
              <m:r>
                <m:t>i</m:t>
              </m:r>
            </m:sub>
          </m:sSub>
          <m:r>
            <m:rPr>
              <m:sty m:val="p"/>
            </m:rPr>
            <m:t>∈</m:t>
          </m:r>
          <m:sSub>
            <m:e>
              <m:r>
                <m:t>A</m:t>
              </m:r>
            </m:e>
            <m:sub>
              <m:r>
                <m:t>s</m:t>
              </m:r>
            </m:sub>
          </m:sSub>
          <m:r>
            <m:rPr>
              <m:sty m:val="p"/>
            </m:rPr>
            <m:t>|</m:t>
          </m:r>
          <m:sSub>
            <m:e>
              <m:r>
                <m:t>V</m:t>
              </m:r>
            </m:e>
            <m:sub>
              <m:r>
                <m:t>I</m:t>
              </m:r>
            </m:sub>
          </m:sSub>
          <m:r>
            <m:rPr>
              <m:sty m:val="p"/>
            </m:rPr>
            <m:t>(</m:t>
          </m:r>
          <m:sSub>
            <m:e>
              <m:r>
                <m:t>a</m:t>
              </m:r>
            </m:e>
            <m:sub>
              <m:r>
                <m:t>i</m:t>
              </m:r>
            </m:sub>
          </m:sSub>
          <m:r>
            <m:rPr>
              <m:sty m:val="p"/>
            </m:rPr>
            <m:t>)</m:t>
          </m:r>
          <m:r>
            <m:rPr>
              <m:sty m:val="p"/>
            </m:rPr>
            <m:t>=</m:t>
          </m:r>
          <m:r>
            <m:t>1</m:t>
          </m:r>
          <m:r>
            <m:rPr>
              <m:sty m:val="p"/>
            </m:rPr>
            <m:t>∧</m:t>
          </m:r>
          <m:r>
            <m:t>A</m:t>
          </m:r>
          <m:r>
            <m:t>u</m:t>
          </m:r>
          <m:r>
            <m:t>t</m:t>
          </m:r>
          <m:r>
            <m:t>h</m:t>
          </m:r>
          <m:r>
            <m:t>o</m:t>
          </m:r>
          <m:r>
            <m:t>r</m:t>
          </m:r>
          <m:r>
            <m:t>i</m:t>
          </m:r>
          <m:r>
            <m:t>t</m:t>
          </m:r>
          <m:r>
            <m:t>y</m:t>
          </m:r>
          <m:r>
            <m:rPr>
              <m:sty m:val="p"/>
            </m:rPr>
            <m:t>(</m:t>
          </m:r>
          <m:sSub>
            <m:e>
              <m:r>
                <m:t>a</m:t>
              </m:r>
            </m:e>
            <m:sub>
              <m:r>
                <m:t>i</m:t>
              </m:r>
            </m:sub>
          </m:sSub>
          <m:r>
            <m:rPr>
              <m:sty m:val="p"/>
            </m:rPr>
            <m:t>)</m:t>
          </m:r>
          <m:r>
            <m:rPr>
              <m:sty m:val="p"/>
            </m:rPr>
            <m:t>=</m:t>
          </m:r>
          <m:r>
            <m:t>V</m:t>
          </m:r>
          <m:r>
            <m:t>a</m:t>
          </m:r>
          <m:r>
            <m:t>l</m:t>
          </m:r>
          <m:r>
            <m:t>i</m:t>
          </m:r>
          <m:r>
            <m:t>d</m:t>
          </m:r>
          <m:r>
            <m:rPr>
              <m:sty m:val="p"/>
            </m:rPr>
            <m:t>}</m:t>
          </m:r>
          <m:r>
            <m:rPr>
              <m:sty m:val="p"/>
            </m:rPr>
            <m:t>.</m:t>
          </m:r>
          <m:r>
            <m:t>  </m:t>
          </m:r>
          <m:r>
            <m:t>  </m:t>
          </m:r>
          <m:r>
            <m:rPr>
              <m:sty m:val="p"/>
            </m:rPr>
            <m:t>(</m:t>
          </m:r>
          <m:r>
            <m:t>27</m:t>
          </m:r>
          <m:r>
            <m:rPr>
              <m:sty m:val="p"/>
            </m:rPr>
            <m:t>)</m:t>
          </m:r>
        </m:oMath>
      </m:oMathPara>
    </w:p>
    <w:p>
      <w:pPr>
        <w:pStyle w:val="FirstParagraph"/>
      </w:pPr>
      <w:r>
        <w:t xml:space="preserve">Only the verified set</w:t>
      </w:r>
      <w:r>
        <w:t xml:space="preserve"> </w:t>
      </w:r>
      <w:r>
        <w:rPr>
          <w:i/>
          <w:iCs/>
        </w:rPr>
        <w:t xml:space="preserve">A</w:t>
      </w:r>
      <w:r>
        <w:rPr>
          <w:vertAlign w:val="subscript"/>
        </w:rPr>
        <w:t xml:space="preserve">v</w:t>
      </w:r>
      <w:r>
        <w:t xml:space="preserve"> </w:t>
      </w:r>
      <w:r>
        <w:t xml:space="preserve">contributes to the threshold condition. Consequently, an arbitrary number of unverified or unauthorised approvals cannot satisfy the multi-party authorisation requirement.</w:t>
      </w:r>
    </w:p>
    <w:p>
      <w:pPr>
        <w:pStyle w:val="BodyText"/>
      </w:pPr>
      <w:r>
        <w:t xml:space="preserve">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w:t>
      </w:r>
    </w:p>
    <w:p>
      <w:pPr>
        <w:pStyle w:val="BodyText"/>
      </w:pPr>
      <w:r>
        <w:t xml:space="preserve">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bookmarkEnd w:id="85"/>
    <w:bookmarkStart w:id="86" w:name="policy-aware-consent-enforcement"/>
    <w:p>
      <w:pPr>
        <w:pStyle w:val="Heading2"/>
      </w:pPr>
      <w:r>
        <w:t xml:space="preserve">5.7 Policy-Aware Consent Enforcement</w:t>
      </w:r>
    </w:p>
    <w:p>
      <w:pPr>
        <w:pStyle w:val="FirstParagraph"/>
      </w:pPr>
      <w:r>
        <w:t xml:space="preserve">Another important feature of the architecture is the explicit separation</w:t>
      </w:r>
      <w:r>
        <w:t xml:space="preserve"> </w:t>
      </w:r>
      <w:r>
        <w:rPr>
          <w:rStyle w:val="OrangeDelete"/>
        </w:rPr>
        <w:t xml:space="preserve">between</w:t>
      </w:r>
      <w:r>
        <w:rPr>
          <w:rStyle w:val="OrangeDelete"/>
        </w:rPr>
        <w:t xml:space="preserve"> </w:t>
      </w:r>
      <w:r>
        <w:rPr>
          <w:rStyle w:val="OrangeDelete"/>
          <w:i/>
          <w:iCs/>
        </w:rPr>
        <w:t xml:space="preserve">approval</w:t>
      </w:r>
      <w:r>
        <w:rPr>
          <w:rStyle w:val="OrangeDelete"/>
        </w:rPr>
        <w:t xml:space="preserve"> </w:t>
      </w:r>
      <w:r>
        <w:rPr>
          <w:rStyle w:val="OrangeDelete"/>
          <w:i/>
          <w:iCs/>
        </w:rPr>
        <w:t xml:space="preserve">validity</w:t>
      </w:r>
      <w:r>
        <w:rPr>
          <w:rStyle w:val="OrangeDelete"/>
        </w:rPr>
        <w:t xml:space="preserve"> </w:t>
      </w:r>
      <w:r>
        <w:rPr>
          <w:rStyle w:val="OrangeDelete"/>
        </w:rPr>
        <w:t xml:space="preserve">and</w:t>
      </w:r>
      <w:r>
        <w:rPr>
          <w:rStyle w:val="OrangeFix"/>
        </w:rPr>
        <w:t xml:space="preserve">between</w:t>
      </w:r>
      <w:r>
        <w:rPr>
          <w:rStyle w:val="OrangeFix"/>
        </w:rPr>
        <w:t xml:space="preserve"> </w:t>
      </w:r>
      <w:r>
        <w:rPr>
          <w:rStyle w:val="OrangeFix"/>
          <w:i/>
          <w:iCs/>
        </w:rPr>
        <w:t xml:space="preserve">approval validity</w:t>
      </w:r>
      <w:r>
        <w:rPr>
          <w:rStyle w:val="OrangeFix"/>
        </w:rPr>
        <w:t xml:space="preserve"> </w:t>
      </w:r>
      <w:r>
        <w:rPr>
          <w:rStyle w:val="OrangeFix"/>
        </w:rPr>
        <w:t xml:space="preserve">and</w:t>
      </w:r>
      <w:r>
        <w:t xml:space="preserve"> </w:t>
      </w:r>
      <w:r>
        <w:rPr>
          <w:i/>
          <w:iCs/>
        </w:rPr>
        <w:t xml:space="preserve">access scope validity</w:t>
      </w:r>
      <w:r>
        <w:t xml:space="preserve">. Even when all required participants have approved a consent request, the resulting authorisation remains bounded by the policy encoded within the consent object.</w:t>
      </w:r>
    </w:p>
    <w:p>
      <w:pPr>
        <w:pStyle w:val="BodyText"/>
      </w:pPr>
      <w:r>
        <w:t xml:space="preserve">For example, if a healthcare professional requests the scope in Eq. (4), the request exceeds the consented scope (Eq. (5)) and the Controller must return DENY.</w:t>
      </w:r>
    </w:p>
    <w:p>
      <w:pPr>
        <w:pStyle w:val="BodyText"/>
      </w:pPr>
      <w: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w:t>
      </w:r>
    </w:p>
    <w:p>
      <w:pPr>
        <w:pStyle w:val="BodyText"/>
      </w:pPr>
      <w:r>
        <w:t xml:space="preserve">The proposed architecture instead binds the access decision to the consent policy itself. Consent therefore becomes an active authorisation constraint rather than a historical indication that a participant was once granted permission.</w:t>
      </w:r>
    </w:p>
    <w:p>
      <w:pPr>
        <w:pStyle w:val="BodyText"/>
      </w:pPr>
      <w: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bookmarkEnd w:id="86"/>
    <w:bookmarkStart w:id="87" w:name="authorisation-evidence-and-auditability"/>
    <w:p>
      <w:pPr>
        <w:pStyle w:val="Heading2"/>
      </w:pPr>
      <w:r>
        <w:t xml:space="preserve">5.8 Authorisation Evidence and Auditability</w:t>
      </w:r>
    </w:p>
    <w:p>
      <w:pPr>
        <w:pStyle w:val="FirstParagraph"/>
      </w:pPr>
      <w:r>
        <w:t xml:space="preserve">The proposed architecture further distinguishes between</w:t>
      </w:r>
      <w:r>
        <w:t xml:space="preserve"> </w:t>
      </w:r>
      <w:r>
        <w:rPr>
          <w:i/>
          <w:iCs/>
        </w:rPr>
        <w:t xml:space="preserve">making</w:t>
      </w:r>
      <w:r>
        <w:t xml:space="preserve"> </w:t>
      </w:r>
      <w:r>
        <w:t xml:space="preserve">an authorisation decision and</w:t>
      </w:r>
      <w:r>
        <w:t xml:space="preserve"> </w:t>
      </w:r>
      <w:r>
        <w:rPr>
          <w:i/>
          <w:iCs/>
        </w:rPr>
        <w:t xml:space="preserve">demonstrating</w:t>
      </w:r>
      <w:r>
        <w:t xml:space="preserve"> </w:t>
      </w:r>
      <w:r>
        <w:t xml:space="preserve">how that decision was made. For this reason, the Controller generates evidence associated with each relevant stage of the authorisation process. Conceptually, an authorisation evidence record can be represented as</w:t>
      </w:r>
    </w:p>
    <w:p>
      <w:pPr>
        <w:pStyle w:val="BodyText"/>
      </w:pPr>
      <m:oMathPara>
        <m:oMathParaPr>
          <m:jc m:val="center"/>
        </m:oMathParaPr>
        <m:oMath>
          <m:sSub>
            <m:e>
              <m:r>
                <m:t>E</m:t>
              </m:r>
            </m:e>
            <m:sub>
              <m:r>
                <m:t>R</m:t>
              </m:r>
            </m:sub>
          </m:sSub>
          <m:r>
            <m:rPr>
              <m:sty m:val="p"/>
            </m:rPr>
            <m:t>=</m:t>
          </m:r>
          <m:r>
            <m:rPr>
              <m:sty m:val="p"/>
            </m:rPr>
            <m:t>{</m:t>
          </m:r>
          <m:r>
            <m:t>I</m:t>
          </m:r>
          <m:r>
            <m:t>D</m:t>
          </m:r>
          <m:r>
            <m:rPr>
              <m:sty m:val="p"/>
            </m:rPr>
            <m:t>,</m:t>
          </m:r>
          <m:r>
            <m:t>C</m:t>
          </m:r>
          <m:r>
            <m:t>r</m:t>
          </m:r>
          <m:r>
            <m:t>e</m:t>
          </m:r>
          <m:r>
            <m:t>d</m:t>
          </m:r>
          <m:r>
            <m:t>e</m:t>
          </m:r>
          <m:r>
            <m:t>n</m:t>
          </m:r>
          <m:r>
            <m:t>t</m:t>
          </m:r>
          <m:r>
            <m:t>i</m:t>
          </m:r>
          <m:r>
            <m:t>a</m:t>
          </m:r>
          <m:r>
            <m:t>l</m:t>
          </m:r>
          <m:r>
            <m:rPr>
              <m:sty m:val="p"/>
            </m:rPr>
            <m:t>,</m:t>
          </m:r>
          <m:r>
            <m:t>A</m:t>
          </m:r>
          <m:r>
            <m:t>p</m:t>
          </m:r>
          <m:r>
            <m:t>p</m:t>
          </m:r>
          <m:r>
            <m:t>r</m:t>
          </m:r>
          <m:r>
            <m:t>o</m:t>
          </m:r>
          <m:r>
            <m:t>v</m:t>
          </m:r>
          <m:r>
            <m:t>a</m:t>
          </m:r>
          <m:r>
            <m:t>l</m:t>
          </m:r>
          <m:r>
            <m:rPr>
              <m:sty m:val="p"/>
            </m:rPr>
            <m:t>,</m:t>
          </m:r>
          <m:r>
            <m:t>P</m:t>
          </m:r>
          <m:r>
            <m:t>o</m:t>
          </m:r>
          <m:r>
            <m:t>l</m:t>
          </m:r>
          <m:r>
            <m:t>i</m:t>
          </m:r>
          <m:r>
            <m:t>c</m:t>
          </m:r>
          <m:r>
            <m:t>y</m:t>
          </m:r>
          <m:r>
            <m:rPr>
              <m:sty m:val="p"/>
            </m:rPr>
            <m:t>,</m:t>
          </m:r>
          <m:r>
            <m:t>D</m:t>
          </m:r>
          <m:r>
            <m:t>e</m:t>
          </m:r>
          <m:r>
            <m:t>c</m:t>
          </m:r>
          <m:r>
            <m:t>i</m:t>
          </m:r>
          <m:r>
            <m:t>s</m:t>
          </m:r>
          <m:r>
            <m:t>i</m:t>
          </m:r>
          <m:r>
            <m:t>o</m:t>
          </m:r>
          <m:r>
            <m:t>n</m:t>
          </m:r>
          <m:r>
            <m:rPr>
              <m:sty m:val="p"/>
            </m:rPr>
            <m:t>,</m:t>
          </m:r>
          <m:r>
            <m:t>A</m:t>
          </m:r>
          <m:r>
            <m:t>u</m:t>
          </m:r>
          <m:r>
            <m:t>d</m:t>
          </m:r>
          <m:r>
            <m:t>i</m:t>
          </m:r>
          <m:r>
            <m:t>t</m:t>
          </m:r>
          <m:r>
            <m:rPr>
              <m:sty m:val="p"/>
            </m:rPr>
            <m:t>}</m:t>
          </m:r>
          <m:r>
            <m:rPr>
              <m:sty m:val="p"/>
            </m:rPr>
            <m:t>.</m:t>
          </m:r>
          <m:r>
            <m:t>  </m:t>
          </m:r>
          <m:r>
            <m:t>  </m:t>
          </m:r>
          <m:r>
            <m:rPr>
              <m:sty m:val="p"/>
            </m:rPr>
            <m:t>(</m:t>
          </m:r>
          <m:r>
            <m:t>28</m:t>
          </m:r>
          <m:r>
            <m:rPr>
              <m:sty m:val="p"/>
            </m:rPr>
            <m:t>)</m:t>
          </m:r>
        </m:oMath>
      </m:oMathPara>
    </w:p>
    <w:p>
      <w:pPr>
        <w:pStyle w:val="FirstParagraph"/>
      </w:pPr>
      <w:r>
        <w:t xml:space="preserve">where</w:t>
      </w:r>
      <w:r>
        <w:t xml:space="preserve"> </w:t>
      </w:r>
      <w:r>
        <w:rPr>
          <w:i/>
          <w:iCs/>
        </w:rPr>
        <w:t xml:space="preserve">ID</w:t>
      </w:r>
      <w:r>
        <w:t xml:space="preserve"> </w:t>
      </w:r>
      <w:r>
        <w:t xml:space="preserve">represents identity-verification evidence,</w:t>
      </w:r>
      <w:r>
        <w:t xml:space="preserve"> </w:t>
      </w:r>
      <w:r>
        <w:rPr>
          <w:i/>
          <w:iCs/>
        </w:rPr>
        <w:t xml:space="preserve">Credential</w:t>
      </w:r>
      <w:r>
        <w:t xml:space="preserve"> </w:t>
      </w:r>
      <w:r>
        <w:t xml:space="preserve">represents authority or role-verification evidence,</w:t>
      </w:r>
      <w:r>
        <w:t xml:space="preserve"> </w:t>
      </w:r>
      <w:r>
        <w:rPr>
          <w:i/>
          <w:iCs/>
        </w:rPr>
        <w:t xml:space="preserve">Approval</w:t>
      </w:r>
      <w:r>
        <w:t xml:space="preserve"> </w:t>
      </w:r>
      <w:r>
        <w:t xml:space="preserve">represents the verified multi-party approval state,</w:t>
      </w:r>
      <w:r>
        <w:t xml:space="preserve"> </w:t>
      </w:r>
      <w:r>
        <w:rPr>
          <w:i/>
          <w:iCs/>
        </w:rPr>
        <w:t xml:space="preserve">Policy</w:t>
      </w:r>
      <w:r>
        <w:t xml:space="preserve"> </w:t>
      </w:r>
      <w:r>
        <w:t xml:space="preserve">represents the result of policy evaluation,</w:t>
      </w:r>
      <w:r>
        <w:t xml:space="preserve"> </w:t>
      </w:r>
      <w:r>
        <w:rPr>
          <w:i/>
          <w:iCs/>
        </w:rPr>
        <w:t xml:space="preserve">Decision</w:t>
      </w:r>
      <w:r>
        <w:t xml:space="preserve"> </w:t>
      </w:r>
      <w:r>
        <w:t xml:space="preserve">represents the final access outcome, and</w:t>
      </w:r>
      <w:r>
        <w:t xml:space="preserve"> </w:t>
      </w:r>
      <w:r>
        <w:rPr>
          <w:i/>
          <w:iCs/>
        </w:rPr>
        <w:t xml:space="preserve">Audit</w:t>
      </w:r>
      <w:r>
        <w:t xml:space="preserve"> </w:t>
      </w:r>
      <w:r>
        <w:t xml:space="preserve">represents the associated event record.</w:t>
      </w:r>
    </w:p>
    <w:p>
      <w:pPr>
        <w:pStyle w:val="BodyText"/>
      </w:pPr>
      <w:r>
        <w:t xml:space="preserve">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p>
    <w:p>
      <w:pPr>
        <w:pStyle w:val="BodyText"/>
      </w:pPr>
      <w:r>
        <w:t xml:space="preserve">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w:t>
      </w:r>
    </w:p>
    <w:p>
      <w:pPr>
        <w:pStyle w:val="BodyText"/>
      </w:pPr>
      <w:r>
        <w:t xml:space="preserve">The trustworthiness of the access decision instead originates from the coordinated enforcement of identity, authority, multi-party approval, and policy conditions.</w:t>
      </w:r>
    </w:p>
    <w:bookmarkEnd w:id="87"/>
    <w:bookmarkStart w:id="88" w:name="architectural-security-properties"/>
    <w:p>
      <w:pPr>
        <w:pStyle w:val="Heading2"/>
      </w:pPr>
      <w:r>
        <w:t xml:space="preserve">5.9 Architectural Security Properties</w:t>
      </w:r>
    </w:p>
    <w:p>
      <w:pPr>
        <w:pStyle w:val="FirstParagraph"/>
      </w:pPr>
      <w:r>
        <w:t xml:space="preserve">The proposed MVC architecture provides several foundational security properties for the current stage. These properties emerge from the interaction between the Model, View, and Controller rather than from any single technology.</w:t>
      </w:r>
    </w:p>
    <w:p>
      <w:pPr>
        <w:pStyle w:val="BodyText"/>
      </w:pPr>
      <w:r>
        <w:t xml:space="preserve">First, the architecture provides</w:t>
      </w:r>
      <w:r>
        <w:t xml:space="preserve"> </w:t>
      </w:r>
      <w:r>
        <w:rPr>
          <w:i/>
          <w:iCs/>
        </w:rPr>
        <w:t xml:space="preserve">identity-dependent participation</w:t>
      </w:r>
      <w:r>
        <w:t xml:space="preserve">. A participant cannot contribute to the authorisation process solely by interacting with the system interface. The corresponding identity and credential must satisfy the verification requirements.</w:t>
      </w:r>
    </w:p>
    <w:p>
      <w:pPr>
        <w:pStyle w:val="BodyText"/>
      </w:pPr>
      <w:r>
        <w:t xml:space="preserve">Second, the architecture provides</w:t>
      </w:r>
      <w:r>
        <w:t xml:space="preserve"> </w:t>
      </w:r>
      <w:r>
        <w:rPr>
          <w:i/>
          <w:iCs/>
        </w:rPr>
        <w:t xml:space="preserve">authority separation</w:t>
      </w:r>
      <w:r>
        <w:t xml:space="preserve">.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w:t>
      </w:r>
    </w:p>
    <w:p>
      <w:pPr>
        <w:pStyle w:val="BodyText"/>
      </w:pPr>
      <w:r>
        <w:t xml:space="preserve">Third,</w:t>
      </w:r>
      <w:r>
        <w:t xml:space="preserve"> </w:t>
      </w:r>
      <w:r>
        <w:rPr>
          <w:rStyle w:val="OrangeDelete"/>
        </w:rPr>
        <w:t xml:space="preserve">the architecture provides</w:t>
      </w:r>
      <w:r>
        <w:rPr>
          <w:rStyle w:val="OrangeDelete"/>
        </w:rPr>
        <w:t xml:space="preserve"> </w:t>
      </w:r>
      <w:r>
        <w:rPr>
          <w:rStyle w:val="OrangeDelete"/>
          <w:i/>
          <w:iCs/>
        </w:rPr>
        <w:t xml:space="preserve">collective authorisation integrity</w:t>
      </w:r>
      <w:r>
        <w:rPr>
          <w:rStyle w:val="OrangeFix"/>
        </w:rPr>
        <w:t xml:space="preserve">the architecture provides</w:t>
      </w:r>
      <w:r>
        <w:rPr>
          <w:rStyle w:val="OrangeFix"/>
        </w:rPr>
        <w:t xml:space="preserve"> </w:t>
      </w:r>
      <w:r>
        <w:rPr>
          <w:rStyle w:val="OrangeFix"/>
          <w:i/>
          <w:iCs/>
        </w:rPr>
        <w:t xml:space="preserve">multi-party authorisation integrity</w:t>
      </w:r>
      <w:r>
        <w:t xml:space="preserve">. Sensitive healthcare data access can be configured to require multiple independently verified participants. Therefore, a single participant cannot unilaterally activate access when the defined authorisation threshold has not been reached.</w:t>
      </w:r>
    </w:p>
    <w:p>
      <w:pPr>
        <w:pStyle w:val="BodyText"/>
      </w:pPr>
      <w:r>
        <w:t xml:space="preserve">Fourth, the architecture provides</w:t>
      </w:r>
      <w:r>
        <w:t xml:space="preserve"> </w:t>
      </w:r>
      <w:r>
        <w:rPr>
          <w:i/>
          <w:iCs/>
        </w:rPr>
        <w:t xml:space="preserve">policy-bounded access</w:t>
      </w:r>
      <w:r>
        <w:t xml:space="preserve">. A valid requester with sufficient approval evidence cannot access healthcare information beyond the purpose or data scope defined by the consent object.</w:t>
      </w:r>
    </w:p>
    <w:p>
      <w:pPr>
        <w:pStyle w:val="BodyText"/>
      </w:pPr>
      <w:r>
        <w:t xml:space="preserve">Finally,</w:t>
      </w:r>
      <w:r>
        <w:t xml:space="preserve"> </w:t>
      </w:r>
      <w:r>
        <w:rPr>
          <w:rStyle w:val="OrangeDelete"/>
        </w:rPr>
        <w:t xml:space="preserve">the architecture provides</w:t>
      </w:r>
      <w:r>
        <w:rPr>
          <w:rStyle w:val="OrangeDelete"/>
        </w:rPr>
        <w:t xml:space="preserve"> </w:t>
      </w:r>
      <w:r>
        <w:rPr>
          <w:rStyle w:val="OrangeDelete"/>
          <w:i/>
          <w:iCs/>
        </w:rPr>
        <w:t xml:space="preserve">decision accountability</w:t>
      </w:r>
      <w:r>
        <w:rPr>
          <w:rStyle w:val="OrangeFix"/>
        </w:rPr>
        <w:t xml:space="preserve">the architecture provides</w:t>
      </w:r>
      <w:r>
        <w:rPr>
          <w:rStyle w:val="OrangeFix"/>
        </w:rPr>
        <w:t xml:space="preserve"> </w:t>
      </w:r>
      <w:r>
        <w:rPr>
          <w:rStyle w:val="OrangeFix"/>
          <w:i/>
          <w:iCs/>
        </w:rPr>
        <w:t xml:space="preserve">authorisation evidence</w:t>
      </w:r>
      <w:r>
        <w:t xml:space="preserve">. The system maintains evidence concerning the conditions that produced an authorisation decision, thereby supporting auditing and subsequent verification. These properties can be summarised as shown in Table 5.1.</w:t>
      </w:r>
    </w:p>
    <w:bookmarkEnd w:id="88"/>
    <w:bookmarkStart w:id="89" w:name="Xa2cefacf258c40709ece440e33da236e205e6c3"/>
    <w:p>
      <w:pPr>
        <w:pStyle w:val="Heading2"/>
      </w:pPr>
      <w:r>
        <w:t xml:space="preserve">5.10 MVC Architecture and the Research Objectives</w:t>
      </w:r>
    </w:p>
    <w:p>
      <w:pPr>
        <w:pStyle w:val="FirstParagraph"/>
      </w:pPr>
      <w: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w:t>
      </w:r>
    </w:p>
    <w:p>
      <w:pPr>
        <w:pStyle w:val="BodyText"/>
      </w:pPr>
      <w:r>
        <w:rPr>
          <w:rStyle w:val="OrangeDelete"/>
        </w:rPr>
        <w:t xml:space="preserve">As shown in Table 5.2, the</w:t>
      </w:r>
      <w:r>
        <w:rPr>
          <w:rStyle w:val="OrangeFix"/>
        </w:rPr>
        <w:t xml:space="preserve">This mapping is summarised in Table 5.2. The</w:t>
      </w:r>
      <w:r>
        <w:t xml:space="preserve"> </w:t>
      </w:r>
      <w:r>
        <w:t xml:space="preserve">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bookmarkEnd w:id="89"/>
    <w:bookmarkStart w:id="90" w:name="architectural-contribution-and-scope"/>
    <w:p>
      <w:pPr>
        <w:pStyle w:val="Heading2"/>
      </w:pPr>
      <w:r>
        <w:t xml:space="preserve">5.11 Architectural Contribution and Scope</w:t>
      </w:r>
    </w:p>
    <w:p>
      <w:pPr>
        <w:pStyle w:val="FirstParagraph"/>
      </w:pPr>
      <w: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w:t>
      </w:r>
    </w:p>
    <w:p>
      <w:pPr>
        <w:pStyle w:val="BodyText"/>
      </w:pPr>
      <w:r>
        <w:t xml:space="preserve">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w:t>
      </w:r>
    </w:p>
    <w:p>
      <w:pPr>
        <w:pStyle w:val="BodyText"/>
      </w:pPr>
      <w:r>
        <w:t xml:space="preserve">For the current stage, the architecture therefore establishes the foundational mechanisms required to answer SRQ1–SRQ4. The implemented HALAH prototype provides the practical environment in which these mechanisms can be instantiated and evaluated through representative healthcare data-sharing scenarios.</w:t>
      </w:r>
    </w:p>
    <w:p>
      <w:pPr>
        <w:pStyle w:val="TableCaption"/>
      </w:pPr>
      <w:r>
        <w:t xml:space="preserve">Table 5.1: Security Properties Supported by the Proposed MVC-Based Consent Architecture</w:t>
      </w:r>
    </w:p>
    <w:tbl>
      <w:tblPr>
        <w:tblStyle w:val="Table"/>
        <w:tblW w:type="pct" w:w="5000"/>
        <w:tblLayout w:type="fixed"/>
        <w:tblLook w:firstRow="1" w:lastRow="0" w:firstColumn="0" w:lastColumn="0" w:noHBand="0" w:noVBand="0" w:val="0020"/>
        <w:tblCaption w:val="Table 5.1: Security Properties Supported by the Proposed MVC-Based Consent Architecture"/>
      </w:tblPr>
      <w:tblGrid>
        <w:gridCol w:w="2310"/>
        <w:gridCol w:w="2805"/>
        <w:gridCol w:w="280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Security Property</w:t>
            </w:r>
          </w:p>
        </w:tc>
        <w:tc>
          <w:tcPr>
            <w:tcBorders>
              <w:bottom w:val="single" w:sz="8" w:space="0" w:color="000000"/>
            </w:tcBorders>
            <w:shd w:val="clear" w:color="auto" w:fill="E7E6E6"/>
            <w:vAlign w:val="center"/>
          </w:tcPr>
          <w:p>
            <w:pPr>
              <w:pStyle w:val="Compact"/>
              <w:jc w:val="left"/>
            </w:pPr>
            <w:r>
              <w:rPr>
                <w:b/>
                <w:bCs/>
              </w:rPr>
              <w:t xml:space="preserve">Architectural Mechanism</w:t>
            </w:r>
          </w:p>
        </w:tc>
        <w:tc>
          <w:tcPr>
            <w:tcBorders>
              <w:bottom w:val="single" w:sz="8" w:space="0" w:color="000000"/>
            </w:tcBorders>
            <w:shd w:val="clear" w:color="auto" w:fill="E7E6E6"/>
            <w:vAlign w:val="center"/>
          </w:tcPr>
          <w:p>
            <w:pPr>
              <w:pStyle w:val="Compact"/>
              <w:jc w:val="left"/>
            </w:pPr>
            <w:r>
              <w:rPr>
                <w:b/>
                <w:bCs/>
              </w:rPr>
              <w:t xml:space="preserve">Security Significance</w:t>
            </w:r>
          </w:p>
        </w:tc>
      </w:tr>
      <w:tr>
        <w:trPr>
          <w:cantSplit/>
        </w:trPr>
        <w:tc>
          <w:tcPr/>
          <w:p>
            <w:pPr>
              <w:pStyle w:val="Compact"/>
              <w:jc w:val="left"/>
            </w:pPr>
            <w:r>
              <w:t xml:space="preserve">Identity-dependent participation</w:t>
            </w:r>
          </w:p>
        </w:tc>
        <w:tc>
          <w:tcPr/>
          <w:p>
            <w:pPr>
              <w:pStyle w:val="Compact"/>
              <w:jc w:val="left"/>
            </w:pPr>
            <w:r>
              <w:t xml:space="preserve">DID and credential verification before a participant can contribute to the authorisation process</w:t>
            </w:r>
          </w:p>
        </w:tc>
        <w:tc>
          <w:tcPr/>
          <w:p>
            <w:pPr>
              <w:pStyle w:val="Compact"/>
              <w:jc w:val="left"/>
            </w:pPr>
            <w:r>
              <w:t xml:space="preserve">Prevents unverified entities from being treated as legitimate participants.</w:t>
            </w:r>
          </w:p>
        </w:tc>
      </w:tr>
      <w:tr>
        <w:trPr>
          <w:cantSplit/>
        </w:trPr>
        <w:tc>
          <w:tcPr/>
          <w:p>
            <w:pPr>
              <w:pStyle w:val="Compact"/>
              <w:jc w:val="left"/>
            </w:pPr>
            <w:r>
              <w:t xml:space="preserve">Authority separation</w:t>
            </w:r>
          </w:p>
        </w:tc>
        <w:tc>
          <w:tcPr/>
          <w:p>
            <w:pPr>
              <w:pStyle w:val="Compact"/>
              <w:jc w:val="left"/>
            </w:pPr>
            <w:r>
              <w:t xml:space="preserve">Independent evaluation of identity and role or authority evidence</w:t>
            </w:r>
          </w:p>
        </w:tc>
        <w:tc>
          <w:tcPr/>
          <w:p>
            <w:pPr>
              <w:pStyle w:val="Compact"/>
              <w:jc w:val="left"/>
            </w:pPr>
            <w:r>
              <w:t xml:space="preserve">Prevents successful authentication from being interpreted as unrestricted authorisation.</w:t>
            </w:r>
          </w:p>
        </w:tc>
      </w:tr>
      <w:tr>
        <w:trPr>
          <w:cantSplit/>
        </w:trPr>
        <w:tc>
          <w:tcPr/>
          <w:p>
            <w:pPr>
              <w:pStyle w:val="Compact"/>
              <w:jc w:val="left"/>
            </w:pPr>
            <w:r>
              <w:t xml:space="preserve">Multi-party authorisation integrity</w:t>
            </w:r>
          </w:p>
        </w:tc>
        <w:tc>
          <w:tcPr/>
          <w:p>
            <w:pPr>
              <w:pStyle w:val="Compact"/>
              <w:jc w:val="left"/>
            </w:pPr>
            <w:r>
              <w:t xml:space="preserve">Threshold evaluation over independently verified approval participants</w:t>
            </w:r>
          </w:p>
        </w:tc>
        <w:tc>
          <w:tcPr/>
          <w:p>
            <w:pPr>
              <w:pStyle w:val="Compact"/>
              <w:jc w:val="left"/>
            </w:pPr>
            <w:r>
              <w:t xml:space="preserve">Prevents a single participant from unilaterally activating sensitive healthcare data access when collective approval is required.</w:t>
            </w:r>
          </w:p>
        </w:tc>
      </w:tr>
      <w:tr>
        <w:trPr>
          <w:cantSplit/>
        </w:trPr>
        <w:tc>
          <w:tcPr/>
          <w:p>
            <w:pPr>
              <w:pStyle w:val="Compact"/>
              <w:jc w:val="left"/>
            </w:pPr>
            <w:r>
              <w:t xml:space="preserve">Policy-bounded access</w:t>
            </w:r>
          </w:p>
        </w:tc>
        <w:tc>
          <w:tcPr/>
          <w:p>
            <w:pPr>
              <w:pStyle w:val="Compact"/>
              <w:jc w:val="left"/>
            </w:pPr>
            <w:r>
              <w:t xml:space="preserve">Evaluation of purpose and requested data scope against consent policy</w:t>
            </w:r>
          </w:p>
        </w:tc>
        <w:tc>
          <w:tcPr/>
          <w:p>
            <w:pPr>
              <w:pStyle w:val="Compact"/>
              <w:jc w:val="left"/>
            </w:pPr>
            <w:r>
              <w:t xml:space="preserve">Prevents otherwise valid identities and approvals from being used to obtain data beyond the authorised scope.</w:t>
            </w:r>
          </w:p>
        </w:tc>
      </w:tr>
      <w:tr>
        <w:trPr>
          <w:cantSplit/>
        </w:trPr>
        <w:tc>
          <w:tcPr/>
          <w:p>
            <w:pPr>
              <w:pStyle w:val="Compact"/>
              <w:jc w:val="left"/>
            </w:pPr>
            <w:r>
              <w:t xml:space="preserve">Authorisation evidence</w:t>
            </w:r>
          </w:p>
        </w:tc>
        <w:tc>
          <w:tcPr/>
          <w:p>
            <w:pPr>
              <w:pStyle w:val="Compact"/>
              <w:jc w:val="left"/>
            </w:pPr>
            <w:r>
              <w:t xml:space="preserve">Recording of verification results, approval evidence, policy evaluation, and final decisions</w:t>
            </w:r>
          </w:p>
        </w:tc>
        <w:tc>
          <w:tcPr/>
          <w:p>
            <w:pPr>
              <w:pStyle w:val="Compact"/>
              <w:jc w:val="left"/>
            </w:pPr>
            <w:r>
              <w:t xml:space="preserve">Provides traceability and supports accountability, auditing, and future verification.</w:t>
            </w:r>
          </w:p>
        </w:tc>
      </w:tr>
      <w:tr>
        <w:trPr>
          <w:cantSplit/>
        </w:trPr>
        <w:tc>
          <w:tcPr/>
          <w:p>
            <w:pPr>
              <w:pStyle w:val="Compact"/>
              <w:jc w:val="left"/>
            </w:pPr>
            <w:r>
              <w:t xml:space="preserve">Separation of interaction and enforcement</w:t>
            </w:r>
          </w:p>
        </w:tc>
        <w:tc>
          <w:tcPr/>
          <w:p>
            <w:pPr>
              <w:pStyle w:val="Compact"/>
              <w:jc w:val="left"/>
            </w:pPr>
            <w:r>
              <w:t xml:space="preserve">The View submits requests while the Controller independently determines the security decision</w:t>
            </w:r>
          </w:p>
        </w:tc>
        <w:tc>
          <w:tcPr/>
          <w:p>
            <w:pPr>
              <w:pStyle w:val="Compact"/>
              <w:jc w:val="left"/>
            </w:pPr>
            <w:r>
              <w:t xml:space="preserve">Prevents user-interface actions from being interpreted directly as trusted authorisation outcomes.</w:t>
            </w:r>
          </w:p>
        </w:tc>
      </w:tr>
    </w:tbl>
    <w:p/>
    <w:p>
      <w:pPr>
        <w:pStyle w:val="TableCaption"/>
      </w:pPr>
      <w:r>
        <w:t xml:space="preserve">Table 5.2: Mapping Between Research Objectives and MVC Components</w:t>
      </w:r>
    </w:p>
    <w:tbl>
      <w:tblPr>
        <w:tblStyle w:val="Table"/>
        <w:tblW w:type="pct" w:w="5000"/>
        <w:tblLayout w:type="fixed"/>
        <w:tblLook w:firstRow="1" w:lastRow="0" w:firstColumn="0" w:lastColumn="0" w:noHBand="0" w:noVBand="0" w:val="0020"/>
        <w:tblCaption w:val="Table 5.2: Mapping Between Research Objectives and MVC Components"/>
      </w:tblPr>
      <w:tblGrid>
        <w:gridCol w:w="1190"/>
        <w:gridCol w:w="1449"/>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Primary MVC Component</w:t>
            </w:r>
          </w:p>
        </w:tc>
        <w:tc>
          <w:tcPr>
            <w:tcBorders>
              <w:bottom w:val="single" w:sz="8" w:space="0" w:color="000000"/>
            </w:tcBorders>
            <w:shd w:val="clear" w:color="auto" w:fill="E7E6E6"/>
            <w:vAlign w:val="center"/>
          </w:tcPr>
          <w:p>
            <w:pPr>
              <w:pStyle w:val="Compact"/>
              <w:jc w:val="left"/>
            </w:pPr>
            <w:r>
              <w:rPr>
                <w:b/>
                <w:bCs/>
              </w:rPr>
              <w:t xml:space="preserve">Core Mechanism</w:t>
            </w:r>
          </w:p>
        </w:tc>
        <w:tc>
          <w:tcPr>
            <w:tcBorders>
              <w:bottom w:val="single" w:sz="8" w:space="0" w:color="000000"/>
            </w:tcBorders>
            <w:shd w:val="clear" w:color="auto" w:fill="E7E6E6"/>
            <w:vAlign w:val="center"/>
          </w:tcPr>
          <w:p>
            <w:pPr>
              <w:pStyle w:val="Compact"/>
              <w:jc w:val="left"/>
            </w:pPr>
            <w:r>
              <w:rPr>
                <w:b/>
                <w:bCs/>
              </w:rPr>
              <w:t xml:space="preserve">Expected Contribution</w:t>
            </w:r>
          </w:p>
        </w:tc>
      </w:tr>
      <w:tr>
        <w:trPr>
          <w:cantSplit/>
        </w:trPr>
        <w:tc>
          <w:tcPr/>
          <w:p>
            <w:pPr>
              <w:pStyle w:val="Compact"/>
              <w:jc w:val="left"/>
            </w:pPr>
            <w:r>
              <w:t xml:space="preserve">RO1</w:t>
            </w:r>
          </w:p>
        </w:tc>
        <w:tc>
          <w:tcPr/>
          <w:p>
            <w:pPr>
              <w:pStyle w:val="Compact"/>
              <w:jc w:val="left"/>
            </w:pPr>
            <w:r>
              <w:t xml:space="preserve">Model</w:t>
            </w:r>
          </w:p>
        </w:tc>
        <w:tc>
          <w:tcPr/>
          <w:p>
            <w:pPr>
              <w:pStyle w:val="Compact"/>
              <w:jc w:val="left"/>
            </w:pPr>
            <w:r>
              <w:t xml:space="preserve">Trust-aware consent representation</w:t>
            </w:r>
          </w:p>
        </w:tc>
        <w:tc>
          <w:tcPr/>
          <w:p>
            <w:pPr>
              <w:pStyle w:val="Compact"/>
              <w:jc w:val="left"/>
            </w:pPr>
            <w:r>
              <w:t xml:space="preserve">Transforms consent from a passive permission record into a structured and evaluable authorisation object.</w:t>
            </w:r>
          </w:p>
        </w:tc>
      </w:tr>
      <w:tr>
        <w:trPr>
          <w:cantSplit/>
        </w:trPr>
        <w:tc>
          <w:tcPr/>
          <w:p>
            <w:pPr>
              <w:pStyle w:val="Compact"/>
              <w:jc w:val="left"/>
            </w:pPr>
            <w:r>
              <w:t xml:space="preserve">RO2</w:t>
            </w:r>
          </w:p>
        </w:tc>
        <w:tc>
          <w:tcPr/>
          <w:p>
            <w:pPr>
              <w:pStyle w:val="Compact"/>
              <w:jc w:val="left"/>
            </w:pPr>
            <w:r>
              <w:t xml:space="preserve">Controller and Model</w:t>
            </w:r>
          </w:p>
        </w:tc>
        <w:tc>
          <w:tcPr/>
          <w:p>
            <w:pPr>
              <w:pStyle w:val="Compact"/>
              <w:jc w:val="left"/>
            </w:pPr>
            <w:r>
              <w:t xml:space="preserve">DID and VC verification</w:t>
            </w:r>
          </w:p>
        </w:tc>
        <w:tc>
          <w:tcPr/>
          <w:p>
            <w:pPr>
              <w:pStyle w:val="Compact"/>
              <w:jc w:val="left"/>
            </w:pPr>
            <w:r>
              <w:t xml:space="preserve">Establishes trustworthy participants while explicitly separating identity from authorisation authority.</w:t>
            </w:r>
          </w:p>
        </w:tc>
      </w:tr>
      <w:tr>
        <w:trPr>
          <w:cantSplit/>
        </w:trPr>
        <w:tc>
          <w:tcPr/>
          <w:p>
            <w:pPr>
              <w:pStyle w:val="Compact"/>
              <w:jc w:val="left"/>
            </w:pPr>
            <w:r>
              <w:t xml:space="preserve">RO3</w:t>
            </w:r>
          </w:p>
        </w:tc>
        <w:tc>
          <w:tcPr/>
          <w:p>
            <w:pPr>
              <w:pStyle w:val="Compact"/>
              <w:jc w:val="left"/>
            </w:pPr>
            <w:r>
              <w:t xml:space="preserve">Controller</w:t>
            </w:r>
          </w:p>
        </w:tc>
        <w:tc>
          <w:tcPr/>
          <w:p>
            <w:pPr>
              <w:pStyle w:val="Compact"/>
              <w:jc w:val="left"/>
            </w:pPr>
            <w:r>
              <w:t xml:space="preserve">Verified multi-party threshold evaluation</w:t>
            </w:r>
          </w:p>
        </w:tc>
        <w:tc>
          <w:tcPr/>
          <w:p>
            <w:pPr>
              <w:pStyle w:val="Compact"/>
              <w:jc w:val="left"/>
            </w:pPr>
            <w:r>
              <w:t xml:space="preserve">Establishes collective trust and prevents unilateral authorisation when multiple approvals are required.</w:t>
            </w:r>
          </w:p>
        </w:tc>
      </w:tr>
      <w:tr>
        <w:trPr>
          <w:cantSplit/>
        </w:trPr>
        <w:tc>
          <w:tcPr/>
          <w:p>
            <w:pPr>
              <w:pStyle w:val="Compact"/>
              <w:jc w:val="left"/>
            </w:pPr>
            <w:r>
              <w:t xml:space="preserve">RO4</w:t>
            </w:r>
          </w:p>
        </w:tc>
        <w:tc>
          <w:tcPr/>
          <w:p>
            <w:pPr>
              <w:pStyle w:val="Compact"/>
              <w:jc w:val="left"/>
            </w:pPr>
            <w:r>
              <w:t xml:space="preserve">Controller and Model</w:t>
            </w:r>
          </w:p>
        </w:tc>
        <w:tc>
          <w:tcPr/>
          <w:p>
            <w:pPr>
              <w:pStyle w:val="Compact"/>
              <w:jc w:val="left"/>
            </w:pPr>
            <w:r>
              <w:t xml:space="preserve">Policy, purpose, and data-scope evaluation</w:t>
            </w:r>
          </w:p>
        </w:tc>
        <w:tc>
          <w:tcPr/>
          <w:p>
            <w:pPr>
              <w:pStyle w:val="Compact"/>
              <w:jc w:val="left"/>
            </w:pPr>
            <w:r>
              <w:t xml:space="preserve">Ensures that valid participants and sufficient approvals remain constrained by the authorised purpose and healthcare data scope.</w:t>
            </w:r>
          </w:p>
        </w:tc>
      </w:tr>
      <w:tr>
        <w:trPr>
          <w:cantSplit/>
        </w:trPr>
        <w:tc>
          <w:tcPr/>
          <w:p>
            <w:pPr>
              <w:pStyle w:val="Compact"/>
              <w:jc w:val="left"/>
            </w:pPr>
            <w:r>
              <w:t xml:space="preserve">RO5</w:t>
            </w:r>
          </w:p>
        </w:tc>
        <w:tc>
          <w:tcPr/>
          <w:p>
            <w:pPr>
              <w:pStyle w:val="Compact"/>
              <w:jc w:val="left"/>
            </w:pPr>
            <w:r>
              <w:t xml:space="preserve">Model and Controller</w:t>
            </w:r>
          </w:p>
        </w:tc>
        <w:tc>
          <w:tcPr/>
          <w:p>
            <w:pPr>
              <w:pStyle w:val="Compact"/>
              <w:jc w:val="left"/>
            </w:pPr>
            <w:r>
              <w:t xml:space="preserve">Temporal validity and consent lifecycle enforcement</w:t>
            </w:r>
          </w:p>
        </w:tc>
        <w:tc>
          <w:tcPr/>
          <w:p>
            <w:pPr>
              <w:pStyle w:val="Compact"/>
              <w:jc w:val="left"/>
            </w:pPr>
            <w:r>
              <w:t xml:space="preserve">Ensures that authorisation remains valid only within its permitted time interval and lifecycle state, and that expiration, revocation, and unauthorised state transitions are correctly enforced.</w:t>
            </w:r>
          </w:p>
        </w:tc>
      </w:tr>
      <w:tr>
        <w:trPr>
          <w:cantSplit/>
        </w:trPr>
        <w:tc>
          <w:tcPr/>
          <w:p>
            <w:pPr>
              <w:pStyle w:val="Compact"/>
              <w:jc w:val="left"/>
            </w:pPr>
            <w:r>
              <w:t xml:space="preserve">RO6</w:t>
            </w:r>
          </w:p>
        </w:tc>
        <w:tc>
          <w:tcPr/>
          <w:p>
            <w:pPr>
              <w:pStyle w:val="Compact"/>
              <w:jc w:val="left"/>
            </w:pPr>
            <w:r>
              <w:t xml:space="preserve">Model, View, and Controller</w:t>
            </w:r>
          </w:p>
        </w:tc>
        <w:tc>
          <w:tcPr/>
          <w:p>
            <w:pPr>
              <w:pStyle w:val="Compact"/>
              <w:jc w:val="left"/>
            </w:pPr>
            <w:r>
              <w:t xml:space="preserve">Formal security analysis and empirical validation</w:t>
            </w:r>
          </w:p>
        </w:tc>
        <w:tc>
          <w:tcPr/>
          <w:p>
            <w:pPr>
              <w:pStyle w:val="Compact"/>
              <w:jc w:val="left"/>
            </w:pPr>
            <w:r>
              <w:t xml:space="preserve">Provides formal assurance of the defined trust and authorisation properties and empirically evaluates whether the implemented framework correctly enforces authorised and unauthorised healthcare data-access decisions.</w:t>
            </w:r>
          </w:p>
        </w:tc>
      </w:tr>
    </w:tbl>
    <w:p>
      <w:pPr>
        <w:pStyle w:val="BodyText"/>
      </w:pPr>
      <w:r>
        <w:t xml:space="preserve">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w:t>
      </w:r>
    </w:p>
    <w:p>
      <w:pPr>
        <w:pStyle w:val="BodyText"/>
      </w:pPr>
      <w:r>
        <w:t xml:space="preserve">Accordingly, the current stage architecture establishes the foundational security core of the research, while the next stage will investigate whether this core can maintain trust dynamically over time, satisfy formally defined security properties, and consistently enforce the complete trust-oriented authorisation model under representative and adversarial healthcare data-sharing conditions.</w:t>
      </w:r>
    </w:p>
    <w:bookmarkEnd w:id="90"/>
    <w:bookmarkEnd w:id="91"/>
    <w:bookmarkStart w:id="135" w:name="proposed-solution"/>
    <w:p>
      <w:pPr>
        <w:pStyle w:val="Heading1"/>
      </w:pPr>
      <w:r>
        <w:t xml:space="preserve">6 Proposed Solution</w:t>
      </w:r>
    </w:p>
    <w:bookmarkStart w:id="98" w:name="trust-centric-consent-model-for-ro1"/>
    <w:p>
      <w:pPr>
        <w:pStyle w:val="Heading2"/>
      </w:pPr>
      <w:r>
        <w:t xml:space="preserve">6.1 Trust-Centric Consent Model for RO1</w:t>
      </w:r>
    </w:p>
    <w:p>
      <w:pPr>
        <w:pStyle w:val="FirstParagraph"/>
      </w:pPr>
      <w:r>
        <w:t xml:space="preserve">RO1 addresses SRQ1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rPr>
          <w:rStyle w:val="OrangeDelete"/>
        </w:rPr>
        <w:t xml:space="preserve">(Eq. (7)),</w:t>
      </w:r>
      <w:r>
        <w:rPr>
          <w:rStyle w:val="OrangeFix"/>
        </w:rPr>
        <w:t xml:space="preserve">(Eq. (7)).</w:t>
      </w:r>
    </w:p>
    <w:p>
      <w:pPr>
        <w:pStyle w:val="BodyText"/>
      </w:pPr>
      <w:r>
        <w:rPr>
          <w:rStyle w:val="OrangeDelete"/>
        </w:rPr>
        <w:t xml:space="preserve">where</w:t>
      </w:r>
      <w:r>
        <w:rPr>
          <w:rStyle w:val="OrangeDelete"/>
        </w:rPr>
        <w:t xml:space="preserve"> </w:t>
      </w:r>
      <w:r>
        <w:rPr>
          <w:rStyle w:val="OrangeDelete"/>
          <w:i/>
          <w:iCs/>
        </w:rPr>
        <w:t xml:space="preserve">I</w:t>
      </w:r>
      <w:r>
        <w:rPr>
          <w:rStyle w:val="OrangeDelete"/>
        </w:rPr>
        <w:t xml:space="preserve"> </w:t>
      </w:r>
      <w:r>
        <w:rPr>
          <w:rStyle w:val="OrangeDelete"/>
        </w:rPr>
        <w:t xml:space="preserve">represents patient and participant identity information</w:t>
      </w:r>
      <w:r>
        <w:rPr>
          <w:rStyle w:val="OrangeFix"/>
        </w:rPr>
        <w:t xml:space="preserve">In Eq. (7),</w:t>
      </w:r>
      <w:r>
        <w:rPr>
          <w:rStyle w:val="OrangeFix"/>
        </w:rPr>
        <w:t xml:space="preserve"> </w:t>
      </w:r>
      <w:r>
        <w:rPr>
          <w:rStyle w:val="OrangeFix"/>
          <w:i/>
          <w:iCs/>
        </w:rPr>
        <w:t xml:space="preserve">I</w:t>
      </w:r>
      <w:r>
        <w:rPr>
          <w:rStyle w:val="OrangeFix"/>
        </w:rPr>
        <w:t xml:space="preserve"> </w:t>
      </w:r>
      <w:r>
        <w:rPr>
          <w:rStyle w:val="OrangeFix"/>
        </w:rPr>
        <w:t xml:space="preserve">represents patient and participant identity information</w:t>
      </w:r>
      <w:r>
        <w:t xml:space="preserve">,</w:t>
      </w:r>
      <w:r>
        <w:t xml:space="preserve"> </w:t>
      </w:r>
      <w:r>
        <w:rPr>
          <w:i/>
          <w:iCs/>
        </w:rPr>
        <w:t xml:space="preserve">A</w:t>
      </w:r>
      <w:r>
        <w:t xml:space="preserve"> </w:t>
      </w:r>
      <w:r>
        <w:t xml:space="preserve">represents authorisation requirements,</w:t>
      </w:r>
      <w:r>
        <w:t xml:space="preserve"> </w:t>
      </w:r>
      <w:r>
        <w:rPr>
          <w:i/>
          <w:iCs/>
        </w:rPr>
        <w:t xml:space="preserve">P</w:t>
      </w:r>
      <w:r>
        <w:t xml:space="preserve"> </w:t>
      </w:r>
      <w:r>
        <w:t xml:space="preserve">represents policy constraints, and</w:t>
      </w:r>
      <w:r>
        <w:t xml:space="preserve"> </w:t>
      </w:r>
      <w:r>
        <w:rPr>
          <w:i/>
          <w:iCs/>
        </w:rPr>
        <w:t xml:space="preserve">E</w:t>
      </w:r>
      <w:r>
        <w:t xml:space="preserve"> </w:t>
      </w:r>
      <w:r>
        <w:t xml:space="preserve">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pStyle w:val="BodyText"/>
      </w:pPr>
      <w:r>
        <w:t xml:space="preserve">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bookmarkStart w:id="95" w:name="ro1-consent-creation-workflow"/>
    <w:p>
      <w:pPr>
        <w:pStyle w:val="Heading3"/>
      </w:pPr>
      <w:r>
        <w:t xml:space="preserve">6.1.1 RO1 Consent Creation Workflow</w:t>
      </w:r>
    </w:p>
    <w:p>
      <w:pPr>
        <w:pStyle w:val="FirstParagraph"/>
      </w:pPr>
      <w:r>
        <w:t xml:space="preserve">The following</w:t>
      </w:r>
      <w:r>
        <w:t xml:space="preserve"> </w:t>
      </w:r>
      <w:r>
        <w:rPr>
          <w:rStyle w:val="OrangeDelete"/>
        </w:rPr>
        <w:t xml:space="preserve">workflow(Figure</w:t>
      </w:r>
      <w:r>
        <w:rPr>
          <w:rStyle w:val="OrangeFix"/>
        </w:rPr>
        <w:t xml:space="preserve">workflow (Figure</w:t>
      </w:r>
      <w:r>
        <w:t xml:space="preserve"> </w:t>
      </w:r>
      <w:r>
        <w:t xml:space="preserve">6.1) describes the creation of a trust-aware consent object. The process begins with a patient request and ends with a structured consent record that can be verified by subsequent authorisation services.</w:t>
      </w:r>
    </w:p>
    <w:p>
      <w:pPr>
        <w:pStyle w:val="BodyText"/>
      </w:pPr>
      <w:r>
        <w:t xml:space="preserve">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This interface is shown in Figure 7.1 (Section 7.2). The implementation also collects the start and expiry time of the consent.</w:t>
      </w:r>
    </w:p>
    <w:p>
      <w:pPr>
        <w:pStyle w:val="CaptionedFigure"/>
      </w:pPr>
      <w:r>
        <w:drawing>
          <wp:inline>
            <wp:extent cx="3593592" cy="7675998"/>
            <wp:effectExtent b="0" l="0" r="0" t="0"/>
            <wp:docPr descr="Figure 6.1: RO1 workflow for trust-centric consent creation" title="" id="93" name="Picture"/>
            <a:graphic>
              <a:graphicData uri="http://schemas.openxmlformats.org/drawingml/2006/picture">
                <pic:pic>
                  <pic:nvPicPr>
                    <pic:cNvPr descr="media_col/fig07.png" id="94" name="Picture"/>
                    <pic:cNvPicPr>
                      <a:picLocks noChangeArrowheads="1" noChangeAspect="1"/>
                    </pic:cNvPicPr>
                  </pic:nvPicPr>
                  <pic:blipFill>
                    <a:blip r:embed="rId92"/>
                    <a:stretch>
                      <a:fillRect/>
                    </a:stretch>
                  </pic:blipFill>
                  <pic:spPr bwMode="auto">
                    <a:xfrm>
                      <a:off x="0" y="0"/>
                      <a:ext cx="3593592" cy="7675998"/>
                    </a:xfrm>
                    <a:prstGeom prst="rect">
                      <a:avLst/>
                    </a:prstGeom>
                    <a:noFill/>
                    <a:ln w="9525">
                      <a:noFill/>
                      <a:headEnd/>
                      <a:tailEnd/>
                    </a:ln>
                  </pic:spPr>
                </pic:pic>
              </a:graphicData>
            </a:graphic>
          </wp:inline>
        </w:drawing>
      </w:r>
    </w:p>
    <w:p>
      <w:pPr>
        <w:pStyle w:val="ImageCaption"/>
      </w:pPr>
      <w:r>
        <w:t xml:space="preserve">Figure 6.1: RO1 workflow for trust-centric consent creation</w:t>
      </w:r>
    </w:p>
    <w:p>
      <w:pPr>
        <w:pStyle w:val="BodyText"/>
      </w:pPr>
      <w: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bookmarkEnd w:id="95"/>
    <w:bookmarkStart w:id="96" w:name="Xc188a3981fd31bd266aea119eb4e582f5917a4c"/>
    <w:p>
      <w:pPr>
        <w:pStyle w:val="Heading3"/>
      </w:pPr>
      <w:r>
        <w:t xml:space="preserve">6.1.2 Procedure for Trust-Aware Consent Creation</w:t>
      </w:r>
    </w:p>
    <w:p>
      <w:pPr>
        <w:pStyle w:val="FirstParagraph"/>
      </w:pPr>
      <w: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Compact"/>
        <w:numPr>
          <w:ilvl w:val="0"/>
          <w:numId w:val="1005"/>
        </w:numPr>
      </w:pPr>
      <w:r>
        <w:rPr>
          <w:b/>
          <w:bCs/>
        </w:rPr>
        <w:t xml:space="preserve">Step 1 – Validate Patient Identity.</w:t>
      </w:r>
    </w:p>
    <w:p>
      <w:pPr>
        <w:pStyle w:val="FirstParagraph"/>
      </w:pPr>
      <w:r>
        <w:t xml:space="preserve">The system first validates the patient’s identity</w:t>
      </w:r>
      <w:r>
        <w:t xml:space="preserve"> </w:t>
      </w:r>
      <w:r>
        <w:rPr>
          <w:i/>
          <w:iCs/>
        </w:rPr>
        <w:t xml:space="preserve">I</w:t>
      </w:r>
      <w:r>
        <w:rPr>
          <w:vertAlign w:val="subscript"/>
        </w:rPr>
        <w:t xml:space="preserve">p</w:t>
      </w:r>
      <w:r>
        <w:t xml:space="preserve">. The identity is checked against the available identity and credential verification mechanisms to ensure that the consent request originates from a recognised patient entity. If</w:t>
      </w:r>
      <w:r>
        <w:t xml:space="preserve"> </w:t>
      </w:r>
      <w:r>
        <w:rPr>
          <w:i/>
          <w:iCs/>
        </w:rPr>
        <w:t xml:space="preserve">I</w:t>
      </w:r>
      <w:r>
        <w:rPr>
          <w:vertAlign w:val="subscript"/>
        </w:rPr>
        <w:t xml:space="preserve">p</w:t>
      </w:r>
      <w:r>
        <w:t xml:space="preserve"> </w:t>
      </w:r>
      <w:r>
        <w:t xml:space="preserve">cannot be successfully validated, the procedure terminates immediately and returns</w:t>
      </w:r>
      <w:r>
        <w:t xml:space="preserve"> </w:t>
      </w:r>
      <w:r>
        <w:rPr>
          <w:i/>
          <w:iCs/>
        </w:rPr>
        <w:t xml:space="preserve">REJECT</w:t>
      </w:r>
      <w:r>
        <w:t xml:space="preserve">.</w:t>
      </w:r>
    </w:p>
    <w:p>
      <w:pPr>
        <w:pStyle w:val="Compact"/>
        <w:numPr>
          <w:ilvl w:val="0"/>
          <w:numId w:val="1006"/>
        </w:numPr>
      </w:pPr>
      <w:r>
        <w:rPr>
          <w:b/>
          <w:bCs/>
        </w:rPr>
        <w:t xml:space="preserve">Step 2 – Validate the Authorised Doctor.</w:t>
      </w:r>
    </w:p>
    <w:p>
      <w:pPr>
        <w:pStyle w:val="FirstParagraph"/>
      </w:pPr>
      <w:r>
        <w:t xml:space="preserve">The system validates the identity and authorisation status of the designated doctor</w:t>
      </w:r>
      <w:r>
        <w:t xml:space="preserve"> </w:t>
      </w:r>
      <w:r>
        <w:rPr>
          <w:i/>
          <w:iCs/>
        </w:rPr>
        <w:t xml:space="preserve">D</w:t>
      </w:r>
      <w:r>
        <w:t xml:space="preserve">.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Compact"/>
        <w:numPr>
          <w:ilvl w:val="0"/>
          <w:numId w:val="1007"/>
        </w:numPr>
      </w:pPr>
      <w:r>
        <w:rPr>
          <w:b/>
          <w:bCs/>
        </w:rPr>
        <w:t xml:space="preserve">Step 3 – Validate Guardian or Proxy Participants.</w:t>
      </w:r>
    </w:p>
    <w:p>
      <w:pPr>
        <w:pStyle w:val="FirstParagraph"/>
      </w:pPr>
      <w:r>
        <w:t xml:space="preserve">If a guardian or proxy is specified, the system validates the guardian set</w:t>
      </w:r>
      <w:r>
        <w:t xml:space="preserve"> </w:t>
      </w:r>
      <w:r>
        <w:rPr>
          <w:i/>
          <w:iCs/>
        </w:rPr>
        <w:t xml:space="preserve">G</w:t>
      </w:r>
      <w:r>
        <w:t xml:space="preserve">.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Compact"/>
        <w:numPr>
          <w:ilvl w:val="0"/>
          <w:numId w:val="1008"/>
        </w:numPr>
      </w:pPr>
      <w:r>
        <w:rPr>
          <w:b/>
          <w:bCs/>
        </w:rPr>
        <w:t xml:space="preserve">Step 4 – Validate the Intended Purpose.</w:t>
      </w:r>
    </w:p>
    <w:p>
      <w:pPr>
        <w:pStyle w:val="FirstParagraph"/>
      </w:pPr>
      <w:r>
        <w:t xml:space="preserve">The intended data-use purpose</w:t>
      </w:r>
      <w:r>
        <w:t xml:space="preserve"> </w:t>
      </w:r>
      <w:r>
        <w:rPr>
          <w:i/>
          <w:iCs/>
        </w:rPr>
        <w:t xml:space="preserve">P</w:t>
      </w:r>
      <w:r>
        <w:rPr>
          <w:vertAlign w:val="subscript"/>
        </w:rPr>
        <w:t xml:space="preserve">u</w:t>
      </w:r>
      <w:r>
        <w:t xml:space="preserve"> </w:t>
      </w:r>
      <w:r>
        <w:t xml:space="preserve">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Compact"/>
        <w:numPr>
          <w:ilvl w:val="0"/>
          <w:numId w:val="1009"/>
        </w:numPr>
      </w:pPr>
      <w:r>
        <w:rPr>
          <w:b/>
          <w:bCs/>
        </w:rPr>
        <w:t xml:space="preserve">Step 5 – Validate the Data Scope.</w:t>
      </w:r>
    </w:p>
    <w:p>
      <w:pPr>
        <w:pStyle w:val="FirstParagraph"/>
      </w:pPr>
      <w:r>
        <w:t xml:space="preserve">The requested data scope</w:t>
      </w:r>
      <w:r>
        <w:t xml:space="preserve"> </w:t>
      </w:r>
      <w:r>
        <w:rPr>
          <w:i/>
          <w:iCs/>
        </w:rPr>
        <w:t xml:space="preserve">S</w:t>
      </w:r>
      <w:r>
        <w:rPr>
          <w:vertAlign w:val="subscript"/>
        </w:rPr>
        <w:t xml:space="preserve">C</w:t>
      </w:r>
      <w:r>
        <w:t xml:space="preserve"> </w:t>
      </w:r>
      <w:r>
        <w:t xml:space="preserve">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pStyle w:val="Compact"/>
        <w:numPr>
          <w:ilvl w:val="0"/>
          <w:numId w:val="1010"/>
        </w:numPr>
      </w:pPr>
      <w:r>
        <w:rPr>
          <w:b/>
          <w:bCs/>
        </w:rPr>
        <w:t xml:space="preserve">Step 6 – Validate the Consent Validity Interval.</w:t>
      </w:r>
    </w:p>
    <w:p>
      <w:pPr>
        <w:pStyle w:val="FirstParagraph"/>
      </w:pPr>
      <w:r>
        <w:t xml:space="preserve">The system validates the temporal validity interval</w:t>
      </w:r>
      <w:r>
        <w:t xml:space="preserve"> </w:t>
      </w:r>
      <w:r>
        <w:rPr>
          <w:i/>
          <w:iCs/>
        </w:rPr>
        <w:t xml:space="preserve">T</w:t>
      </w:r>
      <w:r>
        <w:t xml:space="preserve"> </w:t>
      </w:r>
      <w:r>
        <w:t xml:space="preserve">= (</w:t>
      </w:r>
      <w:r>
        <w:rPr>
          <w:i/>
          <w:iCs/>
        </w:rPr>
        <w:t xml:space="preserve">t</w:t>
      </w:r>
      <w:r>
        <w:rPr>
          <w:vertAlign w:val="subscript"/>
        </w:rPr>
        <w:t xml:space="preserve">s</w:t>
      </w:r>
      <w:r>
        <w:rPr>
          <w:i/>
          <w:iCs/>
        </w:rPr>
        <w:t xml:space="preserve">, t</w:t>
      </w:r>
      <w:r>
        <w:rPr>
          <w:vertAlign w:val="subscript"/>
        </w:rPr>
        <w:t xml:space="preserve">e</w:t>
      </w:r>
      <w:r>
        <w:t xml:space="preserve">), where</w:t>
      </w:r>
      <w:r>
        <w:t xml:space="preserve"> </w:t>
      </w:r>
      <w:r>
        <w:rPr>
          <w:i/>
          <w:iCs/>
        </w:rPr>
        <w:t xml:space="preserve">t</w:t>
      </w:r>
      <w:r>
        <w:rPr>
          <w:vertAlign w:val="subscript"/>
        </w:rPr>
        <w:t xml:space="preserve">s</w:t>
      </w:r>
      <w:r>
        <w:t xml:space="preserve"> </w:t>
      </w:r>
      <w:r>
        <w:t xml:space="preserve">represents the consent start time and</w:t>
      </w:r>
      <w:r>
        <w:t xml:space="preserve"> </w:t>
      </w:r>
      <w:r>
        <w:rPr>
          <w:i/>
          <w:iCs/>
        </w:rPr>
        <w:t xml:space="preserve">t</w:t>
      </w:r>
      <w:r>
        <w:rPr>
          <w:vertAlign w:val="subscript"/>
        </w:rPr>
        <w:t xml:space="preserve">e</w:t>
      </w:r>
      <w:r>
        <w:t xml:space="preserve"> </w:t>
      </w:r>
      <w:r>
        <w:t xml:space="preserve">represents the expiration time. The system verifies that the interval is logically valid by requiring</w:t>
      </w:r>
      <w:r>
        <w:t xml:space="preserve"> </w:t>
      </w:r>
      <w:r>
        <w:rPr>
          <w:rStyle w:val="OrangeDelete"/>
          <w:i/>
          <w:iCs/>
        </w:rPr>
        <w:t xml:space="preserve">t</w:t>
      </w:r>
      <w:r>
        <w:rPr>
          <w:rStyle w:val="OrangeDelete"/>
          <w:vertAlign w:val="subscript"/>
        </w:rPr>
        <w:t xml:space="preserve">e</w:t>
      </w:r>
      <w:r>
        <w:rPr>
          <w:rStyle w:val="OrangeDelete"/>
        </w:rPr>
        <w:t xml:space="preserve"> </w:t>
      </w:r>
      <w:r>
        <w:rPr>
          <w:rStyle w:val="OrangeDelete"/>
          <w:i/>
          <w:iCs/>
        </w:rPr>
        <w:t xml:space="preserve">&gt; t</w:t>
      </w:r>
      <w:r>
        <w:rPr>
          <w:rStyle w:val="OrangeDelete"/>
          <w:vertAlign w:val="subscript"/>
        </w:rPr>
        <w:t xml:space="preserve">s</w:t>
      </w:r>
      <w:r>
        <w:rPr>
          <w:rStyle w:val="OrangeFix"/>
          <w:i/>
          <w:iCs/>
        </w:rPr>
        <w:t xml:space="preserve">t</w:t>
      </w:r>
      <w:r>
        <w:rPr>
          <w:rStyle w:val="OrangeFix"/>
          <w:vertAlign w:val="subscript"/>
        </w:rPr>
        <w:t xml:space="preserve">e</w:t>
      </w:r>
      <w:r>
        <w:rPr>
          <w:rStyle w:val="OrangeFix"/>
        </w:rPr>
        <w:t xml:space="preserve"> </w:t>
      </w:r>
      <w:r>
        <w:rPr>
          <w:rStyle w:val="OrangeFix"/>
        </w:rPr>
        <w:t xml:space="preserve">&gt;</w:t>
      </w:r>
      <w:r>
        <w:rPr>
          <w:rStyle w:val="OrangeFix"/>
        </w:rPr>
        <w:t xml:space="preserve"> </w:t>
      </w:r>
      <w:r>
        <w:rPr>
          <w:rStyle w:val="OrangeFix"/>
          <w:i/>
          <w:iCs/>
        </w:rPr>
        <w:t xml:space="preserve">t</w:t>
      </w:r>
      <w:r>
        <w:rPr>
          <w:rStyle w:val="OrangeFix"/>
          <w:vertAlign w:val="subscript"/>
        </w:rPr>
        <w:t xml:space="preserve">s</w:t>
      </w:r>
      <w:r>
        <w:t xml:space="preserve">. If this condition is not satisfied, the consent request is rejected.</w:t>
      </w:r>
    </w:p>
    <w:p>
      <w:pPr>
        <w:pStyle w:val="Compact"/>
        <w:numPr>
          <w:ilvl w:val="0"/>
          <w:numId w:val="1011"/>
        </w:numPr>
      </w:pPr>
      <w:r>
        <w:rPr>
          <w:b/>
          <w:bCs/>
        </w:rPr>
        <w:t xml:space="preserve">Step 7 – Define the Authorisation Requirement.</w:t>
      </w:r>
    </w:p>
    <w:p>
      <w:pPr>
        <w:pStyle w:val="FirstParagraph"/>
      </w:pPr>
      <w:r>
        <w:t xml:space="preserve">After all input elements have been validated, the system defines the authorisation requirement</w:t>
      </w:r>
      <w:r>
        <w:t xml:space="preserve"> </w:t>
      </w:r>
      <w:r>
        <w:rPr>
          <w:i/>
          <w:iCs/>
        </w:rPr>
        <w:t xml:space="preserve">A</w:t>
      </w:r>
      <w:r>
        <w:t xml:space="preserve">. This requirement specifies the conditions that must subsequently be satisfied before access can be granted. Depending on the system configuration,</w:t>
      </w:r>
      <w:r>
        <w:t xml:space="preserve"> </w:t>
      </w:r>
      <w:r>
        <w:rPr>
          <w:i/>
          <w:iCs/>
        </w:rPr>
        <w:t xml:space="preserve">A</w:t>
      </w:r>
      <w:r>
        <w:t xml:space="preserve"> </w:t>
      </w:r>
      <w:r>
        <w:t xml:space="preserve">may incorporate patient approval, guardian approval, doctor authority, role requirements, multi-party approval, scope restrictions, purpose restrictions, and temporal constraints.</w:t>
      </w:r>
    </w:p>
    <w:p>
      <w:pPr>
        <w:pStyle w:val="Compact"/>
        <w:numPr>
          <w:ilvl w:val="0"/>
          <w:numId w:val="1012"/>
        </w:numPr>
      </w:pPr>
      <w:r>
        <w:rPr>
          <w:b/>
          <w:bCs/>
        </w:rPr>
        <w:t xml:space="preserve">Step 8 – Generate a Unique Consent Identifier.</w:t>
      </w:r>
    </w:p>
    <w:p>
      <w:pPr>
        <w:pStyle w:val="FirstParagraph"/>
      </w:pPr>
      <w:r>
        <w:t xml:space="preserve">The system generates a unique consent identifier</w:t>
      </w:r>
      <w:r>
        <w:t xml:space="preserve"> </w:t>
      </w:r>
      <w:r>
        <w:rPr>
          <w:i/>
          <w:iCs/>
        </w:rPr>
        <w:t xml:space="preserve">id</w:t>
      </w:r>
      <w:r>
        <w:rPr>
          <w:vertAlign w:val="subscript"/>
        </w:rPr>
        <w:t xml:space="preserve">C</w:t>
      </w:r>
      <w:r>
        <w:t xml:space="preserve">. This identifier provides a persistent reference to the consent object and enables subsequent operations, including consent verification, access authorisation, modification, revocation, and audit.</w:t>
      </w:r>
    </w:p>
    <w:p>
      <w:pPr>
        <w:pStyle w:val="Compact"/>
        <w:numPr>
          <w:ilvl w:val="0"/>
          <w:numId w:val="1013"/>
        </w:numPr>
      </w:pPr>
      <w:r>
        <w:rPr>
          <w:b/>
          <w:bCs/>
        </w:rPr>
        <w:t xml:space="preserve">Step 9 – Construct the Consent Object.</w:t>
      </w:r>
    </w:p>
    <w:p>
      <w:pPr>
        <w:pStyle w:val="FirstParagraph"/>
      </w:pPr>
      <w:r>
        <w:t xml:space="preserve">The validated information is combined to construct the consent object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oMath>
      </m:oMathPara>
    </w:p>
    <w:p>
      <w:pPr>
        <w:pStyle w:val="FirstParagraph"/>
      </w:pPr>
      <w:r>
        <w:t xml:space="preserve">where</w:t>
      </w:r>
      <w:r>
        <w:t xml:space="preserve"> </w:t>
      </w:r>
      <w:r>
        <w:rPr>
          <w:i/>
          <w:iCs/>
        </w:rPr>
        <w:t xml:space="preserve">I</w:t>
      </w:r>
      <w:r>
        <w:t xml:space="preserve"> </w:t>
      </w:r>
      <w:r>
        <w:t xml:space="preserve">represents the verified identity information,</w:t>
      </w:r>
      <w:r>
        <w:t xml:space="preserve"> </w:t>
      </w:r>
      <w:r>
        <w:rPr>
          <w:i/>
          <w:iCs/>
        </w:rPr>
        <w:t xml:space="preserve">A</w:t>
      </w:r>
      <w:r>
        <w:t xml:space="preserve"> </w:t>
      </w:r>
      <w:r>
        <w:t xml:space="preserve">represents the authorisation requirements,</w:t>
      </w:r>
      <w:r>
        <w:t xml:space="preserve"> </w:t>
      </w:r>
      <w:r>
        <w:rPr>
          <w:i/>
          <w:iCs/>
        </w:rPr>
        <w:t xml:space="preserve">P</w:t>
      </w:r>
      <w:r>
        <w:t xml:space="preserve"> </w:t>
      </w:r>
      <w:r>
        <w:t xml:space="preserve">represents the consent purpose and associated permissions, and</w:t>
      </w:r>
      <w:r>
        <w:t xml:space="preserve"> </w:t>
      </w:r>
      <w:r>
        <w:rPr>
          <w:i/>
          <w:iCs/>
        </w:rPr>
        <w:t xml:space="preserve">E</w:t>
      </w:r>
      <w:r>
        <w:t xml:space="preserve"> </w:t>
      </w:r>
      <w:r>
        <w:t xml:space="preserve">represents the evidence associated with the consent decision. The resulting object therefore captures not only the patient’s preference but also the evidence required to support subsequent authorisation decisions.</w:t>
      </w:r>
    </w:p>
    <w:p>
      <w:pPr>
        <w:pStyle w:val="Compact"/>
        <w:numPr>
          <w:ilvl w:val="0"/>
          <w:numId w:val="1014"/>
        </w:numPr>
      </w:pPr>
      <w:r>
        <w:rPr>
          <w:b/>
          <w:bCs/>
        </w:rPr>
        <w:t xml:space="preserve">Step 10 – Persist the Consent Object.</w:t>
      </w:r>
    </w:p>
    <w:p>
      <w:pPr>
        <w:pStyle w:val="FirstParagraph"/>
      </w:pPr>
      <w:r>
        <w:t xml:space="preserve">The constructed consent object</w:t>
      </w:r>
      <w:r>
        <w:t xml:space="preserve"> </w:t>
      </w:r>
      <w:r>
        <w:rPr>
          <w:i/>
          <w:iCs/>
        </w:rPr>
        <w:t xml:space="preserve">C</w:t>
      </w:r>
      <w:r>
        <w:t xml:space="preserve"> </w:t>
      </w:r>
      <w:r>
        <w:t xml:space="preserve">is persisted in the consent-management infrastructure. The persistence mechanism provides a stable representation of the consent state that can subsequently be referenced by the access-control and authorisation components.</w:t>
      </w:r>
    </w:p>
    <w:p>
      <w:pPr>
        <w:pStyle w:val="Compact"/>
        <w:numPr>
          <w:ilvl w:val="0"/>
          <w:numId w:val="1015"/>
        </w:numPr>
      </w:pPr>
      <w:r>
        <w:rPr>
          <w:b/>
          <w:bCs/>
        </w:rPr>
        <w:t xml:space="preserve">Step 11 – Record Consent Creation Evidence.</w:t>
      </w:r>
    </w:p>
    <w:p>
      <w:pPr>
        <w:pStyle w:val="FirstParagraph"/>
      </w:pPr>
      <w:r>
        <w:t xml:space="preserve">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Compact"/>
        <w:numPr>
          <w:ilvl w:val="0"/>
          <w:numId w:val="1016"/>
        </w:numPr>
      </w:pPr>
      <w:r>
        <w:rPr>
          <w:b/>
          <w:bCs/>
        </w:rPr>
        <w:t xml:space="preserve">Step 12 – Return the Consent Result.</w:t>
      </w:r>
    </w:p>
    <w:p>
      <w:pPr>
        <w:pStyle w:val="FirstParagraph"/>
      </w:pPr>
      <w:r>
        <w:t xml:space="preserve">If all validation and construction operations are completed successfully, the system returns the newly created consent object</w:t>
      </w:r>
      <w:r>
        <w:t xml:space="preserve"> </w:t>
      </w:r>
      <w:r>
        <w:rPr>
          <w:i/>
          <w:iCs/>
        </w:rPr>
        <w:t xml:space="preserve">C</w:t>
      </w:r>
      <w:r>
        <w:t xml:space="preserve">. If any mandatory validation fails during the process, the system terminates the procedure and returns</w:t>
      </w:r>
      <w:r>
        <w:t xml:space="preserve"> </w:t>
      </w:r>
      <w:r>
        <w:rPr>
          <w:i/>
          <w:iCs/>
        </w:rPr>
        <w:t xml:space="preserve">REJECT</w:t>
      </w:r>
      <w:r>
        <w:t xml:space="preserve">.</w:t>
      </w:r>
    </w:p>
    <w:p>
      <w:pPr>
        <w:pStyle w:val="BodyText"/>
      </w:pPr>
      <w:r>
        <w:t xml:space="preserve">The overall procedure can therefore be represented as a sequential trust establishment process:</w:t>
      </w:r>
      <w:r>
        <w:t xml:space="preserve"> </w:t>
      </w:r>
      <w:r>
        <w:rPr>
          <w:i/>
          <w:iCs/>
        </w:rPr>
        <w:t xml:space="preserve">I</w:t>
      </w:r>
      <w:r>
        <w:rPr>
          <w:vertAlign w:val="subscript"/>
        </w:rPr>
        <w:t xml:space="preserve">p</w:t>
      </w:r>
      <w:r>
        <w:t xml:space="preserve"> </w:t>
      </w:r>
      <w:r>
        <w:t xml:space="preserve">→</w:t>
      </w:r>
      <w:r>
        <w:t xml:space="preserve"> </w:t>
      </w:r>
      <w:r>
        <w:rPr>
          <w:i/>
          <w:iCs/>
        </w:rPr>
        <w:t xml:space="preserve">D</w:t>
      </w:r>
      <w:r>
        <w:t xml:space="preserve"> </w:t>
      </w:r>
      <w:r>
        <w:t xml:space="preserve">→</w:t>
      </w:r>
      <w:r>
        <w:t xml:space="preserve"> </w:t>
      </w:r>
      <w:r>
        <w:rPr>
          <w:i/>
          <w:iCs/>
        </w:rPr>
        <w:t xml:space="preserve">G</w:t>
      </w:r>
      <w:r>
        <w:t xml:space="preserve"> </w:t>
      </w:r>
      <w:r>
        <w:t xml:space="preserve">→</w:t>
      </w:r>
      <w:r>
        <w:t xml:space="preserve"> </w:t>
      </w:r>
      <w:r>
        <w:rPr>
          <w:i/>
          <w:iCs/>
        </w:rPr>
        <w:t xml:space="preserve">P</w:t>
      </w:r>
      <w:r>
        <w:rPr>
          <w:vertAlign w:val="subscript"/>
        </w:rPr>
        <w:t xml:space="preserve">u</w:t>
      </w:r>
      <w:r>
        <w:t xml:space="preserve"> </w:t>
      </w:r>
      <w:r>
        <w:t xml:space="preserve">→</w:t>
      </w:r>
      <w:r>
        <w:t xml:space="preserve"> </w:t>
      </w:r>
      <w:r>
        <w:rPr>
          <w:i/>
          <w:iCs/>
        </w:rPr>
        <w:t xml:space="preserve">S</w:t>
      </w:r>
      <w:r>
        <w:rPr>
          <w:vertAlign w:val="subscript"/>
        </w:rPr>
        <w:t xml:space="preserve">C</w:t>
      </w:r>
      <w:r>
        <w:t xml:space="preserve"> </w:t>
      </w:r>
      <w:r>
        <w:t xml:space="preserve">→</w:t>
      </w:r>
      <w:r>
        <w:t xml:space="preserve"> </w:t>
      </w:r>
      <w:r>
        <w:rPr>
          <w:i/>
          <w:iCs/>
        </w:rPr>
        <w:t xml:space="preserve">T</w:t>
      </w:r>
      <w:r>
        <w:t xml:space="preserve"> </w:t>
      </w:r>
      <w:r>
        <w:t xml:space="preserve">→</w:t>
      </w:r>
      <w:r>
        <w:t xml:space="preserve"> </w:t>
      </w:r>
      <w:r>
        <w:rPr>
          <w:i/>
          <w:iCs/>
        </w:rPr>
        <w:t xml:space="preserve">A</w:t>
      </w:r>
      <w:r>
        <w:t xml:space="preserve"> </w:t>
      </w:r>
      <w:r>
        <w:t xml:space="preserve">→</w:t>
      </w:r>
      <w:r>
        <w:t xml:space="preserve"> </w:t>
      </w:r>
      <w:r>
        <w:rPr>
          <w:i/>
          <w:iCs/>
        </w:rPr>
        <w:t xml:space="preserve">id</w:t>
      </w:r>
      <w:r>
        <w:rPr>
          <w:vertAlign w:val="subscript"/>
        </w:rPr>
        <w:t xml:space="preserve">C</w:t>
      </w:r>
      <w:r>
        <w:t xml:space="preserve"> </w:t>
      </w:r>
      <w:r>
        <w:t xml:space="preserve">→</w:t>
      </w:r>
      <w:r>
        <w:t xml:space="preserve"> </w:t>
      </w:r>
      <w:r>
        <w:rPr>
          <w:rStyle w:val="OrangeDelete"/>
          <w:i/>
          <w:iCs/>
        </w:rPr>
        <w:t xml:space="preserve">C</w:t>
      </w:r>
      <w:r>
        <w:rPr>
          <w:rStyle w:val="OrangeDelete"/>
        </w:rPr>
        <w:t xml:space="preserve"> </w:t>
      </w:r>
      <w:r>
        <w:rPr>
          <w:rStyle w:val="OrangeDelete"/>
        </w:rPr>
        <w:t xml:space="preserve">→</w:t>
      </w:r>
      <w:r>
        <w:rPr>
          <w:rStyle w:val="OrangeDelete"/>
        </w:rPr>
        <w:t xml:space="preserve"> </w:t>
      </w:r>
      <w:r>
        <w:rPr>
          <w:rStyle w:val="OrangeDelete"/>
          <w:i/>
          <w:iCs/>
        </w:rPr>
        <w:t xml:space="preserve">E.</w:t>
      </w:r>
      <w:r>
        <w:rPr>
          <w:rStyle w:val="OrangeDelete"/>
        </w:rPr>
        <w:t xml:space="preserve"> </w:t>
      </w:r>
      <w:r>
        <w:rPr>
          <w:rStyle w:val="OrangeDelete"/>
        </w:rPr>
        <w:t xml:space="preserve">This sequence</w:t>
      </w:r>
      <w:r>
        <w:rPr>
          <w:rStyle w:val="OrangeFix"/>
          <w:i/>
          <w:iCs/>
        </w:rPr>
        <w:t xml:space="preserve">C</w:t>
      </w:r>
      <w:r>
        <w:rPr>
          <w:rStyle w:val="OrangeFix"/>
        </w:rPr>
        <w:t xml:space="preserve"> </w:t>
      </w:r>
      <w:r>
        <w:rPr>
          <w:rStyle w:val="OrangeFix"/>
        </w:rPr>
        <w:t xml:space="preserve">→</w:t>
      </w:r>
      <w:r>
        <w:rPr>
          <w:rStyle w:val="OrangeFix"/>
        </w:rPr>
        <w:t xml:space="preserve"> </w:t>
      </w:r>
      <w:r>
        <w:rPr>
          <w:rStyle w:val="OrangeFix"/>
          <w:i/>
          <w:iCs/>
        </w:rPr>
        <w:t xml:space="preserve">E</w:t>
      </w:r>
      <w:r>
        <w:rPr>
          <w:rStyle w:val="OrangeFix"/>
        </w:rPr>
        <w:t xml:space="preserve">. This sequence</w:t>
      </w:r>
      <w:r>
        <w:t xml:space="preserve"> </w:t>
      </w:r>
      <w:r>
        <w:t xml:space="preserve">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Style w:val="BodyText"/>
      </w:pPr>
      <w:r>
        <w:t xml:space="preserve">In the HALAH prototype (Section 7.2), Steps 1–3 currently perform a syntactic DID check, and credential-based authority validation is scheduled for Stage 2. Step 6 is implemented: the patient interface rejects an expiry time that is not later than the start time.</w:t>
      </w:r>
    </w:p>
    <w:bookmarkEnd w:id="96"/>
    <w:bookmarkStart w:id="97" w:name="algorithm-1-trust-aware-consent-creation"/>
    <w:p>
      <w:pPr>
        <w:pStyle w:val="Heading3"/>
      </w:pPr>
      <w:r>
        <w:rPr>
          <w:rStyle w:val="OrangeFix"/>
        </w:rPr>
        <w:t xml:space="preserve">6.1.3 Algorithm 1: Trust-Aware Consent Creation</w:t>
      </w:r>
    </w:p>
    <w:p>
      <w:pPr>
        <w:pStyle w:val="Algorithm"/>
      </w:pPr>
      <w:r>
        <w:rPr>
          <w:b/>
          <w:bCs/>
        </w:rPr>
        <w:t xml:space="preserve">Algorithm 1</w:t>
      </w:r>
      <w:r>
        <w:t xml:space="preserve"> </w:t>
      </w:r>
      <w:r>
        <w:t xml:space="preserve">Trust-Aware Consent Creation</w:t>
      </w:r>
      <w:r>
        <w:br/>
      </w:r>
      <w:r>
        <w:rPr>
          <w:b/>
          <w:bCs/>
        </w:rPr>
        <w:t xml:space="preserve">Require:</w:t>
      </w:r>
      <w:r>
        <w:t xml:space="preserve"> </w:t>
      </w:r>
      <w:r>
        <w:t xml:space="preserve">Patient identity</w:t>
      </w:r>
      <w:r>
        <w:t xml:space="preserve"> </w:t>
      </w:r>
      <m:oMath>
        <m:sSub>
          <m:e>
            <m:r>
              <m:t>I</m:t>
            </m:r>
          </m:e>
          <m:sub>
            <m:r>
              <m:t>p</m:t>
            </m:r>
          </m:sub>
        </m:sSub>
      </m:oMath>
      <w:r>
        <w:t xml:space="preserve">, authorised doctor</w:t>
      </w:r>
      <w:r>
        <w:t xml:space="preserve"> </w:t>
      </w:r>
      <m:oMath>
        <m:r>
          <m:t>D</m:t>
        </m:r>
      </m:oMath>
      <w:r>
        <w:t xml:space="preserve">, guardian set</w:t>
      </w:r>
      <w:r>
        <w:t xml:space="preserve"> </w:t>
      </w:r>
      <m:oMath>
        <m:r>
          <m:t>G</m:t>
        </m:r>
      </m:oMath>
      <w:r>
        <w:t xml:space="preserve">, purpose</w:t>
      </w:r>
      <w:r>
        <w:t xml:space="preserve"> </w:t>
      </w:r>
      <m:oMath>
        <m:sSub>
          <m:e>
            <m:r>
              <m:t>P</m:t>
            </m:r>
          </m:e>
          <m:sub>
            <m:r>
              <m:t>u</m:t>
            </m:r>
          </m:sub>
        </m:sSub>
      </m:oMath>
      <w:r>
        <w:t xml:space="preserve">, data scope</w:t>
      </w:r>
      <w:r>
        <w:t xml:space="preserve"> </w:t>
      </w:r>
      <m:oMath>
        <m:sSub>
          <m:e>
            <m:r>
              <m:t>S</m:t>
            </m:r>
          </m:e>
          <m:sub>
            <m:r>
              <m:t>C</m:t>
            </m:r>
          </m:sub>
        </m:sSub>
      </m:oMath>
      <w:r>
        <w:t xml:space="preserve">, validity interval</w:t>
      </w:r>
      <w:r>
        <w:t xml:space="preserve"> </w:t>
      </w:r>
      <m:oMath>
        <m:r>
          <m:t>T</m:t>
        </m:r>
      </m:oMath>
      <w:r>
        <w:br/>
      </w:r>
      <w:r>
        <w:rPr>
          <w:b/>
          <w:bCs/>
        </w:rPr>
        <w:t xml:space="preserve">Ensure:</w:t>
      </w:r>
      <w:r>
        <w:t xml:space="preserve"> </w:t>
      </w:r>
      <w:r>
        <w:t xml:space="preserve">Consent object</w:t>
      </w:r>
      <w:r>
        <w:t xml:space="preserve"> </w:t>
      </w:r>
      <m:oMath>
        <m:r>
          <m:t>C</m:t>
        </m:r>
      </m:oMath>
      <w:r>
        <w:t xml:space="preserve"> </w:t>
      </w:r>
      <w:r>
        <w:t xml:space="preserve">or rejection</w:t>
      </w:r>
      <w:r>
        <w:br/>
      </w:r>
      <w:r>
        <w:t xml:space="preserve">1: Validate</w:t>
      </w:r>
      <w:r>
        <w:t xml:space="preserve"> </w:t>
      </w:r>
      <m:oMath>
        <m:sSub>
          <m:e>
            <m:r>
              <m:t>I</m:t>
            </m:r>
          </m:e>
          <m:sub>
            <m:r>
              <m:t>p</m:t>
            </m:r>
          </m:sub>
        </m:sSub>
      </m:oMath>
      <w:r>
        <w:br/>
      </w:r>
      <w:r>
        <w:t xml:space="preserve">2:</w:t>
      </w:r>
      <w:r>
        <w:t xml:space="preserve"> </w:t>
      </w:r>
      <w:r>
        <w:rPr>
          <w:b/>
          <w:bCs/>
        </w:rPr>
        <w:t xml:space="preserve">if</w:t>
      </w:r>
      <w:r>
        <w:t xml:space="preserve"> </w:t>
      </w:r>
      <m:oMath>
        <m:sSub>
          <m:e>
            <m:r>
              <m:t>I</m:t>
            </m:r>
          </m:e>
          <m:sub>
            <m:r>
              <m:t>p</m:t>
            </m:r>
          </m:sub>
        </m:sSub>
      </m:oMath>
      <w:r>
        <w:t xml:space="preserve"> </w:t>
      </w:r>
      <w:r>
        <w:t xml:space="preserve">is invalid</w:t>
      </w:r>
      <w:r>
        <w:t xml:space="preserve"> </w:t>
      </w:r>
      <w:r>
        <w:rPr>
          <w:b/>
          <w:bCs/>
        </w:rPr>
        <w:t xml:space="preserve">then</w:t>
      </w:r>
      <w:r>
        <w:br/>
      </w:r>
      <w:r>
        <w:t xml:space="preserve">    3:</w:t>
      </w:r>
      <w:r>
        <w:t xml:space="preserve"> </w:t>
      </w:r>
      <w:r>
        <w:rPr>
          <w:b/>
          <w:bCs/>
        </w:rPr>
        <w:t xml:space="preserve">return</w:t>
      </w:r>
      <w:r>
        <w:t xml:space="preserve"> </w:t>
      </w:r>
      <w:r>
        <w:t xml:space="preserve">REJECT</w:t>
      </w:r>
      <w:r>
        <w:br/>
      </w:r>
      <w:r>
        <w:t xml:space="preserve">4:</w:t>
      </w:r>
      <w:r>
        <w:t xml:space="preserve"> </w:t>
      </w:r>
      <w:r>
        <w:rPr>
          <w:b/>
          <w:bCs/>
        </w:rPr>
        <w:t xml:space="preserve">end if</w:t>
      </w:r>
      <w:r>
        <w:br/>
      </w:r>
      <w:r>
        <w:t xml:space="preserve">5: Validate authorised doctor</w:t>
      </w:r>
      <w:r>
        <w:t xml:space="preserve"> </w:t>
      </w:r>
      <m:oMath>
        <m:r>
          <m:t>D</m:t>
        </m:r>
      </m:oMath>
      <w:r>
        <w:br/>
      </w:r>
      <w:r>
        <w:t xml:space="preserve">6: Validate guardian set</w:t>
      </w:r>
      <w:r>
        <w:t xml:space="preserve"> </w:t>
      </w:r>
      <m:oMath>
        <m:r>
          <m:t>G</m:t>
        </m:r>
      </m:oMath>
      <w:r>
        <w:br/>
      </w:r>
      <w:r>
        <w:t xml:space="preserve">7: Validate purpose</w:t>
      </w:r>
      <w:r>
        <w:t xml:space="preserve"> </w:t>
      </w:r>
      <m:oMath>
        <m:sSub>
          <m:e>
            <m:r>
              <m:t>P</m:t>
            </m:r>
          </m:e>
          <m:sub>
            <m:r>
              <m:t>u</m:t>
            </m:r>
          </m:sub>
        </m:sSub>
      </m:oMath>
      <w:r>
        <w:br/>
      </w:r>
      <w:r>
        <w:t xml:space="preserve">8: Validate data scope</w:t>
      </w:r>
      <w:r>
        <w:t xml:space="preserve"> </w:t>
      </w:r>
      <m:oMath>
        <m:sSub>
          <m:e>
            <m:r>
              <m:t>S</m:t>
            </m:r>
          </m:e>
          <m:sub>
            <m:r>
              <m:t>C</m:t>
            </m:r>
          </m:sub>
        </m:sSub>
      </m:oMath>
      <w:r>
        <w:br/>
      </w:r>
      <w:r>
        <w:t xml:space="preserve">9: Validate validity interval</w:t>
      </w:r>
      <w:r>
        <w:t xml:space="preserve"> </w:t>
      </w:r>
      <m:oMath>
        <m:r>
          <m:t>T</m:t>
        </m:r>
        <m:r>
          <m:rPr>
            <m:sty m:val="p"/>
          </m:rPr>
          <m:t>=</m:t>
        </m:r>
        <m:r>
          <m:rPr>
            <m:sty m:val="p"/>
          </m:rPr>
          <m:t>(</m:t>
        </m:r>
        <m:sSub>
          <m:e>
            <m:r>
              <m:t>t</m:t>
            </m:r>
          </m:e>
          <m:sub>
            <m:r>
              <m:t>s</m:t>
            </m:r>
          </m:sub>
        </m:sSub>
        <m:r>
          <m:rPr>
            <m:sty m:val="p"/>
          </m:rPr>
          <m:t>,</m:t>
        </m:r>
        <m:sSub>
          <m:e>
            <m:r>
              <m:t>t</m:t>
            </m:r>
          </m:e>
          <m:sub>
            <m:r>
              <m:t>e</m:t>
            </m:r>
          </m:sub>
        </m:sSub>
        <m:r>
          <m:rPr>
            <m:sty m:val="p"/>
          </m:rPr>
          <m:t>)</m:t>
        </m:r>
      </m:oMath>
      <w:r>
        <w:br/>
      </w:r>
      <w:r>
        <w:t xml:space="preserve">10:</w:t>
      </w:r>
      <w:r>
        <w:t xml:space="preserve"> </w:t>
      </w:r>
      <w:r>
        <w:rPr>
          <w:b/>
          <w:bCs/>
        </w:rPr>
        <w:t xml:space="preserve">if</w:t>
      </w:r>
      <w:r>
        <w:t xml:space="preserve"> </w:t>
      </w:r>
      <m:oMath>
        <m:sSub>
          <m:e>
            <m:r>
              <m:t>t</m:t>
            </m:r>
          </m:e>
          <m:sub>
            <m:r>
              <m:t>e</m:t>
            </m:r>
          </m:sub>
        </m:sSub>
        <m:r>
          <m:rPr>
            <m:sty m:val="p"/>
          </m:rPr>
          <m:t>≤</m:t>
        </m:r>
        <m:sSub>
          <m:e>
            <m:r>
              <m:t>t</m:t>
            </m:r>
          </m:e>
          <m:sub>
            <m:r>
              <m:t>s</m:t>
            </m:r>
          </m:sub>
        </m:sSub>
      </m:oMath>
      <w:r>
        <w:t xml:space="preserve"> </w:t>
      </w:r>
      <w:r>
        <w:rPr>
          <w:b/>
          <w:bCs/>
        </w:rPr>
        <w:t xml:space="preserve">then</w:t>
      </w:r>
      <w:r>
        <w:br/>
      </w:r>
      <w:r>
        <w:t xml:space="preserve">    11:</w:t>
      </w:r>
      <w:r>
        <w:t xml:space="preserve"> </w:t>
      </w:r>
      <w:r>
        <w:rPr>
          <w:b/>
          <w:bCs/>
        </w:rPr>
        <w:t xml:space="preserve">return</w:t>
      </w:r>
      <w:r>
        <w:t xml:space="preserve"> </w:t>
      </w:r>
      <w:r>
        <w:t xml:space="preserve">REJECT</w:t>
      </w:r>
      <w:r>
        <w:br/>
      </w:r>
      <w:r>
        <w:t xml:space="preserve">12:</w:t>
      </w:r>
      <w:r>
        <w:t xml:space="preserve"> </w:t>
      </w:r>
      <w:r>
        <w:rPr>
          <w:b/>
          <w:bCs/>
        </w:rPr>
        <w:t xml:space="preserve">end if</w:t>
      </w:r>
      <w:r>
        <w:br/>
      </w:r>
      <w:r>
        <w:t xml:space="preserve">13: Define authorisation requirement</w:t>
      </w:r>
      <w:r>
        <w:t xml:space="preserve"> </w:t>
      </w:r>
      <m:oMath>
        <m:r>
          <m:t>A</m:t>
        </m:r>
      </m:oMath>
      <w:r>
        <w:br/>
      </w:r>
      <w:r>
        <w:t xml:space="preserve">14: Generate consent identifier</w:t>
      </w:r>
      <w:r>
        <w:t xml:space="preserve"> </w:t>
      </w:r>
      <m:oMath>
        <m:r>
          <m:t>i</m:t>
        </m:r>
        <m:sSub>
          <m:e>
            <m:r>
              <m:t>d</m:t>
            </m:r>
          </m:e>
          <m:sub>
            <m:r>
              <m:t>C</m:t>
            </m:r>
          </m:sub>
        </m:sSub>
      </m:oMath>
      <w:r>
        <w:br/>
      </w:r>
      <w:r>
        <w:t xml:space="preserve">15: Construct</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br/>
      </w:r>
      <w:r>
        <w:t xml:space="preserve">16: Persist</w:t>
      </w:r>
      <w:r>
        <w:t xml:space="preserve"> </w:t>
      </w:r>
      <m:oMath>
        <m:r>
          <m:t>C</m:t>
        </m:r>
      </m:oMath>
      <w:r>
        <w:br/>
      </w:r>
      <w:r>
        <w:t xml:space="preserve">17: Record consent creation evidence</w:t>
      </w:r>
      <w:r>
        <w:br/>
      </w:r>
      <w:r>
        <w:t xml:space="preserve">18:</w:t>
      </w:r>
      <w:r>
        <w:t xml:space="preserve"> </w:t>
      </w:r>
      <w:r>
        <w:rPr>
          <w:b/>
          <w:bCs/>
        </w:rPr>
        <w:t xml:space="preserve">return</w:t>
      </w:r>
      <w:r>
        <w:t xml:space="preserve"> </w:t>
      </w:r>
      <m:oMath>
        <m:r>
          <m:t>C</m:t>
        </m:r>
      </m:oMath>
    </w:p>
    <w:p>
      <w:pPr>
        <w:pStyle w:val="OrangeDeletePara"/>
      </w:pPr>
      <w:r>
        <w:rPr>
          <w:rStyle w:val="OrangeDelete"/>
        </w:rPr>
        <w:t xml:space="preserve">6.1.3 Algorithm 1: Trust-Aware Consent Creation (heading moved above the algorithm)</w:t>
      </w:r>
    </w:p>
    <w:p>
      <w:pPr>
        <w:pStyle w:val="BodyText"/>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pStyle w:val="BodyText"/>
      </w:pPr>
      <w:r>
        <w:t xml:space="preserve">The algorithm also establishes the relationship between RO1 and the remaining objectives. RO2 uses the identity and authority information contained in</w:t>
      </w:r>
      <w:r>
        <w:t xml:space="preserve"> </w:t>
      </w:r>
      <w:r>
        <w:rPr>
          <w:i/>
          <w:iCs/>
        </w:rPr>
        <w:t xml:space="preserve">I</w:t>
      </w:r>
      <w:r>
        <w:t xml:space="preserve">, RO3 evaluates the authorisation requirements contained in</w:t>
      </w:r>
      <w:r>
        <w:t xml:space="preserve"> </w:t>
      </w:r>
      <w:r>
        <w:rPr>
          <w:i/>
          <w:iCs/>
        </w:rPr>
        <w:t xml:space="preserve">A</w:t>
      </w:r>
      <w:r>
        <w:t xml:space="preserve">, and RO4 evaluates the policy constraints contained in</w:t>
      </w:r>
      <w:r>
        <w:t xml:space="preserve"> </w:t>
      </w:r>
      <w:r>
        <w:rPr>
          <w:i/>
          <w:iCs/>
        </w:rPr>
        <w:t xml:space="preserve">P</w:t>
      </w:r>
      <w:r>
        <w:t xml:space="preserve">. Consequently, RO1 provides the data structure upon which the subsequent trust-oriented authorisation mechanisms operate.</w:t>
      </w:r>
    </w:p>
    <w:bookmarkEnd w:id="97"/>
    <w:bookmarkEnd w:id="98"/>
    <w:bookmarkStart w:id="105" w:name="X3b93ca6d6b3213e06bf792918c5f2e554ad197d"/>
    <w:p>
      <w:pPr>
        <w:pStyle w:val="Heading2"/>
      </w:pPr>
      <w:r>
        <w:t xml:space="preserve">6.2 Decentralised Identity and Authority Trust for RO2</w:t>
      </w:r>
    </w:p>
    <w:p>
      <w:pPr>
        <w:pStyle w:val="FirstParagraph"/>
      </w:pPr>
      <w:r>
        <w:t xml:space="preserve">RO2 addresses SRQ2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The central principle of RO2 is that identity is not authorisation (Eq. (1)).</w:t>
      </w:r>
    </w:p>
    <w:p>
      <w:pPr>
        <w:pStyle w:val="BodyText"/>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w:t>
      </w:r>
      <w:r>
        <w:t xml:space="preserve"> </w:t>
      </w:r>
      <w:r>
        <w:rPr>
          <w:rStyle w:val="OrangeDelete"/>
        </w:rPr>
        <w:t xml:space="preserve">The identity verification condition is given by Eq. (8),</w:t>
      </w:r>
      <w:r>
        <w:rPr>
          <w:rStyle w:val="OrangeFix"/>
        </w:rPr>
        <w:t xml:space="preserve">The identity verification condition is given by Eq. (8).</w:t>
      </w:r>
    </w:p>
    <w:p>
      <w:pPr>
        <w:pStyle w:val="BodyText"/>
      </w:pPr>
      <w:r>
        <w:rPr>
          <w:rStyle w:val="OrangeDelete"/>
        </w:rPr>
        <w:t xml:space="preserve">where</w:t>
      </w:r>
      <w:r>
        <w:rPr>
          <w:rStyle w:val="OrangeDelete"/>
        </w:rPr>
        <w:t xml:space="preserve"> </w:t>
      </w:r>
      <w:r>
        <w:rPr>
          <w:rStyle w:val="OrangeDelete"/>
          <w:i/>
          <w:iCs/>
        </w:rPr>
        <w:t xml:space="preserve">u</w:t>
      </w:r>
      <w:r>
        <w:rPr>
          <w:rStyle w:val="OrangeDelete"/>
        </w:rPr>
        <w:t xml:space="preserve"> </w:t>
      </w:r>
      <w:r>
        <w:rPr>
          <w:rStyle w:val="OrangeDelete"/>
        </w:rPr>
        <w:t xml:space="preserve">is the requesting participant.</w:t>
      </w:r>
      <w:r>
        <w:rPr>
          <w:rStyle w:val="OrangeFix"/>
        </w:rPr>
        <w:t xml:space="preserve">In Eq. (8),</w:t>
      </w:r>
      <w:r>
        <w:rPr>
          <w:rStyle w:val="OrangeFix"/>
        </w:rPr>
        <w:t xml:space="preserve"> </w:t>
      </w:r>
      <w:r>
        <w:rPr>
          <w:rStyle w:val="OrangeFix"/>
          <w:i/>
          <w:iCs/>
        </w:rPr>
        <w:t xml:space="preserve">u</w:t>
      </w:r>
      <w:r>
        <w:rPr>
          <w:rStyle w:val="OrangeFix"/>
        </w:rPr>
        <w:t xml:space="preserve"> </w:t>
      </w:r>
      <w:r>
        <w:rPr>
          <w:rStyle w:val="OrangeFix"/>
        </w:rPr>
        <w:t xml:space="preserve">is the requesting participant.</w:t>
      </w:r>
      <w:r>
        <w:t xml:space="preserve"> </w:t>
      </w:r>
      <w:r>
        <w:t xml:space="preserve">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bookmarkStart w:id="102" w:name="X40f13bf52dbab2e76356a6753423f1584e794fb"/>
    <w:p>
      <w:pPr>
        <w:pStyle w:val="Heading3"/>
      </w:pPr>
      <w:r>
        <w:t xml:space="preserve">6.2.1 RO2 Identity and Authority Verification Workflow</w:t>
      </w:r>
    </w:p>
    <w:p>
      <w:pPr>
        <w:pStyle w:val="FirstParagraph"/>
      </w:pPr>
      <w:r>
        <w:t xml:space="preserve">The workflow, shown in Figure 6.2,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w:t>
      </w:r>
    </w:p>
    <w:p>
      <w:pPr>
        <w:pStyle w:val="CaptionedFigure"/>
      </w:pPr>
      <w:r>
        <w:drawing>
          <wp:inline>
            <wp:extent cx="3008376" cy="7679143"/>
            <wp:effectExtent b="0" l="0" r="0" t="0"/>
            <wp:docPr descr="Figure 6.2: RO2 workflow for decentralised identity and authority verification" title="" id="100" name="Picture"/>
            <a:graphic>
              <a:graphicData uri="http://schemas.openxmlformats.org/drawingml/2006/picture">
                <pic:pic>
                  <pic:nvPicPr>
                    <pic:cNvPr descr="media_col/fig08.png" id="101" name="Picture"/>
                    <pic:cNvPicPr>
                      <a:picLocks noChangeArrowheads="1" noChangeAspect="1"/>
                    </pic:cNvPicPr>
                  </pic:nvPicPr>
                  <pic:blipFill>
                    <a:blip r:embed="rId99"/>
                    <a:stretch>
                      <a:fillRect/>
                    </a:stretch>
                  </pic:blipFill>
                  <pic:spPr bwMode="auto">
                    <a:xfrm>
                      <a:off x="0" y="0"/>
                      <a:ext cx="3008376" cy="7679143"/>
                    </a:xfrm>
                    <a:prstGeom prst="rect">
                      <a:avLst/>
                    </a:prstGeom>
                    <a:noFill/>
                    <a:ln w="9525">
                      <a:noFill/>
                      <a:headEnd/>
                      <a:tailEnd/>
                    </a:ln>
                  </pic:spPr>
                </pic:pic>
              </a:graphicData>
            </a:graphic>
          </wp:inline>
        </w:drawing>
      </w:r>
    </w:p>
    <w:p>
      <w:pPr>
        <w:pStyle w:val="ImageCaption"/>
      </w:pPr>
      <w:r>
        <w:t xml:space="preserve">Figure 6.2: RO2 workflow for decentralised identity and authority verification</w:t>
      </w:r>
    </w:p>
    <w:p>
      <w:pPr>
        <w:pStyle w:val="BodyText"/>
      </w:pPr>
      <w:r>
        <w:t xml:space="preserve">In the HALAH prototype, identity and authority are established in two separate steps. First, the guardian’s DID is checked for syntactic validity. Second, the guardian’s approval is expressed as an EIP-712 typed-data signature [42] over the consent identifier, and the approval is accepted only if the address recovered from the signature matches the address bound to that guardian DID; an approval that fails this check is rejected and does not count towards the threshold (Section 7.3). For demonstration, guardian keys are derived deterministically from the DID; in deployment, each guardian would sign the same typed data with their own wallet. Full W3C Verifiable Credential verification [44, 45], covering issuer, proof, credential status and validity period (Steps 3–4 below), is specified here but has not yet been implemented and is scheduled for Stage 2 (CA3). The prototype therefore already separates</w:t>
      </w:r>
      <w:r>
        <w:t xml:space="preserve"> </w:t>
      </w:r>
      <w:r>
        <w:rPr>
          <w:i/>
          <w:iCs/>
        </w:rPr>
        <w:t xml:space="preserve">who</w:t>
      </w:r>
      <w:r>
        <w:t xml:space="preserve"> </w:t>
      </w:r>
      <w:r>
        <w:t xml:space="preserve">the guardian is from</w:t>
      </w:r>
      <w:r>
        <w:t xml:space="preserve"> </w:t>
      </w:r>
      <w:r>
        <w:rPr>
          <w:i/>
          <w:iCs/>
        </w:rPr>
        <w:t xml:space="preserve">whether</w:t>
      </w:r>
      <w:r>
        <w:t xml:space="preserve"> </w:t>
      </w:r>
      <w:r>
        <w:t xml:space="preserve">their approval is cryptographically valid, but does not yet verify credential-based authority.</w:t>
      </w:r>
    </w:p>
    <w:p>
      <w:pPr>
        <w:pStyle w:val="BodyText"/>
      </w:pPr>
      <w:r>
        <w:t xml:space="preserve">The output of RO2 is not an access-grant decision. It is a verified identity and authority result that can be consumed by RO3 and RO4. This separation prevents a participant from obtaining access merely by presenting a valid identity credential.</w:t>
      </w:r>
    </w:p>
    <w:bookmarkEnd w:id="102"/>
    <w:bookmarkStart w:id="103" w:name="Xa8518206654d9551af54c2e3b82ee4012d4395c"/>
    <w:p>
      <w:pPr>
        <w:pStyle w:val="Heading3"/>
      </w:pPr>
      <w:r>
        <w:t xml:space="preserve">6.2.2 Procedure for DID and VC Identity and Authority Verification</w:t>
      </w:r>
    </w:p>
    <w:p>
      <w:pPr>
        <w:pStyle w:val="FirstParagraph"/>
      </w:pPr>
      <w: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w:t>
      </w:r>
      <w:r>
        <w:t xml:space="preserve"> </w:t>
      </w:r>
      <w:r>
        <w:rPr>
          <w:i/>
          <w:iCs/>
        </w:rPr>
        <w:t xml:space="preserve">u</w:t>
      </w:r>
      <w:r>
        <w:t xml:space="preserve">, the identity information represented by the DID, the attributes contained in the associated VC, and the authority requirements specified by the consent object</w:t>
      </w:r>
      <w:r>
        <w:t xml:space="preserve"> </w:t>
      </w:r>
      <w:r>
        <w:rPr>
          <w:i/>
          <w:iCs/>
        </w:rPr>
        <w:t xml:space="preserve">C</w:t>
      </w:r>
      <w:r>
        <w:t xml:space="preserve">. The procedure consists of the following steps.</w:t>
      </w:r>
    </w:p>
    <w:p>
      <w:pPr>
        <w:pStyle w:val="Compact"/>
        <w:numPr>
          <w:ilvl w:val="0"/>
          <w:numId w:val="1017"/>
        </w:numPr>
      </w:pPr>
      <w:r>
        <w:rPr>
          <w:b/>
          <w:bCs/>
        </w:rPr>
        <w:t xml:space="preserve">Step 1 – Resolve the Participant’s DID.</w:t>
      </w:r>
    </w:p>
    <w:p>
      <w:pPr>
        <w:pStyle w:val="FirstParagraph"/>
      </w:pPr>
      <w:r>
        <w:t xml:space="preserve">The system first resolves the decentralised identifier (DID) associated with participant</w:t>
      </w:r>
      <w:r>
        <w:t xml:space="preserve"> </w:t>
      </w:r>
      <w:r>
        <w:rPr>
          <w:i/>
          <w:iCs/>
        </w:rPr>
        <w:t xml:space="preserve">u</w:t>
      </w:r>
      <w:r>
        <w:t xml:space="preserve">. DID resolution retrieves the DID-related information required to establish the participant’s decentralised identity and identify the corresponding DID document. If the DID cannot be successfully resolved, the verification process terminates and returns</w:t>
      </w:r>
      <w:r>
        <w:t xml:space="preserve"> </w:t>
      </w:r>
      <w:r>
        <w:rPr>
          <w:i/>
          <w:iCs/>
        </w:rPr>
        <w:t xml:space="preserve">INVALID</w:t>
      </w:r>
      <w:r>
        <w:t xml:space="preserve">.</w:t>
      </w:r>
    </w:p>
    <w:p>
      <w:pPr>
        <w:pStyle w:val="Compact"/>
        <w:numPr>
          <w:ilvl w:val="0"/>
          <w:numId w:val="1018"/>
        </w:numPr>
      </w:pPr>
      <w:r>
        <w:rPr>
          <w:b/>
          <w:bCs/>
        </w:rPr>
        <w:t xml:space="preserve">Step 2 – Verify the DID Document.</w:t>
      </w:r>
    </w:p>
    <w:p>
      <w:pPr>
        <w:pStyle w:val="FirstParagraph"/>
      </w:pPr>
      <w:r>
        <w:t xml:space="preserve">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w:t>
      </w:r>
      <w:r>
        <w:t xml:space="preserve"> </w:t>
      </w:r>
      <w:r>
        <w:rPr>
          <w:i/>
          <w:iCs/>
        </w:rPr>
        <w:t xml:space="preserve">INVALID</w:t>
      </w:r>
      <w:r>
        <w:t xml:space="preserve"> </w:t>
      </w:r>
      <w:r>
        <w:t xml:space="preserve">outcome.</w:t>
      </w:r>
    </w:p>
    <w:p>
      <w:pPr>
        <w:pStyle w:val="Compact"/>
        <w:numPr>
          <w:ilvl w:val="0"/>
          <w:numId w:val="1019"/>
        </w:numPr>
      </w:pPr>
      <w:r>
        <w:rPr>
          <w:b/>
          <w:bCs/>
        </w:rPr>
        <w:t xml:space="preserve">Step 3 – Retrieve the Participant’s Verifiable Credential.</w:t>
      </w:r>
    </w:p>
    <w:p>
      <w:pPr>
        <w:pStyle w:val="FirstParagraph"/>
      </w:pPr>
      <w:r>
        <w:t xml:space="preserve">The system retrieves the verifiable credential (VC) associated with participant</w:t>
      </w:r>
      <w:r>
        <w:t xml:space="preserve"> </w:t>
      </w:r>
      <w:r>
        <w:rPr>
          <w:i/>
          <w:iCs/>
        </w:rPr>
        <w:t xml:space="preserve">u</w:t>
      </w:r>
      <w:r>
        <w:t xml:space="preserve">. The VC provides machine-verifiable claims concerning the participant, such as professional role, organisational affiliation, or delegated authority. If an appropriate VC cannot be retrieved, the participant cannot establish the required authority and the verification process returns</w:t>
      </w:r>
      <w:r>
        <w:t xml:space="preserve"> </w:t>
      </w:r>
      <w:r>
        <w:rPr>
          <w:i/>
          <w:iCs/>
        </w:rPr>
        <w:t xml:space="preserve">INVALID</w:t>
      </w:r>
      <w:r>
        <w:t xml:space="preserve">.</w:t>
      </w:r>
    </w:p>
    <w:p>
      <w:pPr>
        <w:pStyle w:val="Compact"/>
        <w:numPr>
          <w:ilvl w:val="0"/>
          <w:numId w:val="1020"/>
        </w:numPr>
      </w:pPr>
      <w:r>
        <w:rPr>
          <w:b/>
          <w:bCs/>
        </w:rPr>
        <w:t xml:space="preserve">Step 4 – Verify the Verifiable Credential.</w:t>
      </w:r>
    </w:p>
    <w:p>
      <w:pPr>
        <w:pStyle w:val="FirstParagraph"/>
      </w:pPr>
      <w:r>
        <w:t xml:space="preserve">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w:t>
      </w:r>
    </w:p>
    <w:p>
      <w:pPr>
        <w:pStyle w:val="BodyText"/>
      </w:pPr>
      <w:r>
        <w:t xml:space="preserve">Formally, the credential can be considered valid only when</w:t>
      </w:r>
    </w:p>
    <w:p>
      <w:pPr>
        <w:pStyle w:val="BodyText"/>
      </w:pPr>
      <m:oMathPara>
        <m:oMathParaPr>
          <m:jc m:val="center"/>
        </m:oMathParaPr>
        <m:oMath>
          <m:r>
            <m:t>V</m:t>
          </m:r>
          <m:sSub>
            <m:e>
              <m:r>
                <m:t>C</m:t>
              </m:r>
            </m:e>
            <m:sub>
              <m:r>
                <m:t>v</m:t>
              </m:r>
              <m:r>
                <m:t>a</m:t>
              </m:r>
              <m:r>
                <m:t>l</m:t>
              </m:r>
              <m:r>
                <m:t>i</m:t>
              </m:r>
              <m:r>
                <m:t>d</m:t>
              </m:r>
            </m:sub>
          </m:sSub>
          <m:r>
            <m:rPr>
              <m:sty m:val="p"/>
            </m:rPr>
            <m:t>=</m:t>
          </m:r>
          <m:r>
            <m:t>S</m:t>
          </m:r>
          <m:r>
            <m:t>i</m:t>
          </m:r>
          <m:sSub>
            <m:e>
              <m:r>
                <m:t>g</m:t>
              </m:r>
            </m:e>
            <m:sub>
              <m:r>
                <m:t>V</m:t>
              </m:r>
              <m:r>
                <m:t>C</m:t>
              </m:r>
            </m:sub>
          </m:sSub>
          <m:r>
            <m:rPr>
              <m:sty m:val="p"/>
            </m:rPr>
            <m:t>∧</m:t>
          </m:r>
          <m:r>
            <m:t>I</m:t>
          </m:r>
          <m:r>
            <m:t>s</m:t>
          </m:r>
          <m:r>
            <m:t>s</m:t>
          </m:r>
          <m:r>
            <m:t>u</m:t>
          </m:r>
          <m:r>
            <m:t>e</m:t>
          </m:r>
          <m:sSub>
            <m:e>
              <m:r>
                <m:t>r</m:t>
              </m:r>
            </m:e>
            <m:sub>
              <m:r>
                <m:t>v</m:t>
              </m:r>
              <m:r>
                <m:t>a</m:t>
              </m:r>
              <m:r>
                <m:t>l</m:t>
              </m:r>
              <m:r>
                <m:t>i</m:t>
              </m:r>
              <m:r>
                <m:t>d</m:t>
              </m:r>
            </m:sub>
          </m:sSub>
          <m:r>
            <m:rPr>
              <m:sty m:val="p"/>
            </m:rPr>
            <m:t>∧</m:t>
          </m:r>
          <m:r>
            <m:t>S</m:t>
          </m:r>
          <m:r>
            <m:t>u</m:t>
          </m:r>
          <m:r>
            <m:t>b</m:t>
          </m:r>
          <m:r>
            <m:t>j</m:t>
          </m:r>
          <m:r>
            <m:t>e</m:t>
          </m:r>
          <m:r>
            <m:t>c</m:t>
          </m:r>
          <m:sSub>
            <m:e>
              <m:r>
                <m:t>t</m:t>
              </m:r>
            </m:e>
            <m:sub>
              <m:r>
                <m:t>m</m:t>
              </m:r>
              <m:r>
                <m:t>a</m:t>
              </m:r>
              <m:r>
                <m:t>t</m:t>
              </m:r>
              <m:r>
                <m:t>c</m:t>
              </m:r>
              <m:r>
                <m:t>h</m:t>
              </m:r>
            </m:sub>
          </m:sSub>
          <m:r>
            <m:rPr>
              <m:sty m:val="p"/>
            </m:rPr>
            <m:t>∧</m:t>
          </m:r>
          <m:r>
            <m:t>T</m:t>
          </m:r>
          <m:r>
            <m:t>i</m:t>
          </m:r>
          <m:r>
            <m:t>m</m:t>
          </m:r>
          <m:sSub>
            <m:e>
              <m:r>
                <m:t>e</m:t>
              </m:r>
            </m:e>
            <m:sub>
              <m:r>
                <m:t>v</m:t>
              </m:r>
              <m:r>
                <m:t>a</m:t>
              </m:r>
              <m:r>
                <m:t>l</m:t>
              </m:r>
              <m:r>
                <m:t>i</m:t>
              </m:r>
              <m:r>
                <m:t>d</m:t>
              </m:r>
            </m:sub>
          </m:sSub>
          <m:r>
            <m:rPr>
              <m:sty m:val="p"/>
            </m:rPr>
            <m:t>.</m:t>
          </m:r>
        </m:oMath>
      </m:oMathPara>
    </w:p>
    <w:p>
      <w:pPr>
        <w:pStyle w:val="FirstParagraph"/>
      </w:pPr>
      <w:r>
        <w:t xml:space="preserve">If any of these conditions fails, the verification process returns</w:t>
      </w:r>
      <w:r>
        <w:t xml:space="preserve"> </w:t>
      </w:r>
      <w:r>
        <w:rPr>
          <w:i/>
          <w:iCs/>
        </w:rPr>
        <w:t xml:space="preserve">INVALID</w:t>
      </w:r>
      <w:r>
        <w:t xml:space="preserve">. In the HALAH prototype, this step is specified but not yet implemented (Section 7.13).</w:t>
      </w:r>
    </w:p>
    <w:p>
      <w:pPr>
        <w:pStyle w:val="Compact"/>
        <w:numPr>
          <w:ilvl w:val="0"/>
          <w:numId w:val="1021"/>
        </w:numPr>
      </w:pPr>
      <w:r>
        <w:rPr>
          <w:b/>
          <w:bCs/>
        </w:rPr>
        <w:t xml:space="preserve">Step 5 – Extract Role and Authority Claims.</w:t>
      </w:r>
    </w:p>
    <w:p>
      <w:pPr>
        <w:pStyle w:val="FirstParagraph"/>
      </w:pPr>
      <w:r>
        <w:t xml:space="preserve">Once the VC has been successfully verified, the system extracts the relevant role and authority claims associated with participant</w:t>
      </w:r>
      <w:r>
        <w:t xml:space="preserve"> </w:t>
      </w:r>
      <w:r>
        <w:rPr>
          <w:i/>
          <w:iCs/>
        </w:rPr>
        <w:t xml:space="preserve">u</w:t>
      </w:r>
      <w:r>
        <w:t xml:space="preserve">.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Compact"/>
        <w:numPr>
          <w:ilvl w:val="0"/>
          <w:numId w:val="1022"/>
        </w:numPr>
      </w:pPr>
      <w:r>
        <w:rPr>
          <w:b/>
          <w:bCs/>
        </w:rPr>
        <w:t xml:space="preserve">Step 6 – Compare Authority Claims with Consent Requirements.</w:t>
      </w:r>
    </w:p>
    <w:p>
      <w:pPr>
        <w:pStyle w:val="FirstParagraph"/>
      </w:pPr>
      <w:r>
        <w:t xml:space="preserve">The extracted role and authority claims are compared against the authorisation requirements</w:t>
      </w:r>
      <w:r>
        <w:t xml:space="preserve"> </w:t>
      </w:r>
      <w:r>
        <w:rPr>
          <w:i/>
          <w:iCs/>
        </w:rPr>
        <w:t xml:space="preserve">A</w:t>
      </w:r>
      <w:r>
        <w:t xml:space="preserve"> </w:t>
      </w:r>
      <w:r>
        <w:t xml:space="preserve">specified in the consent object</w:t>
      </w:r>
      <w:r>
        <w:t xml:space="preserve"> </w:t>
      </w:r>
      <w:r>
        <w:rPr>
          <w:i/>
          <w:iCs/>
        </w:rPr>
        <w:t xml:space="preserve">C</w:t>
      </w:r>
      <w:r>
        <w:t xml:space="preserve">. The purpose of this step is to ensure that possession of a valid identity or credential is not automatically interpreted as permission to access healthcare information.</w:t>
      </w:r>
    </w:p>
    <w:p>
      <w:pPr>
        <w:pStyle w:val="BodyText"/>
      </w:pPr>
      <w:r>
        <w:t xml:space="preserve">The authority verification condition can therefore be represented as</w:t>
      </w:r>
    </w:p>
    <w:p>
      <w:pPr>
        <w:pStyle w:val="BodyText"/>
      </w:pPr>
      <m:oMathPara>
        <m:oMathParaPr>
          <m:jc m:val="center"/>
        </m:oMathParaPr>
        <m:oMath>
          <m:r>
            <m:t>A</m:t>
          </m:r>
          <m:r>
            <m:t>u</m:t>
          </m:r>
          <m:r>
            <m:t>t</m:t>
          </m:r>
          <m:r>
            <m:t>h</m:t>
          </m:r>
          <m:r>
            <m:t>o</m:t>
          </m:r>
          <m:r>
            <m:t>r</m:t>
          </m:r>
          <m:r>
            <m:t>i</m:t>
          </m:r>
          <m:r>
            <m:t>t</m:t>
          </m:r>
          <m:r>
            <m:t>y</m:t>
          </m:r>
          <m:r>
            <m:rPr>
              <m:sty m:val="p"/>
            </m:rPr>
            <m:t>(</m:t>
          </m:r>
          <m:r>
            <m:t>u</m:t>
          </m:r>
          <m:r>
            <m:rPr>
              <m:sty m:val="p"/>
            </m:rPr>
            <m:t>,</m:t>
          </m:r>
          <m:r>
            <m:t>C</m:t>
          </m:r>
          <m:r>
            <m:rPr>
              <m:sty m:val="p"/>
            </m:rPr>
            <m:t>)</m:t>
          </m:r>
          <m:r>
            <m:rPr>
              <m:sty m:val="p"/>
            </m:rPr>
            <m:t>=</m:t>
          </m:r>
          <m:r>
            <m:t>C</m:t>
          </m:r>
          <m:r>
            <m:t>l</m:t>
          </m:r>
          <m:r>
            <m:t>a</m:t>
          </m:r>
          <m:r>
            <m:t>i</m:t>
          </m:r>
          <m:r>
            <m:t>m</m:t>
          </m:r>
          <m:r>
            <m:t>s</m:t>
          </m:r>
          <m:r>
            <m:rPr>
              <m:sty m:val="p"/>
            </m:rPr>
            <m:t>(</m:t>
          </m:r>
          <m:r>
            <m:t>u</m:t>
          </m:r>
          <m:r>
            <m:rPr>
              <m:sty m:val="p"/>
            </m:rPr>
            <m:t>)</m:t>
          </m:r>
          <m:r>
            <m:rPr>
              <m:sty m:val="p"/>
            </m:rPr>
            <m:t>⊨</m:t>
          </m:r>
          <m:sSub>
            <m:e>
              <m:r>
                <m:t>A</m:t>
              </m:r>
            </m:e>
            <m:sub>
              <m:r>
                <m:t>C</m:t>
              </m:r>
            </m:sub>
          </m:sSub>
          <m:r>
            <m:rPr>
              <m:sty m:val="p"/>
            </m:rPr>
            <m:t>,</m:t>
          </m:r>
        </m:oMath>
      </m:oMathPara>
    </w:p>
    <w:p>
      <w:pPr>
        <w:pStyle w:val="FirstParagraph"/>
      </w:pPr>
      <w:r>
        <w:t xml:space="preserve">where</w:t>
      </w:r>
      <w:r>
        <w:t xml:space="preserve"> </w:t>
      </w:r>
      <w:r>
        <w:rPr>
          <w:i/>
          <w:iCs/>
        </w:rPr>
        <w:t xml:space="preserve">Claims</w:t>
      </w:r>
      <w:r>
        <w:t xml:space="preserve">(</w:t>
      </w:r>
      <w:r>
        <w:rPr>
          <w:i/>
          <w:iCs/>
        </w:rPr>
        <w:t xml:space="preserve">u</w:t>
      </w:r>
      <w:r>
        <w:t xml:space="preserve">) denotes the verified claims associated with participant</w:t>
      </w:r>
      <w:r>
        <w:t xml:space="preserve"> </w:t>
      </w:r>
      <w:r>
        <w:rPr>
          <w:i/>
          <w:iCs/>
        </w:rPr>
        <w:t xml:space="preserve">u</w:t>
      </w:r>
      <w:r>
        <w:t xml:space="preserve">, and</w:t>
      </w:r>
      <w:r>
        <w:t xml:space="preserve"> </w:t>
      </w:r>
      <w:r>
        <w:rPr>
          <w:i/>
          <w:iCs/>
        </w:rPr>
        <w:t xml:space="preserve">A</w:t>
      </w:r>
      <w:r>
        <w:rPr>
          <w:vertAlign w:val="subscript"/>
        </w:rPr>
        <w:t xml:space="preserve">C</w:t>
      </w:r>
      <w:r>
        <w:t xml:space="preserve"> </w:t>
      </w:r>
      <w:r>
        <w:t xml:space="preserve">denotes the authority requirements defined by consent object</w:t>
      </w:r>
      <w:r>
        <w:t xml:space="preserve"> </w:t>
      </w:r>
      <w:r>
        <w:rPr>
          <w:i/>
          <w:iCs/>
        </w:rPr>
        <w:t xml:space="preserve">C</w:t>
      </w:r>
      <w:r>
        <w:t xml:space="preserve">.</w:t>
      </w:r>
    </w:p>
    <w:p>
      <w:pPr>
        <w:pStyle w:val="BodyText"/>
      </w:pPr>
      <w:r>
        <w:t xml:space="preserve">If the participant’s claims do not satisfy the required authority conditions, the system returns</w:t>
      </w:r>
      <w:r>
        <w:t xml:space="preserve"> </w:t>
      </w:r>
      <w:r>
        <w:rPr>
          <w:i/>
          <w:iCs/>
        </w:rPr>
        <w:t xml:space="preserve">INVALID</w:t>
      </w:r>
      <w:r>
        <w:t xml:space="preserve">.</w:t>
      </w:r>
    </w:p>
    <w:p>
      <w:pPr>
        <w:pStyle w:val="Compact"/>
        <w:numPr>
          <w:ilvl w:val="0"/>
          <w:numId w:val="1023"/>
        </w:numPr>
      </w:pPr>
      <w:r>
        <w:rPr>
          <w:b/>
          <w:bCs/>
        </w:rPr>
        <w:t xml:space="preserve">Step 7 – Establish Identity–Authority Binding.</w:t>
      </w:r>
    </w:p>
    <w:p>
      <w:pPr>
        <w:pStyle w:val="FirstParagraph"/>
      </w:pPr>
      <w:r>
        <w:t xml:space="preserve">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Compact"/>
        <w:numPr>
          <w:ilvl w:val="0"/>
          <w:numId w:val="1024"/>
        </w:numPr>
      </w:pPr>
      <w:r>
        <w:rPr>
          <w:b/>
          <w:bCs/>
        </w:rPr>
        <w:t xml:space="preserve">Step 8 – Record Identity and Authority Evidence.</w:t>
      </w:r>
    </w:p>
    <w:p>
      <w:pPr>
        <w:pStyle w:val="FirstParagraph"/>
      </w:pPr>
      <w:r>
        <w:t xml:space="preserve">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Compact"/>
        <w:numPr>
          <w:ilvl w:val="0"/>
          <w:numId w:val="1025"/>
        </w:numPr>
      </w:pPr>
      <w:r>
        <w:rPr>
          <w:b/>
          <w:bCs/>
        </w:rPr>
        <w:t xml:space="preserve">Step 9 – Return the Verification Result.</w:t>
      </w:r>
    </w:p>
    <w:p>
      <w:pPr>
        <w:pStyle w:val="FirstParagraph"/>
      </w:pPr>
      <w:r>
        <w:t xml:space="preserve">If DID resolution, DID verification, VC retrieval, VC verification, and authority validation are all successfully completed, the system returns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Otherwise, the procedure terminates at the first failed mandatory verification condition and returns</w:t>
      </w:r>
    </w:p>
    <w:p>
      <w:pPr>
        <w:pStyle w:val="BodyText"/>
      </w:pPr>
      <m:oMathPara>
        <m:oMathParaPr>
          <m:jc m:val="center"/>
        </m:oMathParaPr>
        <m:oMath>
          <m:sSub>
            <m:e>
              <m:r>
                <m:t>V</m:t>
              </m:r>
            </m:e>
            <m:sub>
              <m:r>
                <m:t>I</m:t>
              </m:r>
            </m:sub>
          </m:sSub>
          <m:r>
            <m:rPr>
              <m:sty m:val="p"/>
            </m:rPr>
            <m:t>(</m:t>
          </m:r>
          <m:r>
            <m:t>u</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verification process can therefore be represented as:</w:t>
      </w:r>
    </w:p>
    <w:p>
      <w:pPr>
        <w:pStyle w:val="BodyText"/>
      </w:pPr>
      <m:oMathPara>
        <m:oMathParaPr>
          <m:jc m:val="center"/>
        </m:oMathParaPr>
        <m:oMath>
          <m:m>
            <m:mPr>
              <m:baseJc m:val="center"/>
              <m:plcHide m:val="on"/>
              <m:mcs>
                <m:mc>
                  <m:mcPr>
                    <m:count m:val="1"/>
                    <m:mcJc m:val="left"/>
                  </m:mcPr>
                </m:mc>
              </m:mcs>
            </m:mPr>
            <m:mr>
              <m:e>
                <m:r>
                  <m:t>D</m:t>
                </m:r>
                <m:r>
                  <m:t>I</m:t>
                </m:r>
                <m:sSub>
                  <m:e>
                    <m:r>
                      <m:t>D</m:t>
                    </m:r>
                  </m:e>
                  <m:sub>
                    <m:r>
                      <m:t>r</m:t>
                    </m:r>
                    <m:r>
                      <m:t>e</m:t>
                    </m:r>
                    <m:r>
                      <m:t>s</m:t>
                    </m:r>
                    <m:r>
                      <m:t>o</m:t>
                    </m:r>
                    <m:r>
                      <m:t>l</m:t>
                    </m:r>
                    <m:r>
                      <m:t>v</m:t>
                    </m:r>
                    <m:r>
                      <m:t>e</m:t>
                    </m:r>
                  </m:sub>
                </m:sSub>
                <m:r>
                  <m:rPr>
                    <m:sty m:val="p"/>
                  </m:rPr>
                  <m:t>→</m:t>
                </m:r>
                <m:r>
                  <m:t>D</m:t>
                </m:r>
                <m:r>
                  <m:t>I</m:t>
                </m:r>
                <m:sSub>
                  <m:e>
                    <m:r>
                      <m:t>D</m:t>
                    </m:r>
                  </m:e>
                  <m:sub>
                    <m:r>
                      <m:t>v</m:t>
                    </m:r>
                    <m:r>
                      <m:t>e</m:t>
                    </m:r>
                    <m:r>
                      <m:t>r</m:t>
                    </m:r>
                    <m:r>
                      <m:t>i</m:t>
                    </m:r>
                    <m:r>
                      <m:t>f</m:t>
                    </m:r>
                    <m:r>
                      <m:t>y</m:t>
                    </m:r>
                  </m:sub>
                </m:sSub>
                <m:r>
                  <m:rPr>
                    <m:sty m:val="p"/>
                  </m:rPr>
                  <m:t>→</m:t>
                </m:r>
                <m:r>
                  <m:t>V</m:t>
                </m:r>
                <m:sSub>
                  <m:e>
                    <m:r>
                      <m:t>C</m:t>
                    </m:r>
                  </m:e>
                  <m:sub>
                    <m:r>
                      <m:t>r</m:t>
                    </m:r>
                    <m:r>
                      <m:t>e</m:t>
                    </m:r>
                    <m:r>
                      <m:t>t</m:t>
                    </m:r>
                    <m:r>
                      <m:t>r</m:t>
                    </m:r>
                    <m:r>
                      <m:t>i</m:t>
                    </m:r>
                    <m:r>
                      <m:t>e</m:t>
                    </m:r>
                    <m:r>
                      <m:t>v</m:t>
                    </m:r>
                    <m:r>
                      <m:t>e</m:t>
                    </m:r>
                  </m:sub>
                </m:sSub>
                <m:r>
                  <m:rPr>
                    <m:sty m:val="p"/>
                  </m:rPr>
                  <m:t>→</m:t>
                </m:r>
                <m:r>
                  <m:t>V</m:t>
                </m:r>
                <m:sSub>
                  <m:e>
                    <m:r>
                      <m:t>C</m:t>
                    </m:r>
                  </m:e>
                  <m:sub>
                    <m:r>
                      <m:t>v</m:t>
                    </m:r>
                    <m:r>
                      <m:t>e</m:t>
                    </m:r>
                    <m:r>
                      <m:t>r</m:t>
                    </m:r>
                    <m:r>
                      <m:t>i</m:t>
                    </m:r>
                    <m:r>
                      <m:t>f</m:t>
                    </m:r>
                    <m:r>
                      <m:t>y</m:t>
                    </m:r>
                  </m:sub>
                </m:sSub>
              </m:e>
            </m:mr>
            <m:mr>
              <m:e>
                <m:r>
                  <m:rPr>
                    <m:sty m:val="p"/>
                  </m:rPr>
                  <m:t>→</m:t>
                </m:r>
                <m:r>
                  <m:t>C</m:t>
                </m:r>
                <m:r>
                  <m:t>l</m:t>
                </m:r>
                <m:r>
                  <m:t>a</m:t>
                </m:r>
                <m:r>
                  <m:t>i</m:t>
                </m:r>
                <m:r>
                  <m:t>m</m:t>
                </m:r>
                <m:sSub>
                  <m:e>
                    <m:r>
                      <m:t>s</m:t>
                    </m:r>
                  </m:e>
                  <m:sub>
                    <m:r>
                      <m:t>e</m:t>
                    </m:r>
                    <m:r>
                      <m:t>x</m:t>
                    </m:r>
                    <m:r>
                      <m:t>t</m:t>
                    </m:r>
                    <m:r>
                      <m:t>r</m:t>
                    </m:r>
                    <m:r>
                      <m:t>a</m:t>
                    </m:r>
                    <m:r>
                      <m:t>c</m:t>
                    </m:r>
                    <m:r>
                      <m:t>t</m:t>
                    </m:r>
                  </m:sub>
                </m:sSub>
                <m:r>
                  <m:rPr>
                    <m:sty m:val="p"/>
                  </m:rPr>
                  <m:t>→</m:t>
                </m:r>
                <m:r>
                  <m:t>A</m:t>
                </m:r>
                <m:r>
                  <m:t>u</m:t>
                </m:r>
                <m:r>
                  <m:t>t</m:t>
                </m:r>
                <m:r>
                  <m:t>h</m:t>
                </m:r>
                <m:r>
                  <m:t>o</m:t>
                </m:r>
                <m:r>
                  <m:t>r</m:t>
                </m:r>
                <m:r>
                  <m:t>i</m:t>
                </m:r>
                <m:r>
                  <m:t>t</m:t>
                </m:r>
                <m:sSub>
                  <m:e>
                    <m:r>
                      <m:t>y</m:t>
                    </m:r>
                  </m:e>
                  <m:sub>
                    <m:r>
                      <m:t>m</m:t>
                    </m:r>
                    <m:r>
                      <m:t>a</m:t>
                    </m:r>
                    <m:r>
                      <m:t>t</m:t>
                    </m:r>
                    <m:r>
                      <m:t>c</m:t>
                    </m:r>
                    <m:r>
                      <m:t>h</m:t>
                    </m:r>
                  </m:sub>
                </m:sSub>
                <m:r>
                  <m:rPr>
                    <m:sty m:val="p"/>
                  </m:rPr>
                  <m:t>→</m:t>
                </m:r>
                <m:r>
                  <m:t>E</m:t>
                </m:r>
                <m:r>
                  <m:t>v</m:t>
                </m:r>
                <m:r>
                  <m:t>i</m:t>
                </m:r>
                <m:r>
                  <m:t>d</m:t>
                </m:r>
                <m:r>
                  <m:t>e</m:t>
                </m:r>
                <m:r>
                  <m:t>n</m:t>
                </m:r>
                <m:r>
                  <m:t>c</m:t>
                </m:r>
                <m:sSub>
                  <m:e>
                    <m:r>
                      <m:t>e</m:t>
                    </m:r>
                  </m:e>
                  <m:sub>
                    <m:r>
                      <m:t>r</m:t>
                    </m:r>
                    <m:r>
                      <m:t>e</m:t>
                    </m:r>
                    <m:r>
                      <m:t>c</m:t>
                    </m:r>
                    <m:r>
                      <m:t>o</m:t>
                    </m:r>
                    <m:r>
                      <m:t>r</m:t>
                    </m:r>
                    <m:r>
                      <m:t>d</m:t>
                    </m:r>
                  </m:sub>
                </m:sSub>
                <m:r>
                  <m:rPr>
                    <m:sty m:val="p"/>
                  </m:rPr>
                  <m:t>→</m:t>
                </m:r>
                <m:sSub>
                  <m:e>
                    <m:r>
                      <m:t>V</m:t>
                    </m:r>
                  </m:e>
                  <m:sub>
                    <m:r>
                      <m:t>I</m:t>
                    </m:r>
                  </m:sub>
                </m:sSub>
                <m:r>
                  <m:rPr>
                    <m:sty m:val="p"/>
                  </m:rPr>
                  <m:t>(</m:t>
                </m:r>
                <m:r>
                  <m:t>u</m:t>
                </m:r>
                <m:r>
                  <m:rPr>
                    <m:sty m:val="p"/>
                  </m:rPr>
                  <m:t>)</m:t>
                </m:r>
                <m:r>
                  <m:rPr>
                    <m:sty m:val="p"/>
                  </m:rPr>
                  <m:t>.</m:t>
                </m:r>
              </m:e>
            </m:mr>
          </m:m>
        </m:oMath>
      </m:oMathPara>
    </w:p>
    <w:p>
      <w:pPr>
        <w:pStyle w:val="FirstParagraph"/>
      </w:pPr>
      <w:r>
        <w:t xml:space="preserve">The procedure establishes an important separation between</w:t>
      </w:r>
      <w:r>
        <w:t xml:space="preserve"> </w:t>
      </w:r>
      <w:r>
        <w:rPr>
          <w:i/>
          <w:iCs/>
        </w:rPr>
        <w:t xml:space="preserve">identity verification</w:t>
      </w:r>
      <w:r>
        <w:t xml:space="preserve"> </w:t>
      </w:r>
      <w:r>
        <w:t xml:space="preserve">and</w:t>
      </w:r>
      <w:r>
        <w:t xml:space="preserve"> </w:t>
      </w:r>
      <w:r>
        <w:rPr>
          <w:i/>
          <w:iCs/>
        </w:rPr>
        <w:t xml:space="preserve">authority verification</w:t>
      </w:r>
      <w:r>
        <w:t xml:space="preserve">.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w:t>
      </w:r>
      <w:r>
        <w:t xml:space="preserve"> </w:t>
      </w:r>
      <w:r>
        <w:rPr>
          <w:i/>
          <w:iCs/>
        </w:rPr>
        <w:t xml:space="preserve">C</w:t>
      </w:r>
      <w:r>
        <w:t xml:space="preserve">. Consequently, the procedure can be interpreted as a two-layer verification mechanism</w:t>
      </w:r>
    </w:p>
    <w:p>
      <w:pPr>
        <w:pStyle w:val="BodyText"/>
      </w:pPr>
      <m:oMathPara>
        <m:oMathParaPr>
          <m:jc m:val="center"/>
        </m:oMathParaPr>
        <m:oMath>
          <m:r>
            <m:t>I</m:t>
          </m:r>
          <m:r>
            <m:t>d</m:t>
          </m:r>
          <m:r>
            <m:t>e</m:t>
          </m:r>
          <m:r>
            <m:t>n</m:t>
          </m:r>
          <m:r>
            <m:t>t</m:t>
          </m:r>
          <m:r>
            <m:t>i</m:t>
          </m:r>
          <m:r>
            <m:t>t</m:t>
          </m:r>
          <m:r>
            <m:t>y</m:t>
          </m:r>
          <m:r>
            <m:rPr>
              <m:sty m:val="p"/>
            </m:rPr>
            <m:t>(</m:t>
          </m:r>
          <m:r>
            <m:t>u</m:t>
          </m:r>
          <m:r>
            <m:rPr>
              <m:sty m:val="p"/>
            </m:rPr>
            <m:t>)</m:t>
          </m:r>
          <m:r>
            <m:rPr>
              <m:sty m:val="p"/>
            </m:rPr>
            <m:t>∧</m:t>
          </m:r>
          <m:r>
            <m:t>C</m:t>
          </m:r>
          <m:r>
            <m:t>r</m:t>
          </m:r>
          <m:r>
            <m:t>e</m:t>
          </m:r>
          <m:r>
            <m:t>d</m:t>
          </m:r>
          <m:r>
            <m:t>e</m:t>
          </m:r>
          <m:r>
            <m:t>n</m:t>
          </m:r>
          <m:r>
            <m:t>t</m:t>
          </m:r>
          <m:r>
            <m:t>i</m:t>
          </m:r>
          <m:r>
            <m:t>a</m:t>
          </m:r>
          <m:r>
            <m:t>l</m:t>
          </m:r>
          <m:r>
            <m:t>V</m:t>
          </m:r>
          <m:r>
            <m:t>a</m:t>
          </m:r>
          <m:r>
            <m:t>l</m:t>
          </m:r>
          <m:r>
            <m:t>i</m:t>
          </m:r>
          <m:r>
            <m:t>d</m:t>
          </m:r>
          <m:r>
            <m:t>i</m:t>
          </m:r>
          <m:r>
            <m:t>t</m:t>
          </m:r>
          <m:r>
            <m:t>y</m:t>
          </m:r>
          <m:r>
            <m:rPr>
              <m:sty m:val="p"/>
            </m:rPr>
            <m:t>(</m:t>
          </m:r>
          <m:r>
            <m:t>u</m:t>
          </m:r>
          <m:r>
            <m:rPr>
              <m:sty m:val="p"/>
            </m:rPr>
            <m:t>)</m:t>
          </m:r>
          <m:r>
            <m:rPr>
              <m:sty m:val="p"/>
            </m:rPr>
            <m:t>∧</m:t>
          </m:r>
          <m:r>
            <m:t>A</m:t>
          </m:r>
          <m:r>
            <m:t>u</m:t>
          </m:r>
          <m:r>
            <m:t>t</m:t>
          </m:r>
          <m:r>
            <m:t>h</m:t>
          </m:r>
          <m:r>
            <m:t>o</m:t>
          </m:r>
          <m:r>
            <m:t>r</m:t>
          </m:r>
          <m:r>
            <m:t>i</m:t>
          </m:r>
          <m:r>
            <m:t>t</m:t>
          </m:r>
          <m:r>
            <m:t>y</m:t>
          </m:r>
          <m:r>
            <m:rPr>
              <m:sty m:val="p"/>
            </m:rPr>
            <m:t>(</m:t>
          </m:r>
          <m:r>
            <m:t>u</m:t>
          </m:r>
          <m:r>
            <m:rPr>
              <m:sty m:val="p"/>
            </m:rPr>
            <m:t>,</m:t>
          </m:r>
          <m:r>
            <m:t>C</m:t>
          </m:r>
          <m:r>
            <m:rPr>
              <m:sty m:val="p"/>
            </m:rPr>
            <m:t>)</m:t>
          </m:r>
          <m:r>
            <m:rPr>
              <m:sty m:val="p"/>
            </m:rPr>
            <m:t>⇒</m:t>
          </m:r>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bookmarkEnd w:id="103"/>
    <w:bookmarkStart w:id="104" w:name="Xc4f55700a7f258d13fe1dec9692def6c68b650d"/>
    <w:p>
      <w:pPr>
        <w:pStyle w:val="Heading3"/>
      </w:pPr>
      <w:r>
        <w:t xml:space="preserve">6.2.3 Algorithm 2: DID and VC Identity and Authority Verification</w:t>
      </w:r>
    </w:p>
    <w:p>
      <w:pPr>
        <w:pStyle w:val="FirstParagrap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pStyle w:val="BodyText"/>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Style w:val="Algorithm"/>
      </w:pPr>
      <w:r>
        <w:rPr>
          <w:b/>
          <w:bCs/>
        </w:rPr>
        <w:t xml:space="preserve">Algorithm 2</w:t>
      </w:r>
      <w:r>
        <w:t xml:space="preserve"> </w:t>
      </w:r>
      <w:r>
        <w:t xml:space="preserve">DID and VC Identity and Authority Verification</w:t>
      </w:r>
      <w:r>
        <w:br/>
      </w:r>
      <w:r>
        <w:rPr>
          <w:b/>
          <w:bCs/>
        </w:rPr>
        <w:t xml:space="preserve">Require:</w:t>
      </w:r>
      <w:r>
        <w:t xml:space="preserve"> </w:t>
      </w:r>
      <w:r>
        <w:t xml:space="preserve">Participant</w:t>
      </w:r>
      <w:r>
        <w:t xml:space="preserve"> </w:t>
      </w:r>
      <m:oMath>
        <m:r>
          <m:t>u</m:t>
        </m:r>
      </m:oMath>
      <w:r>
        <w:t xml:space="preserve">, consent object</w:t>
      </w:r>
      <w:r>
        <w:t xml:space="preserve"> </w:t>
      </w:r>
      <m:oMath>
        <m:r>
          <m:t>C</m:t>
        </m:r>
      </m:oMath>
      <w:r>
        <w:br/>
      </w:r>
      <w:r>
        <w:rPr>
          <w:b/>
          <w:bCs/>
        </w:rPr>
        <w:t xml:space="preserve">Ensure:</w:t>
      </w:r>
      <w:r>
        <w:t xml:space="preserve"> </w:t>
      </w:r>
      <w:r>
        <w:t xml:space="preserve">Verification result</w:t>
      </w:r>
      <w:r>
        <w:t xml:space="preserve"> </w:t>
      </w:r>
      <m:oMath>
        <m:sSub>
          <m:e>
            <m:r>
              <m:t>V</m:t>
            </m:r>
          </m:e>
          <m:sub>
            <m:r>
              <m:t>I</m:t>
            </m:r>
          </m:sub>
        </m:sSub>
        <m:r>
          <m:rPr>
            <m:sty m:val="p"/>
          </m:rPr>
          <m:t>(</m:t>
        </m:r>
        <m:r>
          <m:t>u</m:t>
        </m:r>
        <m:r>
          <m:rPr>
            <m:sty m:val="p"/>
          </m:rPr>
          <m:t>)</m:t>
        </m:r>
      </m:oMath>
      <w:r>
        <w:br/>
      </w:r>
      <w:r>
        <w:t xml:space="preserve">1: Resolve DID of</w:t>
      </w:r>
      <w:r>
        <w:t xml:space="preserve"> </w:t>
      </w:r>
      <m:oMath>
        <m:r>
          <m:t>u</m:t>
        </m:r>
      </m:oMath>
      <w:r>
        <w:br/>
      </w:r>
      <w:r>
        <w:t xml:space="preserve">2:</w:t>
      </w:r>
      <w:r>
        <w:t xml:space="preserve"> </w:t>
      </w:r>
      <w:r>
        <w:rPr>
          <w:b/>
          <w:bCs/>
        </w:rPr>
        <w:t xml:space="preserve">if</w:t>
      </w:r>
      <w:r>
        <w:t xml:space="preserve"> </w:t>
      </w:r>
      <w:r>
        <w:t xml:space="preserve">DID resolution fails</w:t>
      </w:r>
      <w:r>
        <w:t xml:space="preserve"> </w:t>
      </w:r>
      <w:r>
        <w:rPr>
          <w:b/>
          <w:bCs/>
        </w:rPr>
        <w:t xml:space="preserve">then</w:t>
      </w:r>
      <w:r>
        <w:br/>
      </w:r>
      <w:r>
        <w:t xml:space="preserve">    3:</w:t>
      </w:r>
      <w:r>
        <w:t xml:space="preserve"> </w:t>
      </w:r>
      <w:r>
        <w:rPr>
          <w:b/>
          <w:bCs/>
        </w:rPr>
        <w:t xml:space="preserve">return</w:t>
      </w:r>
      <w:r>
        <w:t xml:space="preserve"> </w:t>
      </w:r>
      <w:r>
        <w:t xml:space="preserve">INVALID</w:t>
      </w:r>
      <w:r>
        <w:br/>
      </w:r>
      <w:r>
        <w:t xml:space="preserve">4:</w:t>
      </w:r>
      <w:r>
        <w:t xml:space="preserve"> </w:t>
      </w:r>
      <w:r>
        <w:rPr>
          <w:b/>
          <w:bCs/>
        </w:rPr>
        <w:t xml:space="preserve">end if</w:t>
      </w:r>
      <w:r>
        <w:br/>
      </w:r>
      <w:r>
        <w:t xml:space="preserve">5: Verify DID document and associated identity information</w:t>
      </w:r>
      <w:r>
        <w:br/>
      </w:r>
      <w:r>
        <w:t xml:space="preserve">6:</w:t>
      </w:r>
      <w:r>
        <w:t xml:space="preserve"> </w:t>
      </w:r>
      <w:r>
        <w:rPr>
          <w:b/>
          <w:bCs/>
        </w:rPr>
        <w:t xml:space="preserve">if</w:t>
      </w:r>
      <w:r>
        <w:t xml:space="preserve"> </w:t>
      </w:r>
      <w:r>
        <w:t xml:space="preserve">DID verification fails</w:t>
      </w:r>
      <w:r>
        <w:t xml:space="preserve"> </w:t>
      </w:r>
      <w:r>
        <w:rPr>
          <w:b/>
          <w:bCs/>
        </w:rPr>
        <w:t xml:space="preserve">then</w:t>
      </w:r>
      <w:r>
        <w:br/>
      </w:r>
      <w:r>
        <w:t xml:space="preserve">    7:</w:t>
      </w:r>
      <w:r>
        <w:t xml:space="preserve"> </w:t>
      </w:r>
      <w:r>
        <w:rPr>
          <w:b/>
          <w:bCs/>
        </w:rPr>
        <w:t xml:space="preserve">return</w:t>
      </w:r>
      <w:r>
        <w:t xml:space="preserve"> </w:t>
      </w:r>
      <w:r>
        <w:t xml:space="preserve">INVALID</w:t>
      </w:r>
      <w:r>
        <w:br/>
      </w:r>
      <w:r>
        <w:t xml:space="preserve">8:</w:t>
      </w:r>
      <w:r>
        <w:t xml:space="preserve"> </w:t>
      </w:r>
      <w:r>
        <w:rPr>
          <w:b/>
          <w:bCs/>
        </w:rPr>
        <w:t xml:space="preserve">end if</w:t>
      </w:r>
      <w:r>
        <w:br/>
      </w:r>
      <w:r>
        <w:t xml:space="preserve">9: Retrieve VC associated with</w:t>
      </w:r>
      <w:r>
        <w:t xml:space="preserve"> </w:t>
      </w:r>
      <m:oMath>
        <m:r>
          <m:t>u</m:t>
        </m:r>
      </m:oMath>
      <w:r>
        <w:br/>
      </w:r>
      <w:r>
        <w:t xml:space="preserve">10:</w:t>
      </w:r>
      <w:r>
        <w:t xml:space="preserve"> </w:t>
      </w:r>
      <w:r>
        <w:rPr>
          <w:b/>
          <w:bCs/>
        </w:rPr>
        <w:t xml:space="preserve">if</w:t>
      </w:r>
      <w:r>
        <w:t xml:space="preserve"> </w:t>
      </w:r>
      <w:r>
        <w:t xml:space="preserve">VC retrieval fails</w:t>
      </w:r>
      <w:r>
        <w:t xml:space="preserve"> </w:t>
      </w:r>
      <w:r>
        <w:rPr>
          <w:b/>
          <w:bCs/>
        </w:rPr>
        <w:t xml:space="preserve">then</w:t>
      </w:r>
      <w:r>
        <w:br/>
      </w:r>
      <w:r>
        <w:t xml:space="preserve">    11:</w:t>
      </w:r>
      <w:r>
        <w:t xml:space="preserve"> </w:t>
      </w:r>
      <w:r>
        <w:rPr>
          <w:b/>
          <w:bCs/>
        </w:rPr>
        <w:t xml:space="preserve">return</w:t>
      </w:r>
      <w:r>
        <w:t xml:space="preserve"> </w:t>
      </w:r>
      <w:r>
        <w:t xml:space="preserve">INVALID</w:t>
      </w:r>
      <w:r>
        <w:br/>
      </w:r>
      <w:r>
        <w:t xml:space="preserve">12:</w:t>
      </w:r>
      <w:r>
        <w:t xml:space="preserve"> </w:t>
      </w:r>
      <w:r>
        <w:rPr>
          <w:b/>
          <w:bCs/>
        </w:rPr>
        <w:t xml:space="preserve">end if</w:t>
      </w:r>
      <w:r>
        <w:br/>
      </w:r>
      <w:r>
        <w:t xml:space="preserve">13: Verify VC signature, issuer, subject, and validity</w:t>
      </w:r>
      <w:r>
        <w:br/>
      </w:r>
      <w:r>
        <w:t xml:space="preserve">14:</w:t>
      </w:r>
      <w:r>
        <w:t xml:space="preserve"> </w:t>
      </w:r>
      <w:r>
        <w:rPr>
          <w:b/>
          <w:bCs/>
        </w:rPr>
        <w:t xml:space="preserve">if</w:t>
      </w:r>
      <w:r>
        <w:t xml:space="preserve"> </w:t>
      </w:r>
      <w:r>
        <w:t xml:space="preserve">VC verification fails</w:t>
      </w:r>
      <w:r>
        <w:t xml:space="preserve"> </w:t>
      </w:r>
      <w:r>
        <w:rPr>
          <w:b/>
          <w:bCs/>
        </w:rPr>
        <w:t xml:space="preserve">then</w:t>
      </w:r>
      <w:r>
        <w:br/>
      </w:r>
      <w:r>
        <w:t xml:space="preserve">    15:</w:t>
      </w:r>
      <w:r>
        <w:t xml:space="preserve"> </w:t>
      </w:r>
      <w:r>
        <w:rPr>
          <w:b/>
          <w:bCs/>
        </w:rPr>
        <w:t xml:space="preserve">return</w:t>
      </w:r>
      <w:r>
        <w:t xml:space="preserve"> </w:t>
      </w:r>
      <w:r>
        <w:t xml:space="preserve">INVALID</w:t>
      </w:r>
      <w:r>
        <w:br/>
      </w:r>
      <w:r>
        <w:t xml:space="preserve">16:</w:t>
      </w:r>
      <w:r>
        <w:t xml:space="preserve"> </w:t>
      </w:r>
      <w:r>
        <w:rPr>
          <w:b/>
          <w:bCs/>
        </w:rPr>
        <w:t xml:space="preserve">end if</w:t>
      </w:r>
      <w:r>
        <w:br/>
      </w:r>
      <w:r>
        <w:t xml:space="preserve">17: Extract role and authority claims from VC</w:t>
      </w:r>
      <w:r>
        <w:br/>
      </w:r>
      <w:r>
        <w:t xml:space="preserve">18:</w:t>
      </w:r>
      <w:r>
        <w:t xml:space="preserve"> </w:t>
      </w:r>
      <w:r>
        <w:rPr>
          <w:b/>
          <w:bCs/>
        </w:rPr>
        <w:t xml:space="preserve">if</w:t>
      </w:r>
      <w:r>
        <w:t xml:space="preserve"> </w:t>
      </w:r>
      <w:r>
        <w:t xml:space="preserve">claims do not satisfy the authority requirements of</w:t>
      </w:r>
      <w:r>
        <w:t xml:space="preserve"> </w:t>
      </w:r>
      <m:oMath>
        <m:r>
          <m:t>C</m:t>
        </m:r>
      </m:oMath>
      <w:r>
        <w:t xml:space="preserve"> </w:t>
      </w:r>
      <w:r>
        <w:rPr>
          <w:b/>
          <w:bCs/>
        </w:rPr>
        <w:t xml:space="preserve">then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identity and authority verification evidence</w:t>
      </w:r>
      <w:r>
        <w:br/>
      </w:r>
      <w:r>
        <w:t xml:space="preserve">22:</w:t>
      </w:r>
      <w:r>
        <w:t xml:space="preserve"> </w:t>
      </w:r>
      <w:r>
        <w:rPr>
          <w:b/>
          <w:bCs/>
        </w:rPr>
        <w:t xml:space="preserve">return</w:t>
      </w:r>
      <w:r>
        <w:t xml:space="preserve"> </w:t>
      </w:r>
      <w:r>
        <w:t xml:space="preserve">VALID</w:t>
      </w:r>
    </w:p>
    <w:bookmarkEnd w:id="104"/>
    <w:bookmarkEnd w:id="105"/>
    <w:bookmarkStart w:id="112" w:name="X2fe5cbf561c8a3bc135795b66ae3ba1eef8bc71"/>
    <w:p>
      <w:pPr>
        <w:pStyle w:val="Heading2"/>
      </w:pPr>
      <w:r>
        <w:t xml:space="preserve">6.3 Trustworthy Multi-Party Authorisation for RO3</w:t>
      </w:r>
    </w:p>
    <w:p>
      <w:pPr>
        <w:pStyle w:val="FirstParagraph"/>
      </w:pPr>
      <w:r>
        <w:t xml:space="preserve">RO3 addresses SRQ3 by developing a threshold-based multi-party authorisation mechanism. The objective is to ensure that sensitive healthcare data cannot be accessed through unilateral approval when the consent requires participation from multiple independently verified parties.</w:t>
      </w:r>
    </w:p>
    <w:p>
      <w:pPr>
        <w:pStyle w:val="BodyText"/>
      </w:pPr>
      <w:r>
        <w:t xml:space="preserve">Let</w:t>
      </w:r>
      <w:r>
        <w:t xml:space="preserve"> </w:t>
      </w:r>
      <w:r>
        <w:rPr>
          <w:i/>
          <w:iCs/>
        </w:rPr>
        <w:t xml:space="preserve">A</w:t>
      </w:r>
      <w:r>
        <w:rPr>
          <w:vertAlign w:val="subscript"/>
        </w:rPr>
        <w:t xml:space="preserve">v</w:t>
      </w:r>
      <w:r>
        <w:t xml:space="preserve"> </w:t>
      </w:r>
      <w:r>
        <w:t xml:space="preserve">denote the set of valid approvals and let</w:t>
      </w:r>
      <w:r>
        <w:t xml:space="preserve"> </w:t>
      </w:r>
      <w:r>
        <w:rPr>
          <w:i/>
          <w:iCs/>
        </w:rPr>
        <w:t xml:space="preserve">N</w:t>
      </w:r>
      <w:r>
        <w:t xml:space="preserve"> </w:t>
      </w:r>
      <w:r>
        <w:t xml:space="preserve">denote the required authorisation threshold. The threshold condition is given by Eq. (9).</w:t>
      </w:r>
    </w:p>
    <w:p>
      <w:pPr>
        <w:pStyle w:val="BodyText"/>
      </w:pPr>
      <w: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bookmarkStart w:id="109" w:name="ro3-multi-party-authorisation-workflow"/>
    <w:p>
      <w:pPr>
        <w:pStyle w:val="Heading3"/>
      </w:pPr>
      <w:r>
        <w:t xml:space="preserve">6.3.1 RO3 Multi-Party Authorisation Workflow</w:t>
      </w:r>
    </w:p>
    <w:p>
      <w:pPr>
        <w:pStyle w:val="FirstParagraph"/>
      </w:pPr>
      <w:r>
        <w:t xml:space="preserve">The workflow, shown in Figure 6.3,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w:t>
      </w:r>
    </w:p>
    <w:p>
      <w:pPr>
        <w:pStyle w:val="CaptionedFigure"/>
      </w:pPr>
      <w:r>
        <w:drawing>
          <wp:inline>
            <wp:extent cx="3584448" cy="7671816"/>
            <wp:effectExtent b="0" l="0" r="0" t="0"/>
            <wp:docPr descr="Figure 6.3: RO3 workflow for threshold-based multi-party authorisation" title="" id="107" name="Picture"/>
            <a:graphic>
              <a:graphicData uri="http://schemas.openxmlformats.org/drawingml/2006/picture">
                <pic:pic>
                  <pic:nvPicPr>
                    <pic:cNvPr descr="media_col/fig09.png" id="108" name="Picture"/>
                    <pic:cNvPicPr>
                      <a:picLocks noChangeArrowheads="1" noChangeAspect="1"/>
                    </pic:cNvPicPr>
                  </pic:nvPicPr>
                  <pic:blipFill>
                    <a:blip r:embed="rId106"/>
                    <a:stretch>
                      <a:fillRect/>
                    </a:stretch>
                  </pic:blipFill>
                  <pic:spPr bwMode="auto">
                    <a:xfrm>
                      <a:off x="0" y="0"/>
                      <a:ext cx="3584448" cy="7671816"/>
                    </a:xfrm>
                    <a:prstGeom prst="rect">
                      <a:avLst/>
                    </a:prstGeom>
                    <a:noFill/>
                    <a:ln w="9525">
                      <a:noFill/>
                      <a:headEnd/>
                      <a:tailEnd/>
                    </a:ln>
                  </pic:spPr>
                </pic:pic>
              </a:graphicData>
            </a:graphic>
          </wp:inline>
        </w:drawing>
      </w:r>
    </w:p>
    <w:p>
      <w:pPr>
        <w:pStyle w:val="ImageCaption"/>
      </w:pPr>
      <w:r>
        <w:t xml:space="preserve">Figure 6.3: RO3 workflow for threshold-based multi-party authorisation</w:t>
      </w:r>
    </w:p>
    <w:p>
      <w:pPr>
        <w:pStyle w:val="BodyText"/>
      </w:pPr>
      <w:r>
        <w:t xml:space="preserve">In the HALAH prototype, the</w:t>
      </w:r>
      <w:r>
        <w:t xml:space="preserve"> </w:t>
      </w:r>
      <w:r>
        <w:rPr>
          <w:rStyle w:val="OrangeDelete"/>
        </w:rPr>
        <w:t xml:space="preserve">Guardian</w:t>
      </w:r>
      <w:r>
        <w:rPr>
          <w:rStyle w:val="OrangeFix"/>
        </w:rPr>
        <w:t xml:space="preserve">guardian</w:t>
      </w:r>
      <w:r>
        <w:t xml:space="preserve"> </w:t>
      </w:r>
      <w:r>
        <w:t xml:space="preserve">workflow (Figure 7.2, Section 7.3) verifies each guardian’s EIP-712 approval signature, refuses a second approval from the same guardian, adds the guardian DID to the consent’s signature set and displays the approval count against the threshold (e.g., 2/2). When the threshold is reached, a Soulbound Token (SBT) identifier is assigned, a MINT_SBT event is written to the audit log, and the consent is anchored on the Ethereum Sepolia testnet by minting a non-transferable consent token. Four such mints, made with the v2 consent contract, are recorded in Table 7.4; the v3 contract adds on-chain validity checks and ERC-5484 consensual burn [43].</w:t>
      </w:r>
    </w:p>
    <w:p>
      <w:pPr>
        <w:pStyle w:val="BodyText"/>
      </w:pPr>
      <w:r>
        <w:t xml:space="preserve">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bookmarkEnd w:id="109"/>
    <w:bookmarkStart w:id="110" w:name="X9dea25ed2e3c65720ba6349f36c23195c56aab5"/>
    <w:p>
      <w:pPr>
        <w:pStyle w:val="Heading3"/>
      </w:pPr>
      <w:r>
        <w:t xml:space="preserve">6.3.2 Procedure for Threshold-Based Multi-Party Authorisation</w:t>
      </w:r>
    </w:p>
    <w:p>
      <w:pPr>
        <w:pStyle w:val="FirstParagraph"/>
      </w:pPr>
      <w: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w:t>
      </w:r>
    </w:p>
    <w:p>
      <w:pPr>
        <w:pStyle w:val="Compact"/>
        <w:numPr>
          <w:ilvl w:val="0"/>
          <w:numId w:val="1026"/>
        </w:numPr>
      </w:pPr>
      <w:r>
        <w:rPr>
          <w:b/>
          <w:bCs/>
        </w:rPr>
        <w:t xml:space="preserve">Step 1 – Retrieve the Required Participant Set.</w:t>
      </w:r>
    </w:p>
    <w:p>
      <w:pPr>
        <w:pStyle w:val="FirstParagraph"/>
      </w:pPr>
      <w:r>
        <w:t xml:space="preserve">The system first retrieves the required participant set</w:t>
      </w:r>
      <w:r>
        <w:t xml:space="preserve"> </w:t>
      </w:r>
      <w:r>
        <w:rPr>
          <w:i/>
          <w:iCs/>
        </w:rPr>
        <w:t xml:space="preserve">G</w:t>
      </w:r>
      <w:r>
        <w:t xml:space="preserve"> </w:t>
      </w:r>
      <w:r>
        <w:t xml:space="preserve">associated with the consent object</w:t>
      </w:r>
      <w:r>
        <w:t xml:space="preserve"> </w:t>
      </w:r>
      <w:r>
        <w:rPr>
          <w:i/>
          <w:iCs/>
        </w:rPr>
        <w:t xml:space="preserve">C</w:t>
      </w:r>
      <w:r>
        <w:t xml:space="preserve">. The set</w:t>
      </w:r>
      <w:r>
        <w:t xml:space="preserve"> </w:t>
      </w:r>
      <w:r>
        <w:rPr>
          <w:i/>
          <w:iCs/>
        </w:rPr>
        <w:t xml:space="preserve">G</w:t>
      </w:r>
      <w:r>
        <w:t xml:space="preserve"> </w:t>
      </w:r>
      <w:r>
        <w:t xml:space="preserve">defines which participants are eligible to contribute an approval to the authorisation process. Depending on the consent configuration,</w:t>
      </w:r>
      <w:r>
        <w:t xml:space="preserve"> </w:t>
      </w:r>
      <w:r>
        <w:rPr>
          <w:i/>
          <w:iCs/>
        </w:rPr>
        <w:t xml:space="preserve">G</w:t>
      </w:r>
      <w:r>
        <w:t xml:space="preserve"> </w:t>
      </w:r>
      <w:r>
        <w:t xml:space="preserve">may contain healthcare professionals, guardians, institutional representatives, or other authorised parties.</w:t>
      </w:r>
    </w:p>
    <w:p>
      <w:pPr>
        <w:pStyle w:val="Compact"/>
        <w:numPr>
          <w:ilvl w:val="0"/>
          <w:numId w:val="1027"/>
        </w:numPr>
      </w:pPr>
      <w:r>
        <w:rPr>
          <w:b/>
          <w:bCs/>
        </w:rPr>
        <w:t xml:space="preserve">Step 2 – Define the Authorisation Threshold.</w:t>
      </w:r>
    </w:p>
    <w:p>
      <w:pPr>
        <w:pStyle w:val="FirstParagraph"/>
      </w:pPr>
      <w:r>
        <w:t xml:space="preserve">The system obtains the threshold value</w:t>
      </w:r>
      <w:r>
        <w:t xml:space="preserve"> </w:t>
      </w:r>
      <w:r>
        <w:rPr>
          <w:i/>
          <w:iCs/>
        </w:rPr>
        <w:t xml:space="preserve">N</w:t>
      </w:r>
      <w:r>
        <w:t xml:space="preserve">, which specifies the minimum number of valid and distinct approvals required to activate the authorisation. The threshold must satisfy</w:t>
      </w:r>
    </w:p>
    <w:p>
      <w:pPr>
        <w:pStyle w:val="BodyText"/>
      </w:pPr>
      <m:oMathPara>
        <m:oMathParaPr>
          <m:jc m:val="center"/>
        </m:oMathParaPr>
        <m:oMath>
          <m:r>
            <m:t>1</m:t>
          </m:r>
          <m:r>
            <m:rPr>
              <m:sty m:val="p"/>
            </m:rPr>
            <m:t>≤</m:t>
          </m:r>
          <m:r>
            <m:t>N</m:t>
          </m:r>
          <m:r>
            <m:rPr>
              <m:sty m:val="p"/>
            </m:rPr>
            <m:t>≤</m:t>
          </m:r>
          <m:d>
            <m:dPr>
              <m:begChr m:val="|"/>
              <m:sepChr m:val=""/>
              <m:endChr m:val="|"/>
              <m:grow/>
            </m:dPr>
            <m:e>
              <m:r>
                <m:t>G</m:t>
              </m:r>
            </m:e>
          </m:d>
          <m:r>
            <m:rPr>
              <m:sty m:val="p"/>
            </m:rPr>
            <m:t>.</m:t>
          </m:r>
        </m:oMath>
      </m:oMathPara>
    </w:p>
    <w:p>
      <w:pPr>
        <w:pStyle w:val="FirstParagraph"/>
      </w:pPr>
      <w:r>
        <w:t xml:space="preserve">The threshold therefore determines how many eligible participants must independently approve the consent before the authorisation becomes active. In the HALAH prototype,</w:t>
      </w:r>
      <w:r>
        <w:t xml:space="preserve"> </w:t>
      </w:r>
      <m:oMath>
        <m:r>
          <m:t>N</m:t>
        </m:r>
        <m:r>
          <m:rPr>
            <m:sty m:val="p"/>
          </m:rPr>
          <m:t>=</m:t>
        </m:r>
        <m:d>
          <m:dPr>
            <m:begChr m:val="|"/>
            <m:sepChr m:val=""/>
            <m:endChr m:val="|"/>
            <m:grow/>
          </m:dPr>
          <m:e>
            <m:r>
              <m:t>G</m:t>
            </m:r>
          </m:e>
        </m:d>
      </m:oMath>
      <w:r>
        <w:t xml:space="preserve"> </w:t>
      </w:r>
      <w:r>
        <w:t xml:space="preserve">(all designated guardians must approve); configurable k-of-n thresholds are Stage 2 work.</w:t>
      </w:r>
    </w:p>
    <w:p>
      <w:pPr>
        <w:pStyle w:val="Compact"/>
        <w:numPr>
          <w:ilvl w:val="0"/>
          <w:numId w:val="1028"/>
        </w:numPr>
      </w:pPr>
      <w:r>
        <w:rPr>
          <w:b/>
          <w:bCs/>
        </w:rPr>
        <w:t xml:space="preserve">Step 3 – Receive a Participant Approval.</w:t>
      </w:r>
    </w:p>
    <w:p>
      <w:pPr>
        <w:pStyle w:val="FirstParagraph"/>
      </w:pPr>
      <w:r>
        <w:t xml:space="preserve">A participant submits an approval</w:t>
      </w:r>
      <w:r>
        <w:t xml:space="preserve"> </w:t>
      </w:r>
      <w:r>
        <w:rPr>
          <w:i/>
          <w:iCs/>
        </w:rPr>
        <w:t xml:space="preserve">a</w:t>
      </w:r>
      <w:r>
        <w:t xml:space="preserve"> </w:t>
      </w:r>
      <w:r>
        <w:t xml:space="preserve">associated with consent object</w:t>
      </w:r>
      <w:r>
        <w:t xml:space="preserve"> </w:t>
      </w:r>
      <w:r>
        <w:rPr>
          <w:i/>
          <w:iCs/>
        </w:rPr>
        <w:t xml:space="preserve">C</w:t>
      </w:r>
      <w:r>
        <w:t xml:space="preserve">. The approval is treated as a candidate authorisation contribution and is not considered valid until the identity and authority of the submitting participant have been verified.</w:t>
      </w:r>
    </w:p>
    <w:p>
      <w:pPr>
        <w:pStyle w:val="Compact"/>
        <w:numPr>
          <w:ilvl w:val="0"/>
          <w:numId w:val="1029"/>
        </w:numPr>
      </w:pPr>
      <w:r>
        <w:rPr>
          <w:b/>
          <w:bCs/>
        </w:rPr>
        <w:t xml:space="preserve">Step 4 – Verify the Identity and Authority of the Approving Participant.</w:t>
      </w:r>
    </w:p>
    <w:p>
      <w:pPr>
        <w:pStyle w:val="FirstParagraph"/>
      </w:pPr>
      <w:r>
        <w:t xml:space="preserve">The system verifies the identity and authority of the participant submitting</w:t>
      </w:r>
      <w:r>
        <w:t xml:space="preserve"> </w:t>
      </w:r>
      <w:r>
        <w:rPr>
          <w:i/>
          <w:iCs/>
        </w:rPr>
        <w:t xml:space="preserve">a</w:t>
      </w:r>
      <w:r>
        <w:t xml:space="preserve">. The verification process may invoke the DID and VC verification procedure described in Algorithm 2. The system therefore determines whether the participant possesses a valid identity and whether the associated authority claims satisfy the requirements of consent object</w:t>
      </w:r>
      <w:r>
        <w:t xml:space="preserve"> </w:t>
      </w:r>
      <w:r>
        <w:rPr>
          <w:i/>
          <w:iCs/>
        </w:rPr>
        <w:t xml:space="preserve">C</w:t>
      </w:r>
      <w:r>
        <w:t xml:space="preserve">.</w:t>
      </w:r>
    </w:p>
    <w:p>
      <w:pPr>
        <w:pStyle w:val="BodyText"/>
      </w:pPr>
      <w:r>
        <w:t xml:space="preserve">If the verification fails, the approval is classified as invalid. The system records the invalid approval event and returns</w:t>
      </w:r>
      <w:r>
        <w:t xml:space="preserve"> </w:t>
      </w:r>
      <w:r>
        <w:rPr>
          <w:i/>
          <w:iCs/>
        </w:rPr>
        <w:t xml:space="preserve">DENY</w:t>
      </w:r>
      <w:r>
        <w:t xml:space="preserve"> </w:t>
      </w:r>
      <w:r>
        <w:t xml:space="preserve">for that approval attempt.</w:t>
      </w:r>
    </w:p>
    <w:p>
      <w:pPr>
        <w:pStyle w:val="Compact"/>
        <w:numPr>
          <w:ilvl w:val="0"/>
          <w:numId w:val="1030"/>
        </w:numPr>
      </w:pPr>
      <w:r>
        <w:rPr>
          <w:b/>
          <w:bCs/>
        </w:rPr>
        <w:t xml:space="preserve">Step 5 – Verify Participant Eligibility.</w:t>
      </w:r>
    </w:p>
    <w:p>
      <w:pPr>
        <w:pStyle w:val="FirstParagraph"/>
      </w:pPr>
      <w:r>
        <w:t xml:space="preserve">If the participant’s identity and authority are successfully verified, the system determines whether the participant belongs to the required participant set</w:t>
      </w:r>
      <w:r>
        <w:t xml:space="preserve"> </w:t>
      </w:r>
      <w:r>
        <w:rPr>
          <w:i/>
          <w:iCs/>
        </w:rPr>
        <w:t xml:space="preserve">G</w:t>
      </w:r>
      <w:r>
        <w:t xml:space="preserve">. Formally,</w:t>
      </w:r>
    </w:p>
    <w:p>
      <w:pPr>
        <w:pStyle w:val="BodyText"/>
      </w:pPr>
      <m:oMathPara>
        <m:oMathParaPr>
          <m:jc m:val="center"/>
        </m:oMathParaPr>
        <m:oMath>
          <m:r>
            <m:t>u</m:t>
          </m:r>
          <m:r>
            <m:rPr>
              <m:sty m:val="p"/>
            </m:rPr>
            <m:t>∈</m:t>
          </m:r>
          <m:r>
            <m:t>G</m:t>
          </m:r>
          <m:r>
            <m:rPr>
              <m:sty m:val="p"/>
            </m:rPr>
            <m:t>.</m:t>
          </m:r>
        </m:oMath>
      </m:oMathPara>
    </w:p>
    <w:p>
      <w:pPr>
        <w:pStyle w:val="FirstParagraph"/>
      </w:pPr>
      <w:r>
        <w:t xml:space="preserve">If the participant is not a member of</w:t>
      </w:r>
      <w:r>
        <w:t xml:space="preserve"> </w:t>
      </w:r>
      <w:r>
        <w:rPr>
          <w:i/>
          <w:iCs/>
        </w:rPr>
        <w:t xml:space="preserve">G</w:t>
      </w:r>
      <w:r>
        <w:t xml:space="preserve">, the approval cannot contribute to the threshold. The system records the event as an unauthorised approval attempt and returns</w:t>
      </w:r>
      <w:r>
        <w:t xml:space="preserve"> </w:t>
      </w:r>
      <w:r>
        <w:rPr>
          <w:i/>
          <w:iCs/>
        </w:rPr>
        <w:t xml:space="preserve">DENY</w:t>
      </w:r>
      <w:r>
        <w:t xml:space="preserve">.</w:t>
      </w:r>
    </w:p>
    <w:p>
      <w:pPr>
        <w:pStyle w:val="Compact"/>
        <w:numPr>
          <w:ilvl w:val="0"/>
          <w:numId w:val="1031"/>
        </w:numPr>
      </w:pPr>
      <w:r>
        <w:rPr>
          <w:b/>
          <w:bCs/>
        </w:rPr>
        <w:t xml:space="preserve">Step 6 – Check for Duplicate Approval.</w:t>
      </w:r>
    </w:p>
    <w:p>
      <w:pPr>
        <w:pStyle w:val="FirstParagraph"/>
      </w:pPr>
      <w:r>
        <w:t xml:space="preserve">The system checks whether the participant has already approved consent object</w:t>
      </w:r>
      <w:r>
        <w:t xml:space="preserve"> </w:t>
      </w:r>
      <w:r>
        <w:rPr>
          <w:i/>
          <w:iCs/>
        </w:rPr>
        <w:t xml:space="preserve">C</w:t>
      </w:r>
      <w:r>
        <w:t xml:space="preserve">. This prevents a single participant from submitting multiple approvals and artificially satisfying the threshold.</w:t>
      </w:r>
    </w:p>
    <w:p>
      <w:pPr>
        <w:pStyle w:val="BodyText"/>
      </w:pPr>
      <w:r>
        <w:rPr>
          <w:rStyle w:val="OrangeDelete"/>
        </w:rPr>
        <w:t xml:space="preserve">Formally, for the valid approval set</w:t>
      </w:r>
      <w:r>
        <w:rPr>
          <w:rStyle w:val="OrangeDelete"/>
        </w:rPr>
        <w:t xml:space="preserve"> </w:t>
      </w:r>
      <w:r>
        <w:rPr>
          <w:rStyle w:val="OrangeDelete"/>
          <w:i/>
          <w:iCs/>
        </w:rPr>
        <w:t xml:space="preserve">A</w:t>
      </w:r>
      <w:r>
        <w:rPr>
          <w:rStyle w:val="OrangeDelete"/>
          <w:vertAlign w:val="subscript"/>
        </w:rPr>
        <w:t xml:space="preserve">v</w:t>
      </w:r>
      <w:r>
        <w:rPr>
          <w:rStyle w:val="OrangeDelete"/>
        </w:rPr>
        <w:t xml:space="preserve"> </w:t>
      </w:r>
      <w:r>
        <w:rPr>
          <w:rStyle w:val="OrangeDelete"/>
        </w:rPr>
        <w:t xml:space="preserve">that</w:t>
      </w:r>
      <w:r>
        <w:rPr>
          <w:rStyle w:val="OrangeFix"/>
        </w:rPr>
        <w:t xml:space="preserve">Formally, for the valid approval set</w:t>
      </w:r>
      <w:r>
        <w:rPr>
          <w:rStyle w:val="OrangeFix"/>
        </w:rPr>
        <w:t xml:space="preserve"> </w:t>
      </w:r>
      <w:r>
        <w:rPr>
          <w:rStyle w:val="OrangeFix"/>
          <w:i/>
          <w:iCs/>
        </w:rPr>
        <w:t xml:space="preserve">A</w:t>
      </w:r>
      <w:r>
        <w:rPr>
          <w:rStyle w:val="OrangeFix"/>
          <w:vertAlign w:val="subscript"/>
        </w:rPr>
        <w:t xml:space="preserve">v</w:t>
      </w:r>
      <w:r>
        <w:rPr>
          <w:rStyle w:val="OrangeFix"/>
        </w:rPr>
        <w:t xml:space="preserve">,</w:t>
      </w:r>
    </w:p>
    <w:p>
      <w:pPr>
        <w:pStyle w:val="BodyText"/>
      </w:pPr>
      <m:oMathPara>
        <m:oMathParaPr>
          <m:jc m:val="center"/>
        </m:oMathParaPr>
        <m:oMath>
          <m:r>
            <m:t>u</m:t>
          </m:r>
          <m:r>
            <m:rPr>
              <m:sty m:val="p"/>
            </m:rPr>
            <m:t>∉</m:t>
          </m:r>
          <m:sSub>
            <m:e>
              <m:r>
                <m:t>A</m:t>
              </m:r>
            </m:e>
            <m:sub>
              <m:r>
                <m:t>v</m:t>
              </m:r>
            </m:sub>
          </m:sSub>
          <m:r>
            <m:rPr>
              <m:sty m:val="p"/>
            </m:rPr>
            <m:t>.</m:t>
          </m:r>
        </m:oMath>
      </m:oMathPara>
    </w:p>
    <w:p>
      <w:pPr>
        <w:pStyle w:val="FirstParagraph"/>
      </w:pPr>
      <w:r>
        <w:t xml:space="preserve">If the participant has already submitted a valid approval, the system records a duplicate approval event and rejects the additional approval.</w:t>
      </w:r>
    </w:p>
    <w:p>
      <w:pPr>
        <w:pStyle w:val="Compact"/>
        <w:numPr>
          <w:ilvl w:val="0"/>
          <w:numId w:val="1032"/>
        </w:numPr>
      </w:pPr>
      <w:r>
        <w:rPr>
          <w:b/>
          <w:bCs/>
        </w:rPr>
        <w:t xml:space="preserve">Step 7 – Record the Valid Approval.</w:t>
      </w:r>
    </w:p>
    <w:p>
      <w:pPr>
        <w:pStyle w:val="FirstParagraph"/>
      </w:pPr>
      <w:r>
        <w:t xml:space="preserve">If the participant is both authorised and eligible, and no previous approval from that participant exists, the system records the approval</w:t>
      </w:r>
      <w:r>
        <w:t xml:space="preserve"> </w:t>
      </w:r>
      <w:r>
        <w:rPr>
          <w:i/>
          <w:iCs/>
        </w:rPr>
        <w:t xml:space="preserve">a</w:t>
      </w:r>
      <w:r>
        <w:t xml:space="preserve"> </w:t>
      </w:r>
      <w:r>
        <w:t xml:space="preserve">as valid. The corresponding participant is added to the valid approval set</w:t>
      </w:r>
      <w:r>
        <w:t xml:space="preserve"> </w:t>
      </w:r>
      <w:r>
        <w:rPr>
          <w:i/>
          <w:iCs/>
        </w:rPr>
        <w:t xml:space="preserve">A</w:t>
      </w:r>
      <w:r>
        <w:rPr>
          <w:vertAlign w:val="subscript"/>
        </w:rPr>
        <w:t xml:space="preserve">v</w:t>
      </w:r>
      <w:r>
        <w:t xml:space="preserve">. The approval set is therefore updated according to</w:t>
      </w:r>
    </w:p>
    <w:p>
      <w:pPr>
        <w:pStyle w:val="BodyText"/>
      </w:pPr>
      <m:oMathPara>
        <m:oMathParaPr>
          <m:jc m:val="center"/>
        </m:oMathParaPr>
        <m:oMath>
          <m:sSub>
            <m:e>
              <m:r>
                <m:t>A</m:t>
              </m:r>
            </m:e>
            <m:sub>
              <m:r>
                <m:t>v</m:t>
              </m:r>
            </m:sub>
          </m:sSub>
          <m:r>
            <m:rPr>
              <m:sty m:val="p"/>
            </m:rPr>
            <m:t>←</m:t>
          </m:r>
          <m:sSub>
            <m:e>
              <m:r>
                <m:t>A</m:t>
              </m:r>
            </m:e>
            <m:sub>
              <m:r>
                <m:t>v</m:t>
              </m:r>
            </m:sub>
          </m:sSub>
          <m:r>
            <m:rPr>
              <m:sty m:val="p"/>
            </m:rPr>
            <m:t>∪</m:t>
          </m:r>
          <m:r>
            <m:rPr>
              <m:sty m:val="p"/>
            </m:rPr>
            <m:t>{</m:t>
          </m:r>
          <m:r>
            <m:t>a</m:t>
          </m:r>
          <m:r>
            <m:rPr>
              <m:sty m:val="p"/>
            </m:rPr>
            <m:t>}</m:t>
          </m:r>
          <m:r>
            <m:rPr>
              <m:sty m:val="p"/>
            </m:rPr>
            <m:t>.</m:t>
          </m:r>
        </m:oMath>
      </m:oMathPara>
    </w:p>
    <w:p>
      <w:pPr>
        <w:pStyle w:val="FirstParagraph"/>
      </w:pPr>
      <w:r>
        <w:t xml:space="preserve">Each valid approval becomes an independent piece of authorisation evidence associated with consent object</w:t>
      </w:r>
      <w:r>
        <w:t xml:space="preserve"> </w:t>
      </w:r>
      <w:r>
        <w:rPr>
          <w:i/>
          <w:iCs/>
        </w:rPr>
        <w:t xml:space="preserve">C</w:t>
      </w:r>
      <w:r>
        <w:t xml:space="preserve">.</w:t>
      </w:r>
    </w:p>
    <w:p>
      <w:pPr>
        <w:pStyle w:val="Compact"/>
        <w:numPr>
          <w:ilvl w:val="0"/>
          <w:numId w:val="1033"/>
        </w:numPr>
      </w:pPr>
      <w:r>
        <w:rPr>
          <w:b/>
          <w:bCs/>
        </w:rPr>
        <w:t xml:space="preserve">Step 8 – Evaluate the Approval Threshold.</w:t>
      </w:r>
    </w:p>
    <w:p>
      <w:pPr>
        <w:pStyle w:val="FirstParagraph"/>
      </w:pPr>
      <w:r>
        <w:t xml:space="preserve">The system evaluates the number of valid approvals currently associated with the consent:</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This comparison determines whether the minimum number of required participants has been reached. Importantly, only approvals that have passed identity, authority, membership, and duplicate checks are included in</w:t>
      </w:r>
      <w:r>
        <w:t xml:space="preserve"> </w:t>
      </w:r>
      <w:r>
        <w:rPr>
          <w:i/>
          <w:iCs/>
        </w:rPr>
        <w:t xml:space="preserve">A</w:t>
      </w:r>
      <w:r>
        <w:rPr>
          <w:vertAlign w:val="subscript"/>
        </w:rPr>
        <w:t xml:space="preserve">v</w:t>
      </w:r>
      <w:r>
        <w:t xml:space="preserve">.</w:t>
      </w:r>
    </w:p>
    <w:p>
      <w:pPr>
        <w:pStyle w:val="Compact"/>
        <w:numPr>
          <w:ilvl w:val="0"/>
          <w:numId w:val="1034"/>
        </w:numPr>
      </w:pPr>
      <w:r>
        <w:rPr>
          <w:b/>
          <w:bCs/>
        </w:rPr>
        <w:t xml:space="preserve">Step 9 – Activate the Authorisation if the Threshold Is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required threshold has been satisfied. The system activates the authorisation associated with consent object</w:t>
      </w:r>
      <w:r>
        <w:t xml:space="preserve"> </w:t>
      </w:r>
      <w:r>
        <w:rPr>
          <w:i/>
          <w:iCs/>
        </w:rPr>
        <w:t xml:space="preserve">C</w:t>
      </w:r>
      <w:r>
        <w:t xml:space="preserve">. The activation indicates that the consent has obtained sufficient valid multi-party approval to proceed to the subsequent access-control or data-access stage.</w:t>
      </w:r>
    </w:p>
    <w:p>
      <w:pPr>
        <w:pStyle w:val="Compact"/>
        <w:numPr>
          <w:ilvl w:val="0"/>
          <w:numId w:val="1035"/>
        </w:numPr>
      </w:pPr>
      <w:r>
        <w:rPr>
          <w:b/>
          <w:bCs/>
        </w:rPr>
        <w:t xml:space="preserve">Step 10 – Generate Activation Evidence.</w:t>
      </w:r>
    </w:p>
    <w:p>
      <w:pPr>
        <w:pStyle w:val="FirstParagraph"/>
      </w:pPr>
      <w:r>
        <w:t xml:space="preserve">Following successful threshold satisfaction, the system generates activation or token evidence associated with the authorisation decision. The evidence may include the consent identifier, threshold value</w:t>
      </w:r>
      <w:r>
        <w:t xml:space="preserve"> </w:t>
      </w:r>
      <w:r>
        <w:rPr>
          <w:i/>
          <w:iCs/>
        </w:rPr>
        <w:t xml:space="preserve">N</w:t>
      </w:r>
      <w:r>
        <w:t xml:space="preserve">, identities of the approving participants, approval timestamps, and the resulting authorisation state.</w:t>
      </w:r>
    </w:p>
    <w:p>
      <w:pPr>
        <w:pStyle w:val="BodyText"/>
      </w:pPr>
      <w:r>
        <w:t xml:space="preserve">This evidence provides a verifiable representation of how the authorisation was activated and which participants contributed to the decision.</w:t>
      </w:r>
    </w:p>
    <w:p>
      <w:pPr>
        <w:pStyle w:val="Compact"/>
        <w:numPr>
          <w:ilvl w:val="0"/>
          <w:numId w:val="1036"/>
        </w:numPr>
      </w:pPr>
      <w:r>
        <w:rPr>
          <w:b/>
          <w:bCs/>
        </w:rPr>
        <w:t xml:space="preserve">Step 11 – Record the Threshold-Satisfied Event.</w:t>
      </w:r>
    </w:p>
    <w:p>
      <w:pPr>
        <w:pStyle w:val="FirstParagraph"/>
      </w:pPr>
      <w:r>
        <w:t xml:space="preserve">The system records a threshold-satisfied event in the audit infrastructure. This event provides an immutable or otherwise tamper-evident record of the transition from a pending consent state to an active authorisation state.</w:t>
      </w:r>
    </w:p>
    <w:p>
      <w:pPr>
        <w:pStyle w:val="Compact"/>
        <w:numPr>
          <w:ilvl w:val="0"/>
          <w:numId w:val="1037"/>
        </w:numPr>
      </w:pPr>
      <w:r>
        <w:rPr>
          <w:b/>
          <w:bCs/>
        </w:rPr>
        <w:t xml:space="preserve">Step 12 – Maintain Pending State if the Threshold Is Not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oMath>
      </m:oMathPara>
    </w:p>
    <w:p>
      <w:pPr>
        <w:pStyle w:val="FirstParagraph"/>
      </w:pPr>
      <w:r>
        <w:t xml:space="preserve">the consent does not yet satisfy the required multi-party authorisation condition. The system therefore maintains the consent in a</w:t>
      </w:r>
      <w:r>
        <w:t xml:space="preserve"> </w:t>
      </w:r>
      <w:r>
        <w:rPr>
          <w:i/>
          <w:iCs/>
        </w:rPr>
        <w:t xml:space="preserve">PENDING</w:t>
      </w:r>
      <w:r>
        <w:t xml:space="preserve"> </w:t>
      </w:r>
      <w:r>
        <w:t xml:space="preserve">state rather than activating access.</w:t>
      </w:r>
    </w:p>
    <w:p>
      <w:pPr>
        <w:pStyle w:val="BodyText"/>
      </w:pPr>
      <w:r>
        <w:t xml:space="preserve">The system records a threshold-pending event so that the current authorisation state and the remaining approval requirement can be reconstructed during subsequent verification or audit.</w:t>
      </w:r>
    </w:p>
    <w:p>
      <w:pPr>
        <w:pStyle w:val="Compact"/>
        <w:numPr>
          <w:ilvl w:val="0"/>
          <w:numId w:val="1038"/>
        </w:numPr>
      </w:pPr>
      <w:r>
        <w:rPr>
          <w:b/>
          <w:bCs/>
        </w:rPr>
        <w:t xml:space="preserve">Step 13 – Return the Authorisation Result.</w:t>
      </w:r>
    </w:p>
    <w:p>
      <w:pPr>
        <w:pStyle w:val="FirstParagraph"/>
      </w:pPr>
      <w:r>
        <w:t xml:space="preserve">The final result is determined according to the threshold condition:</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d>
                      <m:dPr>
                        <m:begChr m:val="|"/>
                        <m:sepChr m:val=""/>
                        <m:endChr m:val="|"/>
                        <m:grow/>
                      </m:dPr>
                      <m:e>
                        <m:sSub>
                          <m:e>
                            <m:r>
                              <m:t>A</m:t>
                            </m:r>
                          </m:e>
                          <m:sub>
                            <m:r>
                              <m:t>v</m:t>
                            </m:r>
                          </m:sub>
                        </m:sSub>
                      </m:e>
                    </m:d>
                    <m:r>
                      <m:rPr>
                        <m:sty m:val="p"/>
                      </m:rPr>
                      <m:t>≥</m:t>
                    </m:r>
                    <m:r>
                      <m:t>N</m:t>
                    </m:r>
                    <m:r>
                      <m:rPr>
                        <m:sty m:val="p"/>
                      </m:rPr>
                      <m:t>,</m:t>
                    </m:r>
                  </m:e>
                </m:mr>
                <m:mr>
                  <m:e>
                    <m:r>
                      <m:t>P</m:t>
                    </m:r>
                    <m:r>
                      <m:t>E</m:t>
                    </m:r>
                    <m:r>
                      <m:t>N</m:t>
                    </m:r>
                    <m:r>
                      <m:t>D</m:t>
                    </m:r>
                    <m:r>
                      <m:t>I</m:t>
                    </m:r>
                    <m:r>
                      <m:t>N</m:t>
                    </m:r>
                    <m:r>
                      <m:t>G</m:t>
                    </m:r>
                    <m:r>
                      <m:rPr>
                        <m:sty m:val="p"/>
                      </m:rPr>
                      <m:t>,</m:t>
                    </m:r>
                  </m:e>
                  <m:e>
                    <m:d>
                      <m:dPr>
                        <m:begChr m:val="|"/>
                        <m:sepChr m:val=""/>
                        <m:endChr m:val="|"/>
                        <m:grow/>
                      </m:dPr>
                      <m:e>
                        <m:sSub>
                          <m:e>
                            <m:r>
                              <m:t>A</m:t>
                            </m:r>
                          </m:e>
                          <m:sub>
                            <m:r>
                              <m:t>v</m:t>
                            </m:r>
                          </m:sub>
                        </m:sSub>
                      </m:e>
                    </m:d>
                    <m:r>
                      <m:rPr>
                        <m:sty m:val="p"/>
                      </m:rPr>
                      <m:t>&lt;</m:t>
                    </m:r>
                    <m:r>
                      <m:t>N</m:t>
                    </m:r>
                    <m:r>
                      <m:rPr>
                        <m:sty m:val="p"/>
                      </m:rPr>
                      <m:t>.</m:t>
                    </m:r>
                  </m:e>
                </m:mr>
              </m:m>
            </m:e>
          </m:d>
        </m:oMath>
      </m:oMathPara>
    </w:p>
    <w:p>
      <w:pPr>
        <w:pStyle w:val="FirstParagraph"/>
      </w:pPr>
      <w:r>
        <w:t xml:space="preserve">Invalid, unauthorised, or duplicate approval attempts are rejected and do not contribute to the valid approval count.</w:t>
      </w:r>
    </w:p>
    <w:p>
      <w:pPr>
        <w:pStyle w:val="BodyText"/>
      </w:pPr>
      <w:r>
        <w:t xml:space="preserve">The overall procedure can therefore be represented as:</w:t>
      </w:r>
    </w:p>
    <w:p>
      <w:pPr>
        <w:pStyle w:val="BodyText"/>
      </w:pPr>
      <m:oMathPara>
        <m:oMathParaPr>
          <m:jc m:val="center"/>
        </m:oMathParaPr>
        <m:oMath>
          <m:m>
            <m:mPr>
              <m:baseJc m:val="center"/>
              <m:plcHide m:val="on"/>
              <m:mcs>
                <m:mc>
                  <m:mcPr>
                    <m:count m:val="1"/>
                    <m:mcJc m:val="left"/>
                  </m:mcPr>
                </m:mc>
              </m:mcs>
            </m:mPr>
            <m:mr>
              <m:e>
                <m:r>
                  <m:t>G</m:t>
                </m:r>
                <m:r>
                  <m:rPr>
                    <m:sty m:val="p"/>
                  </m:rPr>
                  <m:t>→</m:t>
                </m:r>
                <m:r>
                  <m:t>N</m:t>
                </m:r>
                <m:r>
                  <m:rPr>
                    <m:sty m:val="p"/>
                  </m:rPr>
                  <m:t>→</m:t>
                </m:r>
                <m:r>
                  <m:t>a</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E</m:t>
                </m:r>
                <m:r>
                  <m:t>l</m:t>
                </m:r>
                <m:r>
                  <m:t>i</m:t>
                </m:r>
                <m:r>
                  <m:t>g</m:t>
                </m:r>
                <m:r>
                  <m:t>i</m:t>
                </m:r>
                <m:r>
                  <m:t>b</m:t>
                </m:r>
                <m:r>
                  <m:t>i</m:t>
                </m:r>
                <m:r>
                  <m:t>l</m:t>
                </m:r>
                <m:r>
                  <m:t>i</m:t>
                </m:r>
                <m:r>
                  <m:t>t</m:t>
                </m:r>
                <m:r>
                  <m:t>y</m:t>
                </m:r>
              </m:e>
            </m:mr>
            <m:mr>
              <m:e>
                <m:r>
                  <m:rPr>
                    <m:sty m:val="p"/>
                  </m:rPr>
                  <m:t>→</m:t>
                </m:r>
                <m:r>
                  <m:t>D</m:t>
                </m:r>
                <m:r>
                  <m:t>u</m:t>
                </m:r>
                <m:r>
                  <m:t>p</m:t>
                </m:r>
                <m:r>
                  <m:t>l</m:t>
                </m:r>
                <m:r>
                  <m:t>i</m:t>
                </m:r>
                <m:r>
                  <m:t>c</m:t>
                </m:r>
                <m:r>
                  <m:t>a</m:t>
                </m:r>
                <m:r>
                  <m:t>t</m:t>
                </m:r>
                <m:r>
                  <m:t>e</m:t>
                </m:r>
                <m:r>
                  <m:t> </m:t>
                </m:r>
                <m:r>
                  <m:t>C</m:t>
                </m:r>
                <m:r>
                  <m:t>h</m:t>
                </m:r>
                <m:r>
                  <m:t>e</m:t>
                </m:r>
                <m:r>
                  <m:t>c</m:t>
                </m:r>
                <m:r>
                  <m:t>k</m:t>
                </m:r>
                <m:r>
                  <m:rPr>
                    <m:sty m:val="p"/>
                  </m:rPr>
                  <m:t>→</m:t>
                </m:r>
                <m:sSub>
                  <m:e>
                    <m:r>
                      <m:t>A</m:t>
                    </m:r>
                  </m:e>
                  <m:sub>
                    <m:r>
                      <m:t>v</m:t>
                    </m:r>
                  </m:sub>
                </m:sSub>
                <m:r>
                  <m:rPr>
                    <m:sty m:val="p"/>
                  </m:rPr>
                  <m:t>→</m:t>
                </m:r>
                <m:d>
                  <m:dPr>
                    <m:begChr m:val="|"/>
                    <m:sepChr m:val=""/>
                    <m:endChr m:val="|"/>
                    <m:grow/>
                  </m:dPr>
                  <m:e>
                    <m:sSub>
                      <m:e>
                        <m:r>
                          <m:t>A</m:t>
                        </m:r>
                      </m:e>
                      <m:sub>
                        <m:r>
                          <m:t>v</m:t>
                        </m:r>
                      </m:sub>
                    </m:sSub>
                  </m:e>
                </m:d>
                <m:r>
                  <m:rPr>
                    <m:sty m:val="p"/>
                  </m:rPr>
                  <m:t>≥</m:t>
                </m:r>
                <m:r>
                  <m:t>N</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P</m:t>
                          </m:r>
                          <m:r>
                            <m:t>E</m:t>
                          </m:r>
                          <m:r>
                            <m:t>N</m:t>
                          </m:r>
                          <m:r>
                            <m:t>D</m:t>
                          </m:r>
                          <m:r>
                            <m:t>I</m:t>
                          </m:r>
                          <m:r>
                            <m:t>N</m:t>
                          </m:r>
                          <m:r>
                            <m:t>G</m:t>
                          </m:r>
                        </m:e>
                      </m:mr>
                    </m:m>
                  </m:e>
                </m:d>
              </m:e>
            </m:mr>
          </m:m>
          <m:r>
            <m:t>  </m:t>
          </m:r>
          <m:r>
            <m:t>  </m:t>
          </m:r>
          <m:r>
            <m:rPr>
              <m:sty m:val="p"/>
            </m:rPr>
            <m:t>(</m:t>
          </m:r>
          <m:r>
            <m:t>29</m:t>
          </m:r>
          <m:r>
            <m:rPr>
              <m:sty m:val="p"/>
            </m:rPr>
            <m:t>)</m:t>
          </m:r>
        </m:oMath>
      </m:oMathPara>
    </w:p>
    <w:p>
      <w:pPr>
        <w:pStyle w:val="FirstParagraph"/>
      </w:pPr>
      <w:r>
        <w:t xml:space="preserve">The threshold condition can be expressed more explicitly as</w:t>
      </w:r>
    </w:p>
    <w:p>
      <w:pPr>
        <w:pStyle w:val="BodyText"/>
      </w:pPr>
      <m:oMathPara>
        <m:oMathParaPr>
          <m:jc m:val="center"/>
        </m:oMathParaPr>
        <m:oMath>
          <m:m>
            <m:mPr>
              <m:baseJc m:val="center"/>
              <m:plcHide m:val="on"/>
              <m:mcs>
                <m:mc>
                  <m:mcPr>
                    <m:count m:val="1"/>
                    <m:mcJc m:val="left"/>
                  </m:mcPr>
                </m:mc>
              </m:mcs>
            </m:mPr>
            <m:mr>
              <m:e>
                <m:r>
                  <m:rPr>
                    <m:sty m:val="p"/>
                  </m:rPr>
                  <m:t>[</m:t>
                </m:r>
                <m:r>
                  <m:rPr>
                    <m:sty m:val="p"/>
                  </m:rPr>
                  <m:t>∀</m:t>
                </m:r>
                <m:sSub>
                  <m:e>
                    <m:r>
                      <m:t>u</m:t>
                    </m:r>
                  </m:e>
                  <m:sub>
                    <m:r>
                      <m:t>i</m:t>
                    </m:r>
                  </m:sub>
                </m:sSub>
                <m:r>
                  <m:rPr>
                    <m:sty m:val="p"/>
                  </m:rPr>
                  <m:t>∈</m:t>
                </m:r>
                <m:sSub>
                  <m:e>
                    <m:r>
                      <m:t>A</m:t>
                    </m:r>
                  </m:e>
                  <m:sub>
                    <m:r>
                      <m:t>v</m:t>
                    </m:r>
                  </m:sub>
                </m:sSub>
                <m:r>
                  <m:rPr>
                    <m:sty m:val="p"/>
                  </m:rPr>
                  <m:t>,</m:t>
                </m:r>
                <m:r>
                  <m:t>I</m:t>
                </m:r>
                <m:r>
                  <m:t>d</m:t>
                </m:r>
                <m:r>
                  <m:t>e</m:t>
                </m:r>
                <m:r>
                  <m:t>n</m:t>
                </m:r>
                <m:r>
                  <m:t>t</m:t>
                </m:r>
                <m:r>
                  <m:t>i</m:t>
                </m:r>
                <m:r>
                  <m:t>t</m:t>
                </m:r>
                <m:r>
                  <m:t>y</m:t>
                </m:r>
                <m:r>
                  <m:rPr>
                    <m:sty m:val="p"/>
                  </m:rPr>
                  <m:t>(</m:t>
                </m:r>
                <m:sSub>
                  <m:e>
                    <m:r>
                      <m:t>u</m:t>
                    </m:r>
                  </m:e>
                  <m:sub>
                    <m:r>
                      <m:t>i</m:t>
                    </m:r>
                  </m:sub>
                </m:sSub>
                <m:r>
                  <m:rPr>
                    <m:sty m:val="p"/>
                  </m:rPr>
                  <m:t>)</m:t>
                </m:r>
                <m:r>
                  <m:rPr>
                    <m:sty m:val="p"/>
                  </m:rPr>
                  <m:t>∧</m:t>
                </m:r>
                <m:r>
                  <m:t>A</m:t>
                </m:r>
                <m:r>
                  <m:t>u</m:t>
                </m:r>
                <m:r>
                  <m:t>t</m:t>
                </m:r>
                <m:r>
                  <m:t>h</m:t>
                </m:r>
                <m:r>
                  <m:t>o</m:t>
                </m:r>
                <m:r>
                  <m:t>r</m:t>
                </m:r>
                <m:r>
                  <m:t>i</m:t>
                </m:r>
                <m:r>
                  <m:t>t</m:t>
                </m:r>
                <m:r>
                  <m:t>y</m:t>
                </m:r>
                <m:r>
                  <m:rPr>
                    <m:sty m:val="p"/>
                  </m:rPr>
                  <m:t>(</m:t>
                </m:r>
                <m:sSub>
                  <m:e>
                    <m:r>
                      <m:t>u</m:t>
                    </m:r>
                  </m:e>
                  <m:sub>
                    <m:r>
                      <m:t>i</m:t>
                    </m:r>
                  </m:sub>
                </m:sSub>
                <m:r>
                  <m:rPr>
                    <m:sty m:val="p"/>
                  </m:rPr>
                  <m:t>,</m:t>
                </m:r>
                <m:r>
                  <m:t>C</m:t>
                </m:r>
                <m:r>
                  <m:rPr>
                    <m:sty m:val="p"/>
                  </m:rPr>
                  <m:t>)</m:t>
                </m:r>
                <m:r>
                  <m:rPr>
                    <m:sty m:val="p"/>
                  </m:rPr>
                  <m:t>∧</m:t>
                </m:r>
                <m:r>
                  <m:rPr>
                    <m:sty m:val="p"/>
                  </m:rPr>
                  <m:t>(</m:t>
                </m:r>
                <m:sSub>
                  <m:e>
                    <m:r>
                      <m:t>u</m:t>
                    </m:r>
                  </m:e>
                  <m:sub>
                    <m:r>
                      <m:t>i</m:t>
                    </m:r>
                  </m:sub>
                </m:sSub>
                <m:r>
                  <m:rPr>
                    <m:sty m:val="p"/>
                  </m:rPr>
                  <m:t>∈</m:t>
                </m:r>
                <m:r>
                  <m:t>G</m:t>
                </m:r>
                <m:r>
                  <m:rPr>
                    <m:sty m:val="p"/>
                  </m:rPr>
                  <m:t>)</m:t>
                </m:r>
                <m:r>
                  <m:rPr>
                    <m:sty m:val="p"/>
                  </m:rPr>
                  <m:t>]</m:t>
                </m:r>
              </m:e>
            </m:mr>
            <m:mr>
              <m:e>
                <m:r>
                  <m:rPr>
                    <m:sty m:val="p"/>
                  </m:rPr>
                  <m:t>∧</m:t>
                </m:r>
                <m:d>
                  <m:dPr>
                    <m:begChr m:val="|"/>
                    <m:sepChr m:val=""/>
                    <m:endChr m:val="|"/>
                    <m:grow/>
                  </m:dPr>
                  <m:e>
                    <m:sSub>
                      <m:e>
                        <m:r>
                          <m:t>A</m:t>
                        </m:r>
                      </m:e>
                      <m:sub>
                        <m:r>
                          <m:t>v</m:t>
                        </m:r>
                      </m:sub>
                    </m:sSub>
                  </m:e>
                </m:d>
                <m:r>
                  <m:rPr>
                    <m:sty m:val="p"/>
                  </m:rPr>
                  <m:t>≥</m:t>
                </m:r>
                <m:r>
                  <m:t>N</m:t>
                </m:r>
                <m:r>
                  <m:rPr>
                    <m:sty m:val="p"/>
                  </m:rPr>
                  <m:t>⇒</m:t>
                </m:r>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e>
            </m:mr>
          </m:m>
        </m:oMath>
      </m:oMathPara>
    </w:p>
    <w:p>
      <w:pPr>
        <w:pStyle w:val="FirstParagraph"/>
      </w:pPr>
      <w:r>
        <w:t xml:space="preserve">This formulation is important because the threshold is not calculated from the number of submitted approvals alone. Instead, only</w:t>
      </w:r>
      <w:r>
        <w:t xml:space="preserve"> </w:t>
      </w:r>
      <w:r>
        <w:rPr>
          <w:i/>
          <w:iCs/>
        </w:rPr>
        <w:t xml:space="preserve">valid, authorised, eligible, and non-duplicate approvals</w:t>
      </w:r>
      <w:r>
        <w:t xml:space="preserve"> </w:t>
      </w:r>
      <w:r>
        <w:t xml:space="preserve">contribute to the threshold. Consequently, the procedure prevents a participant from satisfying the authorisation requirement merely by submitting multiple approvals or by presenting a valid identity without possessing the required authority.</w:t>
      </w:r>
    </w:p>
    <w:p>
      <w:pPr>
        <w:pStyle w:val="BodyText"/>
      </w:pPr>
      <w:r>
        <w:t xml:space="preserve">The procedure also introduces a clear distinction between</w:t>
      </w:r>
      <w:r>
        <w:t xml:space="preserve"> </w:t>
      </w:r>
      <w:r>
        <w:rPr>
          <w:i/>
          <w:iCs/>
        </w:rPr>
        <w:t xml:space="preserve">approval</w:t>
      </w:r>
      <w:r>
        <w:t xml:space="preserve"> </w:t>
      </w:r>
      <w:r>
        <w:t xml:space="preserve">and</w:t>
      </w:r>
      <w:r>
        <w:t xml:space="preserve"> </w:t>
      </w:r>
      <w:r>
        <w:rPr>
          <w:i/>
          <w:iCs/>
        </w:rPr>
        <w:t xml:space="preserve">authorisation</w:t>
      </w:r>
      <w:r>
        <w:t xml:space="preserve">.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w:t>
      </w:r>
    </w:p>
    <w:p>
      <w:pPr>
        <w:pStyle w:val="BodyText"/>
      </w:pPr>
      <w:r>
        <w:t xml:space="preserve">From a trust perspective, the procedure can therefore be interpreted as</w:t>
      </w:r>
    </w:p>
    <w:p>
      <w:pPr>
        <w:pStyle w:val="BodyText"/>
      </w:pPr>
      <m:oMathPara>
        <m:oMathParaPr>
          <m:jc m:val="center"/>
        </m:oMathParaPr>
        <m:oMath>
          <m:m>
            <m:mPr>
              <m:baseJc m:val="center"/>
              <m:plcHide m:val="on"/>
              <m:mcs>
                <m:mc>
                  <m:mcPr>
                    <m:count m:val="1"/>
                    <m:mcJc m:val="left"/>
                  </m:mcPr>
                </m:mc>
              </m:mcs>
            </m:mPr>
            <m:mr>
              <m:e>
                <m:r>
                  <m:rPr>
                    <m:nor/>
                  </m:rPr>
                  <m:t>Individual Trust Evidence</m:t>
                </m:r>
                <m:r>
                  <m:rPr>
                    <m:sty m:val="p"/>
                  </m:rPr>
                  <m:t>→</m:t>
                </m:r>
                <m:r>
                  <m:rPr>
                    <m:nor/>
                  </m:rPr>
                  <m:t>Collective Approval Evidence</m:t>
                </m:r>
              </m:e>
            </m:mr>
            <m:mr>
              <m:e>
                <m:r>
                  <m:rPr>
                    <m:sty m:val="p"/>
                  </m:rPr>
                  <m:t>→</m:t>
                </m:r>
                <m:r>
                  <m:rPr>
                    <m:nor/>
                  </m:rPr>
                  <m:t>Threshold Satisfaction</m:t>
                </m:r>
                <m:r>
                  <m:rPr>
                    <m:sty m:val="p"/>
                  </m:rPr>
                  <m:t>→</m:t>
                </m:r>
                <m:r>
                  <m:rPr>
                    <m:nor/>
                  </m:rPr>
                  <m:t>Authorisation Activation</m:t>
                </m:r>
              </m:e>
            </m:mr>
          </m:m>
          <m:r>
            <m:t>  </m:t>
          </m:r>
          <m:r>
            <m:t>  </m:t>
          </m:r>
          <m:r>
            <m:rPr>
              <m:sty m:val="p"/>
            </m:rPr>
            <m:t>(</m:t>
          </m:r>
          <m:r>
            <m:t>30</m:t>
          </m:r>
          <m:r>
            <m:rPr>
              <m:sty m:val="p"/>
            </m:rPr>
            <m:t>)</m:t>
          </m:r>
        </m:oMath>
      </m:oMathPara>
    </w:p>
    <w:bookmarkEnd w:id="110"/>
    <w:bookmarkStart w:id="111" w:name="Xb33811a272d7ecbf6236afe90e31520d262e370"/>
    <w:p>
      <w:pPr>
        <w:pStyle w:val="Heading3"/>
      </w:pPr>
      <w:r>
        <w:t xml:space="preserve">6.3.3 Algorithm 3: Threshold-Based Multi-Party Authorisation</w:t>
      </w:r>
    </w:p>
    <w:p>
      <w:pPr>
        <w:pStyle w:val="FirstParagraph"/>
      </w:pPr>
      <w:r>
        <w:t xml:space="preserve">Algorithm 3 explicitly distinguishes between invalid, duplicate, and valid approvals. This distinction is important because simply counting submitted signatures could incorrectly treat unauthorised or repeated approvals as independent evidence.</w:t>
      </w:r>
    </w:p>
    <w:p>
      <w:pPr>
        <w:pStyle w:val="BodyText"/>
      </w:pPr>
      <w: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w:t>
      </w:r>
    </w:p>
    <w:p>
      <w:pPr>
        <w:pStyle w:val="BodyText"/>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Style w:val="Algorithm"/>
      </w:pPr>
      <w:r>
        <w:rPr>
          <w:b/>
          <w:bCs/>
        </w:rPr>
        <w:t xml:space="preserve">Algorithm 3</w:t>
      </w:r>
      <w:r>
        <w:t xml:space="preserve"> </w:t>
      </w:r>
      <w:r>
        <w:t xml:space="preserve">Threshold-Based Multi-Party Authorisation</w:t>
      </w:r>
      <w:r>
        <w:br/>
      </w:r>
      <w:r>
        <w:rPr>
          <w:b/>
          <w:bCs/>
        </w:rPr>
        <w:t xml:space="preserve">Require:</w:t>
      </w:r>
      <w:r>
        <w:t xml:space="preserve"> </w:t>
      </w:r>
      <w:r>
        <w:t xml:space="preserve">Consent object</w:t>
      </w:r>
      <w:r>
        <w:t xml:space="preserve"> </w:t>
      </w:r>
      <m:oMath>
        <m:r>
          <m:t>C</m:t>
        </m:r>
      </m:oMath>
      <w:r>
        <w:t xml:space="preserve">, participant approval</w:t>
      </w:r>
      <w:r>
        <w:t xml:space="preserve"> </w:t>
      </w:r>
      <m:oMath>
        <m:r>
          <m:t>a</m:t>
        </m:r>
      </m:oMath>
      <w:r>
        <w:t xml:space="preserve">, threshold</w:t>
      </w:r>
      <w:r>
        <w:t xml:space="preserve"> </w:t>
      </w:r>
      <m:oMath>
        <m:r>
          <m:t>N</m:t>
        </m:r>
      </m:oMath>
      <w:r>
        <w:br/>
      </w:r>
      <w:r>
        <w:rPr>
          <w:b/>
          <w:bCs/>
        </w:rPr>
        <w:t xml:space="preserve">Ensure:</w:t>
      </w:r>
      <w:r>
        <w:t xml:space="preserve"> </w:t>
      </w:r>
      <w:r>
        <w:t xml:space="preserve">Authorisation result</w:t>
      </w:r>
      <w:r>
        <w:br/>
      </w:r>
      <w:r>
        <w:t xml:space="preserve">1: Retrieve required participant set</w:t>
      </w:r>
      <w:r>
        <w:t xml:space="preserve"> </w:t>
      </w:r>
      <m:oMath>
        <m:r>
          <m:t>G</m:t>
        </m:r>
      </m:oMath>
      <w:r>
        <w:br/>
      </w:r>
      <w:r>
        <w:t xml:space="preserve">2: Verify identity and authority of participant submitting</w:t>
      </w:r>
      <w:r>
        <w:t xml:space="preserve"> </w:t>
      </w:r>
      <m:oMath>
        <m:r>
          <m:t>a</m:t>
        </m:r>
      </m:oMath>
      <w:r>
        <w:br/>
      </w:r>
      <w:r>
        <w:t xml:space="preserve">3:</w:t>
      </w:r>
      <w:r>
        <w:t xml:space="preserve"> </w:t>
      </w:r>
      <w:r>
        <w:rPr>
          <w:b/>
          <w:bCs/>
        </w:rPr>
        <w:t xml:space="preserve">if</w:t>
      </w:r>
      <w:r>
        <w:t xml:space="preserve"> </w:t>
      </w:r>
      <w:r>
        <w:t xml:space="preserve">verification fails</w:t>
      </w:r>
      <w:r>
        <w:t xml:space="preserve"> </w:t>
      </w:r>
      <w:r>
        <w:rPr>
          <w:b/>
          <w:bCs/>
        </w:rPr>
        <w:t xml:space="preserve">then</w:t>
      </w:r>
      <w:r>
        <w:br/>
      </w:r>
      <w:r>
        <w:t xml:space="preserve">    4: Record invalid approval</w:t>
      </w:r>
      <w:r>
        <w:br/>
      </w:r>
      <w:r>
        <w:t xml:space="preserve">    5:</w:t>
      </w:r>
      <w:r>
        <w:t xml:space="preserve"> </w:t>
      </w:r>
      <w:r>
        <w:rPr>
          <w:b/>
          <w:bCs/>
        </w:rPr>
        <w:t xml:space="preserve">return</w:t>
      </w:r>
      <w:r>
        <w:t xml:space="preserve"> </w:t>
      </w:r>
      <w:r>
        <w:t xml:space="preserve">DENY</w:t>
      </w:r>
      <w:r>
        <w:br/>
      </w:r>
      <w:r>
        <w:t xml:space="preserve">6:</w:t>
      </w:r>
      <w:r>
        <w:t xml:space="preserve"> </w:t>
      </w:r>
      <w:r>
        <w:rPr>
          <w:b/>
          <w:bCs/>
        </w:rPr>
        <w:t xml:space="preserve">end if</w:t>
      </w:r>
      <w:r>
        <w:br/>
      </w:r>
      <w:r>
        <w:t xml:space="preserve">7:</w:t>
      </w:r>
      <w:r>
        <w:t xml:space="preserve"> </w:t>
      </w:r>
      <w:r>
        <w:rPr>
          <w:b/>
          <w:bCs/>
        </w:rPr>
        <w:t xml:space="preserve">if</w:t>
      </w:r>
      <w:r>
        <w:t xml:space="preserve"> </w:t>
      </w:r>
      <w:r>
        <w:t xml:space="preserve">participant is not in</w:t>
      </w:r>
      <w:r>
        <w:t xml:space="preserve"> </w:t>
      </w:r>
      <m:oMath>
        <m:r>
          <m:t>G</m:t>
        </m:r>
      </m:oMath>
      <w:r>
        <w:t xml:space="preserve"> </w:t>
      </w:r>
      <w:r>
        <w:rPr>
          <w:b/>
          <w:bCs/>
        </w:rPr>
        <w:t xml:space="preserve">then</w:t>
      </w:r>
      <w:r>
        <w:br/>
      </w:r>
      <w:r>
        <w:t xml:space="preserve">    8: Record unauthorised approval attempt</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w:t>
      </w:r>
      <w:r>
        <w:t xml:space="preserve"> </w:t>
      </w:r>
      <w:r>
        <w:rPr>
          <w:b/>
          <w:bCs/>
        </w:rPr>
        <w:t xml:space="preserve">if</w:t>
      </w:r>
      <w:r>
        <w:t xml:space="preserve"> </w:t>
      </w:r>
      <w:r>
        <w:t xml:space="preserve">participant has already approved</w:t>
      </w:r>
      <w:r>
        <w:t xml:space="preserve"> </w:t>
      </w:r>
      <m:oMath>
        <m:r>
          <m:t>C</m:t>
        </m:r>
      </m:oMath>
      <w:r>
        <w:t xml:space="preserve"> </w:t>
      </w:r>
      <w:r>
        <w:rPr>
          <w:b/>
          <w:bCs/>
        </w:rPr>
        <w:t xml:space="preserve">then</w:t>
      </w:r>
      <w:r>
        <w:br/>
      </w:r>
      <w:r>
        <w:t xml:space="preserve">    12: Record duplicate approval</w:t>
      </w:r>
      <w:r>
        <w:br/>
      </w:r>
      <w:r>
        <w:t xml:space="preserve">    13:</w:t>
      </w:r>
      <w:r>
        <w:t xml:space="preserve"> </w:t>
      </w:r>
      <w:r>
        <w:rPr>
          <w:b/>
          <w:bCs/>
        </w:rPr>
        <w:t xml:space="preserve">return</w:t>
      </w:r>
      <w:r>
        <w:t xml:space="preserve"> </w:t>
      </w:r>
      <w:r>
        <w:t xml:space="preserve">DENY</w:t>
      </w:r>
      <w:r>
        <w:br/>
      </w:r>
      <w:r>
        <w:t xml:space="preserve">14:</w:t>
      </w:r>
      <w:r>
        <w:t xml:space="preserve"> </w:t>
      </w:r>
      <w:r>
        <w:rPr>
          <w:b/>
          <w:bCs/>
        </w:rPr>
        <w:t xml:space="preserve">end if</w:t>
      </w:r>
      <w:r>
        <w:br/>
      </w:r>
      <w:r>
        <w:t xml:space="preserve">15: Record valid approval</w:t>
      </w:r>
      <w:r>
        <w:t xml:space="preserve"> </w:t>
      </w:r>
      <m:oMath>
        <m:r>
          <m:t>a</m:t>
        </m:r>
      </m:oMath>
      <w:r>
        <w:br/>
      </w:r>
      <w:r>
        <w:t xml:space="preserve">16: Update valid approval set</w:t>
      </w:r>
      <w:r>
        <w:t xml:space="preserve"> </w:t>
      </w:r>
      <m:oMath>
        <m:sSub>
          <m:e>
            <m:r>
              <m:t>A</m:t>
            </m:r>
          </m:e>
          <m:sub>
            <m:r>
              <m:t>v</m:t>
            </m:r>
          </m:sub>
        </m:sSub>
      </m:oMath>
      <w:r>
        <w:br/>
      </w:r>
      <w:r>
        <w:t xml:space="preserve">17:</w:t>
      </w:r>
      <w:r>
        <w:t xml:space="preserve"> </w:t>
      </w:r>
      <w:r>
        <w:rPr>
          <w:b/>
          <w:bCs/>
        </w:rPr>
        <w:t xml:space="preserve">if</w:t>
      </w:r>
      <w:r>
        <w:t xml:space="preserve"> </w:t>
      </w:r>
      <m:oMath>
        <m:d>
          <m:dPr>
            <m:begChr m:val="|"/>
            <m:sepChr m:val=""/>
            <m:endChr m:val="|"/>
            <m:grow/>
          </m:dPr>
          <m:e>
            <m:sSub>
              <m:e>
                <m:r>
                  <m:t>A</m:t>
                </m:r>
              </m:e>
              <m:sub>
                <m:r>
                  <m:t>v</m:t>
                </m:r>
              </m:sub>
            </m:sSub>
          </m:e>
        </m:d>
        <m:r>
          <m:rPr>
            <m:sty m:val="p"/>
          </m:rPr>
          <m:t>≥</m:t>
        </m:r>
        <m:r>
          <m:t>N</m:t>
        </m:r>
      </m:oMath>
      <w:r>
        <w:t xml:space="preserve"> </w:t>
      </w:r>
      <w:r>
        <w:rPr>
          <w:b/>
          <w:bCs/>
        </w:rPr>
        <w:t xml:space="preserve">then</w:t>
      </w:r>
      <w:r>
        <w:br/>
      </w:r>
      <w:r>
        <w:t xml:space="preserve">    18: Activate authorisation</w:t>
      </w:r>
      <w:r>
        <w:br/>
      </w:r>
      <w:r>
        <w:t xml:space="preserve">    19: Generate activation or token evidence</w:t>
      </w:r>
      <w:r>
        <w:br/>
      </w:r>
      <w:r>
        <w:t xml:space="preserve">    20: Record threshold-satisfied event</w:t>
      </w:r>
      <w:r>
        <w:br/>
      </w:r>
      <w:r>
        <w:t xml:space="preserve">    21:</w:t>
      </w:r>
      <w:r>
        <w:t xml:space="preserve"> </w:t>
      </w:r>
      <w:r>
        <w:rPr>
          <w:b/>
          <w:bCs/>
        </w:rPr>
        <w:t xml:space="preserve">return</w:t>
      </w:r>
      <w:r>
        <w:t xml:space="preserve"> </w:t>
      </w:r>
      <w:r>
        <w:t xml:space="preserve">ALLOW</w:t>
      </w:r>
      <w:r>
        <w:br/>
      </w:r>
      <w:r>
        <w:t xml:space="preserve">22:</w:t>
      </w:r>
      <w:r>
        <w:t xml:space="preserve"> </w:t>
      </w:r>
      <w:r>
        <w:rPr>
          <w:b/>
          <w:bCs/>
        </w:rPr>
        <w:t xml:space="preserve">else</w:t>
      </w:r>
      <w:r>
        <w:br/>
      </w:r>
      <w:r>
        <w:t xml:space="preserve">    23: Keep consent in pending state</w:t>
      </w:r>
      <w:r>
        <w:br/>
      </w:r>
      <w:r>
        <w:t xml:space="preserve">    24: Record threshold-pending event</w:t>
      </w:r>
      <w:r>
        <w:br/>
      </w:r>
      <w:r>
        <w:t xml:space="preserve">    25:</w:t>
      </w:r>
      <w:r>
        <w:t xml:space="preserve"> </w:t>
      </w:r>
      <w:r>
        <w:rPr>
          <w:b/>
          <w:bCs/>
        </w:rPr>
        <w:t xml:space="preserve">return</w:t>
      </w:r>
      <w:r>
        <w:t xml:space="preserve"> </w:t>
      </w:r>
      <w:r>
        <w:t xml:space="preserve">PENDING</w:t>
      </w:r>
      <w:r>
        <w:br/>
      </w:r>
      <w:r>
        <w:t xml:space="preserve">26:</w:t>
      </w:r>
      <w:r>
        <w:t xml:space="preserve"> </w:t>
      </w:r>
      <w:r>
        <w:rPr>
          <w:b/>
          <w:bCs/>
        </w:rPr>
        <w:t xml:space="preserve">end if</w:t>
      </w:r>
    </w:p>
    <w:bookmarkEnd w:id="111"/>
    <w:bookmarkEnd w:id="112"/>
    <w:bookmarkStart w:id="119" w:name="X77d8a567f90fbf98e40547b4be1462ed72e9750"/>
    <w:p>
      <w:pPr>
        <w:pStyle w:val="Heading2"/>
      </w:pPr>
      <w:r>
        <w:t xml:space="preserve">6.4 Policy- and Context-Aware Access Control for RO4</w:t>
      </w:r>
    </w:p>
    <w:p>
      <w:pPr>
        <w:pStyle w:val="FirstParagraph"/>
      </w:pPr>
      <w:r>
        <w:t xml:space="preserve">RO4 addresses SRQ4 by developing a policy-aware authorisation mechanism that evaluates the purpose and data scope of a requested operation against the constraints defined by the consent.</w:t>
      </w:r>
    </w:p>
    <w:p>
      <w:pPr>
        <w:pStyle w:val="BodyText"/>
      </w:pPr>
      <w:r>
        <w:t xml:space="preserve">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BodyText"/>
      </w:pPr>
      <w:r>
        <w:t xml:space="preserve">Let</w:t>
      </w:r>
      <w:r>
        <w:t xml:space="preserve"> </w:t>
      </w:r>
      <w:r>
        <w:rPr>
          <w:i/>
          <w:iCs/>
        </w:rPr>
        <w:t xml:space="preserve">S</w:t>
      </w:r>
      <w:r>
        <w:rPr>
          <w:vertAlign w:val="subscript"/>
        </w:rPr>
        <w:t xml:space="preserve">C</w:t>
      </w:r>
      <w:r>
        <w:t xml:space="preserve"> </w:t>
      </w:r>
      <w:r>
        <w:t xml:space="preserve">denote the data scope authorised by the consent and</w:t>
      </w:r>
      <w:r>
        <w:t xml:space="preserve"> </w:t>
      </w:r>
      <w:r>
        <w:rPr>
          <w:i/>
          <w:iCs/>
        </w:rPr>
        <w:t xml:space="preserve">S</w:t>
      </w:r>
      <w:r>
        <w:rPr>
          <w:vertAlign w:val="subscript"/>
        </w:rPr>
        <w:t xml:space="preserve">R</w:t>
      </w:r>
      <w:r>
        <w:t xml:space="preserve"> </w:t>
      </w:r>
      <w:r>
        <w:t xml:space="preserve">denote the data scope requested by the participant. The scope condition is</w:t>
      </w:r>
    </w:p>
    <w:p>
      <w:pPr>
        <w:pStyle w:val="BodyText"/>
      </w:pPr>
      <m:oMathPara>
        <m:oMathParaPr>
          <m:jc m:val="center"/>
        </m:oMathParaPr>
        <m:oMath>
          <m:sSub>
            <m:e>
              <m:r>
                <m:t>V</m:t>
              </m:r>
            </m:e>
            <m:sub>
              <m:r>
                <m:t>S</m:t>
              </m:r>
            </m:sub>
          </m:sSub>
          <m:r>
            <m:rPr>
              <m:sty m:val="p"/>
            </m:rPr>
            <m:t>(</m:t>
          </m:r>
          <m:r>
            <m:t>C</m:t>
          </m:r>
          <m:r>
            <m:rPr>
              <m:sty m:val="p"/>
            </m:rPr>
            <m:t>,</m:t>
          </m:r>
          <m:r>
            <m:t>R</m:t>
          </m:r>
          <m:r>
            <m:rPr>
              <m:sty m:val="p"/>
            </m:rPr>
            <m:t>)</m:t>
          </m:r>
          <m:r>
            <m:rPr>
              <m:sty m:val="p"/>
            </m:rPr>
            <m:t>=</m:t>
          </m:r>
          <m:r>
            <m:t>1</m:t>
          </m:r>
          <m:r>
            <m:rPr>
              <m:sty m:val="p"/>
            </m:rPr>
            <m:t>⇔</m:t>
          </m:r>
          <m:sSub>
            <m:e>
              <m:r>
                <m:t>S</m:t>
              </m:r>
            </m:e>
            <m:sub>
              <m:r>
                <m:t>R</m:t>
              </m:r>
            </m:sub>
          </m:sSub>
          <m:r>
            <m:rPr>
              <m:sty m:val="p"/>
            </m:rPr>
            <m:t>⊆</m:t>
          </m:r>
          <m:sSub>
            <m:e>
              <m:r>
                <m:t>S</m:t>
              </m:r>
            </m:e>
            <m:sub>
              <m:r>
                <m:t>C</m:t>
              </m:r>
            </m:sub>
          </m:sSub>
          <m:r>
            <m:rPr>
              <m:sty m:val="p"/>
            </m:rPr>
            <m:t>.</m:t>
          </m:r>
          <m:r>
            <m:t>  </m:t>
          </m:r>
          <m:r>
            <m:t>  </m:t>
          </m:r>
          <m:r>
            <m:rPr>
              <m:sty m:val="p"/>
            </m:rPr>
            <m:t>(</m:t>
          </m:r>
          <m:r>
            <m:t>31</m:t>
          </m:r>
          <m:r>
            <m:rPr>
              <m:sty m:val="p"/>
            </m:rPr>
            <m:t>)</m:t>
          </m:r>
        </m:oMath>
      </m:oMathPara>
    </w:p>
    <w:p>
      <w:pPr>
        <w:pStyle w:val="FirstParagraph"/>
      </w:pPr>
      <w:r>
        <w:t xml:space="preserve">The policy condition can therefore be expressed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sSub>
            <m:e>
              <m:r>
                <m:t>V</m:t>
              </m:r>
            </m:e>
            <m:sub>
              <m:r>
                <m:t>U</m:t>
              </m:r>
            </m:sub>
          </m:sSub>
          <m:r>
            <m:rPr>
              <m:sty m:val="p"/>
            </m:rPr>
            <m:t>(</m:t>
          </m:r>
          <m:r>
            <m:t>C</m:t>
          </m:r>
          <m:r>
            <m:rPr>
              <m:sty m:val="p"/>
            </m:rPr>
            <m:t>,</m:t>
          </m:r>
          <m:r>
            <m:t>R</m:t>
          </m:r>
          <m:r>
            <m:rPr>
              <m:sty m:val="p"/>
            </m:rPr>
            <m:t>)</m:t>
          </m:r>
          <m:r>
            <m:rPr>
              <m:sty m:val="p"/>
            </m:rPr>
            <m:t>∧</m:t>
          </m:r>
          <m:sSub>
            <m:e>
              <m:r>
                <m:t>V</m:t>
              </m:r>
            </m:e>
            <m:sub>
              <m:r>
                <m:t>S</m:t>
              </m:r>
            </m:sub>
          </m:sSub>
          <m:r>
            <m:rPr>
              <m:sty m:val="p"/>
            </m:rPr>
            <m:t>(</m:t>
          </m:r>
          <m:r>
            <m:t>C</m:t>
          </m:r>
          <m:r>
            <m:rPr>
              <m:sty m:val="p"/>
            </m:rPr>
            <m:t>,</m:t>
          </m:r>
          <m:r>
            <m:t>R</m:t>
          </m:r>
          <m:r>
            <m:rPr>
              <m:sty m:val="p"/>
            </m:rPr>
            <m:t>)</m:t>
          </m:r>
          <m:r>
            <m:rPr>
              <m:sty m:val="p"/>
            </m:rPr>
            <m:t>,</m:t>
          </m:r>
          <m:r>
            <m:t>  </m:t>
          </m:r>
          <m:r>
            <m:t>  </m:t>
          </m:r>
          <m:r>
            <m:rPr>
              <m:sty m:val="p"/>
            </m:rPr>
            <m:t>(</m:t>
          </m:r>
          <m:r>
            <m:t>32</m:t>
          </m:r>
          <m:r>
            <m:rPr>
              <m:sty m:val="p"/>
            </m:rPr>
            <m:t>)</m:t>
          </m:r>
        </m:oMath>
      </m:oMathPara>
    </w:p>
    <w:p>
      <w:pPr>
        <w:pStyle w:val="FirstParagraph"/>
      </w:pPr>
      <w:r>
        <w:t xml:space="preserve">where</w:t>
      </w:r>
      <w:r>
        <w:t xml:space="preserve"> </w:t>
      </w:r>
      <w:r>
        <w:rPr>
          <w:i/>
          <w:iCs/>
        </w:rPr>
        <w:t xml:space="preserve">V</w:t>
      </w:r>
      <w:r>
        <w:rPr>
          <w:vertAlign w:val="subscript"/>
        </w:rPr>
        <w:t xml:space="preserve">U</w:t>
      </w:r>
      <w:r>
        <w:t xml:space="preserve">(</w:t>
      </w:r>
      <w:r>
        <w:rPr>
          <w:i/>
          <w:iCs/>
        </w:rPr>
        <w:t xml:space="preserve">C, R</w:t>
      </w:r>
      <w:r>
        <w:t xml:space="preserve">) represents purpose compatibility and</w:t>
      </w:r>
      <w:r>
        <w:t xml:space="preserve"> </w:t>
      </w:r>
      <w:r>
        <w:rPr>
          <w:i/>
          <w:iCs/>
        </w:rPr>
        <w:t xml:space="preserve">V</w:t>
      </w:r>
      <w:r>
        <w:rPr>
          <w:vertAlign w:val="subscript"/>
        </w:rPr>
        <w:t xml:space="preserve">S</w:t>
      </w:r>
      <w:r>
        <w:t xml:space="preserve">(</w:t>
      </w:r>
      <w:r>
        <w:rPr>
          <w:i/>
          <w:iCs/>
        </w:rPr>
        <w:t xml:space="preserve">C, R</w:t>
      </w:r>
      <w:r>
        <w:t xml:space="preserve">) represents data-scope compatibility.</w:t>
      </w:r>
    </w:p>
    <w:p>
      <w:pPr>
        <w:pStyle w:val="BodyText"/>
      </w:pPr>
      <w:r>
        <w:t xml:space="preserve">The complete current-stage authorisation decision is given by Eq. (6).</w:t>
      </w:r>
    </w:p>
    <w:bookmarkStart w:id="116" w:name="ro4-policy-aware-access-workflow"/>
    <w:p>
      <w:pPr>
        <w:pStyle w:val="Heading3"/>
      </w:pPr>
      <w:r>
        <w:t xml:space="preserve">6.4.1 RO4 Policy-Aware Access Workflow</w:t>
      </w:r>
    </w:p>
    <w:p>
      <w:pPr>
        <w:pStyle w:val="FirstParagraph"/>
      </w:pPr>
      <w:r>
        <w:t xml:space="preserve">The workflow, shown in Figure 6.4, begins when a doctor submits a request for patient data. The system retrieves the relevant consent object and verifies the requesting participant. It then checks whether the required multi-party authorisation has been established.</w:t>
      </w:r>
    </w:p>
    <w:p>
      <w:pPr>
        <w:pStyle w:val="CaptionedFigure"/>
      </w:pPr>
      <w:r>
        <w:drawing>
          <wp:inline>
            <wp:extent cx="5486400" cy="6503056"/>
            <wp:effectExtent b="0" l="0" r="0" t="0"/>
            <wp:docPr descr="Figure 6.4: RO4 workflow for policy- and context-aware access control" title="" id="114" name="Picture"/>
            <a:graphic>
              <a:graphicData uri="http://schemas.openxmlformats.org/drawingml/2006/picture">
                <pic:pic>
                  <pic:nvPicPr>
                    <pic:cNvPr descr="media_col/fig10.png" id="115" name="Picture"/>
                    <pic:cNvPicPr>
                      <a:picLocks noChangeArrowheads="1" noChangeAspect="1"/>
                    </pic:cNvPicPr>
                  </pic:nvPicPr>
                  <pic:blipFill>
                    <a:blip r:embed="rId113"/>
                    <a:stretch>
                      <a:fillRect/>
                    </a:stretch>
                  </pic:blipFill>
                  <pic:spPr bwMode="auto">
                    <a:xfrm>
                      <a:off x="0" y="0"/>
                      <a:ext cx="5486400" cy="6503056"/>
                    </a:xfrm>
                    <a:prstGeom prst="rect">
                      <a:avLst/>
                    </a:prstGeom>
                    <a:noFill/>
                    <a:ln w="9525">
                      <a:noFill/>
                      <a:headEnd/>
                      <a:tailEnd/>
                    </a:ln>
                  </pic:spPr>
                </pic:pic>
              </a:graphicData>
            </a:graphic>
          </wp:inline>
        </w:drawing>
      </w:r>
    </w:p>
    <w:p>
      <w:pPr>
        <w:pStyle w:val="ImageCaption"/>
      </w:pPr>
      <w:r>
        <w:t xml:space="preserve">Figure 6.4: RO4 workflow for policy- and context-aware access control</w:t>
      </w:r>
    </w:p>
    <w:p>
      <w:pPr>
        <w:pStyle w:val="BodyText"/>
      </w:pPr>
      <w:r>
        <w:t xml:space="preserve">After the identity and authorisation conditions are satisfied, the system evaluates the requested purpose and data scope. A request is permitted only when the purpose is compatible with the consent and the requested data scope is contained within the authorised scope.</w:t>
      </w:r>
    </w:p>
    <w:p>
      <w:pPr>
        <w:pStyle w:val="BodyText"/>
      </w:pPr>
      <w:r>
        <w:t xml:space="preserve">The HALAH implementation provides a concrete basis for this objective. The</w:t>
      </w:r>
      <w:r>
        <w:t xml:space="preserve"> </w:t>
      </w:r>
      <w:r>
        <w:rPr>
          <w:rStyle w:val="OrangeDelete"/>
        </w:rPr>
        <w:t xml:space="preserve">Doctor</w:t>
      </w:r>
      <w:r>
        <w:rPr>
          <w:rStyle w:val="OrangeFix"/>
        </w:rPr>
        <w:t xml:space="preserve">doctor</w:t>
      </w:r>
      <w:r>
        <w:t xml:space="preserve"> </w:t>
      </w:r>
      <w:r>
        <w:t xml:space="preserve">interface retrieves a consent, evaluates its state, allows a requested scope to be selected from the consent scope, generates a proof, checks the requested scope, and invokes the authorisation function before returning data. This behaviour is shown in Figures 7.3–7.4 (Section 7.4).</w:t>
      </w:r>
    </w:p>
    <w:p>
      <w:pPr>
        <w:pStyle w:val="BodyText"/>
      </w:pPr>
      <w:r>
        <w:t xml:space="preserve">For example, the request in Eq. (4) must be denied. This rule prevents a legitimate participant from obtaining data outside the patient’s authorised scope.</w:t>
      </w:r>
    </w:p>
    <w:p>
      <w:pPr>
        <w:pStyle w:val="BodyText"/>
      </w:pPr>
      <w:r>
        <w:rPr>
          <w:b/>
          <w:bCs/>
        </w:rPr>
        <w:t xml:space="preserve">Prototype status of</w:t>
      </w:r>
      <w:r>
        <w:rPr>
          <w:b/>
          <w:bCs/>
        </w:rPr>
        <w:t xml:space="preserve"> </w:t>
      </w:r>
      <m:oMath>
        <m:sSub>
          <m:e>
            <m:r>
              <m:t>V</m:t>
            </m:r>
          </m:e>
          <m:sub>
            <m:r>
              <m:t>P</m:t>
            </m:r>
          </m:sub>
        </m:sSub>
      </m:oMath>
      <w:r>
        <w:rPr>
          <w:b/>
          <w:bCs/>
        </w:rPr>
        <w:t xml:space="preserve">.</w:t>
      </w:r>
      <w:r>
        <w:t xml:space="preserve"> </w:t>
      </w:r>
      <w:r>
        <w:t xml:space="preserve">In the HALAH prototype, scope compatibility</w:t>
      </w:r>
      <w:r>
        <w:t xml:space="preserve"> </w:t>
      </w:r>
      <m:oMath>
        <m:sSub>
          <m:e>
            <m:r>
              <m:t>V</m:t>
            </m:r>
          </m:e>
          <m:sub>
            <m:r>
              <m:t>S</m:t>
            </m:r>
          </m:sub>
        </m:sSub>
        <m:r>
          <m:rPr>
            <m:sty m:val="p"/>
          </m:rPr>
          <m:t>(</m:t>
        </m:r>
        <m:r>
          <m:t>C</m:t>
        </m:r>
        <m:r>
          <m:rPr>
            <m:sty m:val="p"/>
          </m:rPr>
          <m:t>,</m:t>
        </m:r>
        <m:r>
          <m:t>R</m:t>
        </m:r>
        <m:r>
          <m:rPr>
            <m:sty m:val="p"/>
          </m:rPr>
          <m:t>)</m:t>
        </m:r>
      </m:oMath>
      <w:r>
        <w:t xml:space="preserve"> </w:t>
      </w:r>
      <w:r>
        <w:t xml:space="preserve">is enforced: the</w:t>
      </w:r>
      <w:r>
        <w:t xml:space="preserve"> </w:t>
      </w:r>
      <w:r>
        <w:rPr>
          <w:rStyle w:val="OrangeDelete"/>
        </w:rPr>
        <w:t xml:space="preserve">Doctor</w:t>
      </w:r>
      <w:r>
        <w:rPr>
          <w:rStyle w:val="OrangeFix"/>
        </w:rPr>
        <w:t xml:space="preserve">doctor</w:t>
      </w:r>
      <w:r>
        <w:t xml:space="preserve"> </w:t>
      </w:r>
      <w:r>
        <w:t xml:space="preserve">interface offers only modules from the consented scope, and the service layer independently verifies</w:t>
      </w:r>
      <w:r>
        <w:t xml:space="preserve"> </w:t>
      </w:r>
      <m:oMath>
        <m:sSub>
          <m:e>
            <m:r>
              <m:t>S</m:t>
            </m:r>
          </m:e>
          <m:sub>
            <m:r>
              <m:t>R</m:t>
            </m:r>
          </m:sub>
        </m:sSub>
        <m:r>
          <m:rPr>
            <m:sty m:val="p"/>
          </m:rPr>
          <m:t>⊆</m:t>
        </m:r>
        <m:sSub>
          <m:e>
            <m:r>
              <m:t>S</m:t>
            </m:r>
          </m:e>
          <m:sub>
            <m:r>
              <m:t>C</m:t>
            </m:r>
          </m:sub>
        </m:sSub>
      </m:oMath>
      <w:r>
        <w:t xml:space="preserve"> </w:t>
      </w:r>
      <w:r>
        <w:t xml:space="preserve">before any data are returned; a failed check produces an ACCESS DENIED result that is recorded in the audit log. Purpose compatibility</w:t>
      </w:r>
      <w:r>
        <w:t xml:space="preserve"> </w:t>
      </w:r>
      <m:oMath>
        <m:sSub>
          <m:e>
            <m:r>
              <m:t>V</m:t>
            </m:r>
          </m:e>
          <m:sub>
            <m:r>
              <m:t>U</m:t>
            </m:r>
          </m:sub>
        </m:sSub>
        <m:r>
          <m:rPr>
            <m:sty m:val="p"/>
          </m:rPr>
          <m:t>(</m:t>
        </m:r>
        <m:r>
          <m:t>C</m:t>
        </m:r>
        <m:r>
          <m:rPr>
            <m:sty m:val="p"/>
          </m:rPr>
          <m:t>,</m:t>
        </m:r>
        <m:r>
          <m:t>R</m:t>
        </m:r>
        <m:r>
          <m:rPr>
            <m:sty m:val="p"/>
          </m:rPr>
          <m:t>)</m:t>
        </m:r>
      </m:oMath>
      <w:r>
        <w:t xml:space="preserve"> </w:t>
      </w:r>
      <w:r>
        <w:t xml:space="preserve">is only partly implemented: the consent purpose is checked against the permitted set {Treatment, Research, Emergency}, but the requester does not yet declare a purpose, so the comparison</w:t>
      </w:r>
      <w:r>
        <w:t xml:space="preserve"> </w:t>
      </w:r>
      <m:oMath>
        <m:sSub>
          <m:e>
            <m:r>
              <m:t>P</m:t>
            </m:r>
          </m:e>
          <m:sub>
            <m:r>
              <m:t>R</m:t>
            </m:r>
          </m:sub>
        </m:sSub>
        <m:r>
          <m:rPr>
            <m:sty m:val="p"/>
          </m:rPr>
          <m:t>⊨</m:t>
        </m:r>
        <m:sSub>
          <m:e>
            <m:r>
              <m:t>P</m:t>
            </m:r>
          </m:e>
          <m:sub>
            <m:r>
              <m:t>C</m:t>
            </m:r>
          </m:sub>
        </m:sSub>
      </m:oMath>
      <w:r>
        <w:t xml:space="preserve"> </w:t>
      </w:r>
      <w:r>
        <w:t xml:space="preserve">is scheduled for Stage 2. In addition, the full decision matrix (</w:t>
      </w:r>
      <m:oMath>
        <m:sSub>
          <m:e>
            <m:r>
              <m:t>V</m:t>
            </m:r>
          </m:e>
          <m:sub>
            <m:r>
              <m:t>I</m:t>
            </m:r>
          </m:sub>
        </m:sSub>
      </m:oMath>
      <w:r>
        <w:t xml:space="preserve">,</w:t>
      </w:r>
      <w:r>
        <w:t xml:space="preserve"> </w:t>
      </w:r>
      <m:oMath>
        <m:sSub>
          <m:e>
            <m:r>
              <m:t>V</m:t>
            </m:r>
          </m:e>
          <m:sub>
            <m:r>
              <m:t>A</m:t>
            </m:r>
          </m:sub>
        </m:sSub>
      </m:oMath>
      <w:r>
        <w:t xml:space="preserve">,</w:t>
      </w:r>
      <w:r>
        <w:t xml:space="preserve"> </w:t>
      </w:r>
      <m:oMath>
        <m:sSub>
          <m:e>
            <m:r>
              <m:t>V</m:t>
            </m:r>
          </m:e>
          <m:sub>
            <m:r>
              <m:t>P</m:t>
            </m:r>
          </m:sub>
        </m:sSub>
      </m:oMath>
      <w:r>
        <w:t xml:space="preserve">,</w:t>
      </w:r>
      <w:r>
        <w:t xml:space="preserve"> </w:t>
      </w:r>
      <m:oMath>
        <m:sSub>
          <m:e>
            <m:r>
              <m:t>V</m:t>
            </m:r>
          </m:e>
          <m:sub>
            <m:r>
              <m:t>T</m:t>
            </m:r>
          </m:sub>
        </m:sSub>
      </m:oMath>
      <w:r>
        <w:t xml:space="preserve">,</w:t>
      </w:r>
      <w:r>
        <w:t xml:space="preserve"> </w:t>
      </w:r>
      <m:oMath>
        <m:sSub>
          <m:e>
            <m:r>
              <m:t>V</m:t>
            </m:r>
          </m:e>
          <m:sub>
            <m:r>
              <m:t>L</m:t>
            </m:r>
          </m:sub>
        </m:sSub>
      </m:oMath>
      <w:r>
        <w:t xml:space="preserve">) is computed and displayed to the requester, whereas the data-release gate currently requires an ACTIVE consent state, a valid access proof and a valid scope. Routing the release decision through the full matrix is a small planned change that</w:t>
      </w:r>
      <w:r>
        <w:t xml:space="preserve"> </w:t>
      </w:r>
      <w:r>
        <w:rPr>
          <w:rStyle w:val="OrangeDelete"/>
        </w:rPr>
        <w:t xml:space="preserve">will make the implemented gate identical to Eq. (6).</w:t>
      </w:r>
      <w:r>
        <w:rPr>
          <w:rStyle w:val="OrangeFix"/>
        </w:rPr>
        <w:t xml:space="preserve">will make the implemented gate identical to Eq. (24).</w:t>
      </w:r>
    </w:p>
    <w:bookmarkEnd w:id="116"/>
    <w:bookmarkStart w:id="117" w:name="X9b9350abce928b4bfd4821dc61b387a8eede2be"/>
    <w:p>
      <w:pPr>
        <w:pStyle w:val="Heading3"/>
      </w:pPr>
      <w:r>
        <w:t xml:space="preserve">6.4.2 Procedure for Policy-Aware Access Decision</w:t>
      </w:r>
    </w:p>
    <w:p>
      <w:pPr>
        <w:pStyle w:val="FirstParagraph"/>
      </w:pPr>
      <w: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w:t>
      </w:r>
    </w:p>
    <w:p>
      <w:pPr>
        <w:pStyle w:val="Compact"/>
        <w:numPr>
          <w:ilvl w:val="0"/>
          <w:numId w:val="1039"/>
        </w:numPr>
      </w:pPr>
      <w:r>
        <w:rPr>
          <w:b/>
          <w:bCs/>
        </w:rPr>
        <w:t xml:space="preserve">Step 1 – Receive and Parse the Access Request.</w:t>
      </w:r>
    </w:p>
    <w:p>
      <w:pPr>
        <w:pStyle w:val="FirstParagraph"/>
      </w:pPr>
      <w:r>
        <w:t xml:space="preserve">The system receives an access request</w:t>
      </w:r>
      <w:r>
        <w:t xml:space="preserve"> </w:t>
      </w:r>
      <w:r>
        <w:rPr>
          <w:i/>
          <w:iCs/>
        </w:rPr>
        <w:t xml:space="preserve">R</w:t>
      </w:r>
      <w:r>
        <w:t xml:space="preserve"> </w:t>
      </w:r>
      <w:r>
        <w:t xml:space="preserve">from requesting participant</w:t>
      </w:r>
      <w:r>
        <w:t xml:space="preserve"> </w:t>
      </w:r>
      <w:r>
        <w:rPr>
          <w:i/>
          <w:iCs/>
        </w:rPr>
        <w:t xml:space="preserve">u</w:t>
      </w:r>
      <w:r>
        <w:t xml:space="preserve">. The request specifies the healthcare resources requested by the participant and the intended purpose of access. The requested data scope is denoted by</w:t>
      </w:r>
      <w:r>
        <w:t xml:space="preserve"> </w:t>
      </w:r>
      <w:r>
        <w:rPr>
          <w:i/>
          <w:iCs/>
        </w:rPr>
        <w:t xml:space="preserve">S</w:t>
      </w:r>
      <w:r>
        <w:rPr>
          <w:vertAlign w:val="subscript"/>
        </w:rPr>
        <w:t xml:space="preserve">R</w:t>
      </w:r>
      <w:r>
        <w:t xml:space="preserve">, while the purpose associated with the request is denoted by</w:t>
      </w:r>
      <w:r>
        <w:t xml:space="preserve"> </w:t>
      </w:r>
      <w:r>
        <w:rPr>
          <w:i/>
          <w:iCs/>
        </w:rPr>
        <w:t xml:space="preserve">P</w:t>
      </w:r>
      <w:r>
        <w:rPr>
          <w:vertAlign w:val="subscript"/>
        </w:rPr>
        <w:t xml:space="preserve">R</w:t>
      </w:r>
      <w:r>
        <w:t xml:space="preserve">. The access request can therefore be represented as</w:t>
      </w:r>
    </w:p>
    <w:p>
      <w:pPr>
        <w:pStyle w:val="BodyText"/>
      </w:pPr>
      <m:oMathPara>
        <m:oMathParaPr>
          <m:jc m:val="center"/>
        </m:oMathParaPr>
        <m:oMath>
          <m:r>
            <m:t>R</m:t>
          </m:r>
          <m:r>
            <m:rPr>
              <m:sty m:val="p"/>
            </m:rPr>
            <m:t>=</m:t>
          </m:r>
          <m:r>
            <m:rPr>
              <m:sty m:val="p"/>
            </m:rPr>
            <m:t>(</m:t>
          </m:r>
          <m:r>
            <m:t>u</m:t>
          </m:r>
          <m:r>
            <m:rPr>
              <m:sty m:val="p"/>
            </m:rPr>
            <m:t>,</m:t>
          </m:r>
          <m:sSub>
            <m:e>
              <m:r>
                <m:t>P</m:t>
              </m:r>
            </m:e>
            <m:sub>
              <m:r>
                <m:t>R</m:t>
              </m:r>
            </m:sub>
          </m:sSub>
          <m:r>
            <m:rPr>
              <m:sty m:val="p"/>
            </m:rPr>
            <m:t>,</m:t>
          </m:r>
          <m:sSub>
            <m:e>
              <m:r>
                <m:t>S</m:t>
              </m:r>
            </m:e>
            <m:sub>
              <m:r>
                <m:t>R</m:t>
              </m:r>
            </m:sub>
          </m:sSub>
          <m:r>
            <m:rPr>
              <m:sty m:val="p"/>
            </m:rPr>
            <m:t>)</m:t>
          </m:r>
          <m:r>
            <m:rPr>
              <m:sty m:val="p"/>
            </m:rPr>
            <m:t>.</m:t>
          </m:r>
        </m:oMath>
      </m:oMathPara>
    </w:p>
    <w:p>
      <w:pPr>
        <w:pStyle w:val="FirstParagraph"/>
      </w:pPr>
      <w:r>
        <w:t xml:space="preserve">The system associates</w:t>
      </w:r>
      <w:r>
        <w:t xml:space="preserve"> </w:t>
      </w:r>
      <w:r>
        <w:rPr>
          <w:i/>
          <w:iCs/>
        </w:rPr>
        <w:t xml:space="preserve">R</w:t>
      </w:r>
      <w:r>
        <w:t xml:space="preserve"> </w:t>
      </w:r>
      <w:r>
        <w:t xml:space="preserve">with the relevant consent object</w:t>
      </w:r>
      <w:r>
        <w:t xml:space="preserve"> </w:t>
      </w:r>
      <w:r>
        <w:rPr>
          <w:i/>
          <w:iCs/>
        </w:rPr>
        <w:t xml:space="preserve">C</w:t>
      </w:r>
      <w:r>
        <w:t xml:space="preserve"> </w:t>
      </w:r>
      <w:r>
        <w:t xml:space="preserve">before continuing with the authorisation process.</w:t>
      </w:r>
    </w:p>
    <w:p>
      <w:pPr>
        <w:pStyle w:val="Compact"/>
        <w:numPr>
          <w:ilvl w:val="0"/>
          <w:numId w:val="1040"/>
        </w:numPr>
      </w:pPr>
      <w:r>
        <w:rPr>
          <w:b/>
          <w:bCs/>
        </w:rPr>
        <w:t xml:space="preserve">Step 2 – Verify the Requesting Participant’s DID and VC.</w:t>
      </w:r>
    </w:p>
    <w:p>
      <w:pPr>
        <w:pStyle w:val="FirstParagraph"/>
      </w:pPr>
      <w:r>
        <w:t xml:space="preserve">The system verifies the DID and VC associated with participant</w:t>
      </w:r>
      <w:r>
        <w:t xml:space="preserve"> </w:t>
      </w:r>
      <w:r>
        <w:rPr>
          <w:i/>
          <w:iCs/>
        </w:rPr>
        <w:t xml:space="preserve">u</w:t>
      </w:r>
      <w:r>
        <w:t xml:space="preserve">. This step invokes the identity and authority verification procedure defined in Algorithm 2.</w:t>
      </w:r>
    </w:p>
    <w:p>
      <w:pPr>
        <w:pStyle w:val="BodyText"/>
      </w:pPr>
      <w:r>
        <w:t xml:space="preserve">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w:t>
      </w:r>
    </w:p>
    <w:p>
      <w:pPr>
        <w:pStyle w:val="BodyText"/>
      </w:pPr>
      <w:r>
        <w:t xml:space="preserve">Formally,</w:t>
      </w:r>
      <w:r>
        <w:t xml:space="preserve"> </w:t>
      </w:r>
      <w:r>
        <w:rPr>
          <w:i/>
          <w:iCs/>
        </w:rPr>
        <w:t xml:space="preserve">V</w:t>
      </w:r>
      <w:r>
        <w:rPr>
          <w:vertAlign w:val="subscript"/>
        </w:rPr>
        <w:t xml:space="preserve">I</w:t>
      </w:r>
      <w:r>
        <w:t xml:space="preserve">(</w:t>
      </w:r>
      <w:r>
        <w:rPr>
          <w:i/>
          <w:iCs/>
        </w:rPr>
        <w:t xml:space="preserve">u</w:t>
      </w:r>
      <w:r>
        <w:t xml:space="preserve">) =</w:t>
      </w:r>
      <w:r>
        <w:t xml:space="preserve"> </w:t>
      </w:r>
      <w:r>
        <w:rPr>
          <w:i/>
          <w:iCs/>
        </w:rPr>
        <w:t xml:space="preserve">VALID</w:t>
      </w:r>
      <w:r>
        <w:t xml:space="preserve"> </w:t>
      </w:r>
      <w:r>
        <w:t xml:space="preserve">must hold before the request can proceed to the subsequent authorisation stages.</w:t>
      </w:r>
    </w:p>
    <w:p>
      <w:pPr>
        <w:pStyle w:val="Compact"/>
        <w:numPr>
          <w:ilvl w:val="0"/>
          <w:numId w:val="1041"/>
        </w:numPr>
      </w:pPr>
      <w:r>
        <w:rPr>
          <w:b/>
          <w:bCs/>
        </w:rPr>
        <w:t xml:space="preserve">Step 3 – Evaluate the Current Consent State.</w:t>
      </w:r>
    </w:p>
    <w:p>
      <w:pPr>
        <w:pStyle w:val="FirstParagraph"/>
      </w:pPr>
      <w:r>
        <w:t xml:space="preserve">After successful identity verification, the system evaluates the current state of consent object</w:t>
      </w:r>
      <w:r>
        <w:t xml:space="preserve"> </w:t>
      </w:r>
      <w:r>
        <w:rPr>
          <w:i/>
          <w:iCs/>
        </w:rPr>
        <w:t xml:space="preserve">C</w:t>
      </w:r>
      <w:r>
        <w:t xml:space="preserve">. The system determines whether the consent is active and whether it remains within its defined validity period.</w:t>
      </w:r>
    </w:p>
    <w:p>
      <w:pPr>
        <w:pStyle w:val="BodyText"/>
      </w:pPr>
      <w:r>
        <w:t xml:space="preserve">In particular, the system verifies that the consent has not expired, been revoked, or otherwise transitioned into an inactive state. If</w:t>
      </w:r>
    </w:p>
    <w:p>
      <w:pPr>
        <w:pStyle w:val="BodyText"/>
      </w:pPr>
      <m:oMathPara>
        <m:oMathParaPr>
          <m:jc m:val="center"/>
        </m:oMathParaPr>
        <m:oMath>
          <m:r>
            <m:t>S</m:t>
          </m:r>
          <m:r>
            <m:t>t</m:t>
          </m:r>
          <m:r>
            <m:t>a</m:t>
          </m:r>
          <m:r>
            <m:t>t</m:t>
          </m:r>
          <m:r>
            <m:t>e</m:t>
          </m:r>
          <m:r>
            <m:rPr>
              <m:sty m:val="p"/>
            </m:rPr>
            <m:t>(</m:t>
          </m:r>
          <m:r>
            <m:t>C</m:t>
          </m:r>
          <m:r>
            <m:rPr>
              <m:sty m:val="p"/>
            </m:rPr>
            <m:t>)</m:t>
          </m:r>
          <m:r>
            <m:rPr>
              <m:sty m:val="p"/>
            </m:rPr>
            <m:t>≠</m:t>
          </m:r>
          <m:r>
            <m:t>A</m:t>
          </m:r>
          <m:r>
            <m:t>C</m:t>
          </m:r>
          <m:r>
            <m:t>T</m:t>
          </m:r>
          <m:r>
            <m:t>I</m:t>
          </m:r>
          <m:r>
            <m:t>V</m:t>
          </m:r>
          <m:r>
            <m:t>E</m:t>
          </m:r>
          <m:r>
            <m:rPr>
              <m:sty m:val="p"/>
            </m:rPr>
            <m:t>,</m:t>
          </m:r>
        </m:oMath>
      </m:oMathPara>
    </w:p>
    <w:p>
      <w:pPr>
        <w:pStyle w:val="FirstParagraph"/>
      </w:pPr>
      <w:r>
        <w:t xml:space="preserve">the access request is denied and the decision is recorded.</w:t>
      </w:r>
    </w:p>
    <w:p>
      <w:pPr>
        <w:pStyle w:val="Compact"/>
        <w:numPr>
          <w:ilvl w:val="0"/>
          <w:numId w:val="1042"/>
        </w:numPr>
      </w:pPr>
      <w:r>
        <w:rPr>
          <w:b/>
          <w:bCs/>
        </w:rPr>
        <w:t xml:space="preserve">Step 4 – Verify Multi-Party Authorisation.</w:t>
      </w:r>
    </w:p>
    <w:p>
      <w:pPr>
        <w:pStyle w:val="FirstParagraph"/>
      </w:pPr>
      <w:r>
        <w:t xml:space="preserve">The system verifies whether the multi-party authorisation requirement associated with consent object</w:t>
      </w:r>
      <w:r>
        <w:t xml:space="preserve"> </w:t>
      </w:r>
      <w:r>
        <w:rPr>
          <w:i/>
          <w:iCs/>
        </w:rPr>
        <w:t xml:space="preserve">C</w:t>
      </w:r>
      <w:r>
        <w:t xml:space="preserve"> </w:t>
      </w:r>
      <w:r>
        <w:t xml:space="preserve">has been satisfied. The valid approval set</w:t>
      </w:r>
      <w:r>
        <w:t xml:space="preserve"> </w:t>
      </w:r>
      <w:r>
        <w:rPr>
          <w:i/>
          <w:iCs/>
        </w:rPr>
        <w:t xml:space="preserve">A</w:t>
      </w:r>
      <w:r>
        <w:rPr>
          <w:vertAlign w:val="subscript"/>
        </w:rPr>
        <w:t xml:space="preserve">v</w:t>
      </w:r>
      <w:r>
        <w:t xml:space="preserve"> </w:t>
      </w:r>
      <w:r>
        <w:t xml:space="preserve">is evaluated against the required threshold</w:t>
      </w:r>
      <w:r>
        <w:t xml:space="preserve"> </w:t>
      </w:r>
      <w:r>
        <w:rPr>
          <w:i/>
          <w:iCs/>
        </w:rPr>
        <w:t xml:space="preserve">N</w:t>
      </w:r>
      <w:r>
        <w:t xml:space="preserve">.</w:t>
      </w:r>
    </w:p>
    <w:p>
      <w:pPr>
        <w:pStyle w:val="BodyText"/>
      </w:pPr>
      <w:r>
        <w:t xml:space="preserve">The authorisation condition is expressed as</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If the threshold has not been satisfied, the consent cannot be used to authorise the requested access. The system therefore records a denied decision and returns</w:t>
      </w:r>
      <w:r>
        <w:t xml:space="preserve"> </w:t>
      </w:r>
      <w:r>
        <w:rPr>
          <w:i/>
          <w:iCs/>
        </w:rPr>
        <w:t xml:space="preserve">DENY</w:t>
      </w:r>
      <w:r>
        <w:t xml:space="preserve">.</w:t>
      </w:r>
    </w:p>
    <w:p>
      <w:pPr>
        <w:pStyle w:val="Compact"/>
        <w:numPr>
          <w:ilvl w:val="0"/>
          <w:numId w:val="1043"/>
        </w:numPr>
      </w:pPr>
      <w:r>
        <w:rPr>
          <w:b/>
          <w:bCs/>
        </w:rPr>
        <w:t xml:space="preserve">Step 5 – Evaluate the Requested Purpose.</w:t>
      </w:r>
    </w:p>
    <w:p>
      <w:pPr>
        <w:pStyle w:val="FirstParagraph"/>
      </w:pPr>
      <w:r>
        <w:t xml:space="preserve">The system compares the purpose specified in the access request</w:t>
      </w:r>
      <w:r>
        <w:t xml:space="preserve"> </w:t>
      </w:r>
      <w:r>
        <w:rPr>
          <w:i/>
          <w:iCs/>
        </w:rPr>
        <w:t xml:space="preserve">P</w:t>
      </w:r>
      <w:r>
        <w:rPr>
          <w:vertAlign w:val="subscript"/>
        </w:rPr>
        <w:t xml:space="preserve">R</w:t>
      </w:r>
      <w:r>
        <w:t xml:space="preserve"> </w:t>
      </w:r>
      <w:r>
        <w:t xml:space="preserve">with the purpose permitted by the consent object</w:t>
      </w:r>
      <w:r>
        <w:t xml:space="preserve"> </w:t>
      </w:r>
      <w:r>
        <w:rPr>
          <w:i/>
          <w:iCs/>
        </w:rPr>
        <w:t xml:space="preserve">P</w:t>
      </w:r>
      <w:r>
        <w:rPr>
          <w:vertAlign w:val="subscript"/>
        </w:rPr>
        <w:t xml:space="preserve">C</w:t>
      </w:r>
      <w:r>
        <w:t xml:space="preserve">. The purpose compatibility condition can be represented as</w:t>
      </w:r>
    </w:p>
    <w:p>
      <w:pPr>
        <w:pStyle w:val="BodyText"/>
      </w:pPr>
      <m:oMathPara>
        <m:oMathParaPr>
          <m:jc m:val="center"/>
        </m:oMathParaPr>
        <m:oMath>
          <m:sSub>
            <m:e>
              <m:r>
                <m:t>P</m:t>
              </m:r>
            </m:e>
            <m:sub>
              <m:r>
                <m:t>R</m:t>
              </m:r>
            </m:sub>
          </m:sSub>
          <m:r>
            <m:rPr>
              <m:sty m:val="p"/>
            </m:rPr>
            <m:t>⊨</m:t>
          </m:r>
          <m:sSub>
            <m:e>
              <m:r>
                <m:t>P</m:t>
              </m:r>
            </m:e>
            <m:sub>
              <m:r>
                <m:t>C</m:t>
              </m:r>
            </m:sub>
          </m:sSub>
          <m:r>
            <m:rPr>
              <m:sty m:val="p"/>
            </m:rPr>
            <m:t>.</m:t>
          </m:r>
        </m:oMath>
      </m:oMathPara>
    </w:p>
    <w:p>
      <w:pPr>
        <w:pStyle w:val="FirstParagraph"/>
      </w:pPr>
      <w:r>
        <w:rPr>
          <w:rStyle w:val="OrangeDelete"/>
        </w:rPr>
        <w:t xml:space="preserve">where</w:t>
      </w:r>
      <w:r>
        <w:rPr>
          <w:rStyle w:val="OrangeFix"/>
        </w:rPr>
        <w:t xml:space="preserve">Here,</w:t>
      </w:r>
      <w:r>
        <w:t xml:space="preserve"> </w:t>
      </w:r>
      <w:r>
        <w:t xml:space="preserve">⊨ denotes that the requested purpose</w:t>
      </w:r>
      <w:r>
        <w:t xml:space="preserve"> </w:t>
      </w:r>
      <m:oMath>
        <m:sSub>
          <m:e>
            <m:r>
              <m:t>P</m:t>
            </m:r>
          </m:e>
          <m:sub>
            <m:r>
              <m:t>R</m:t>
            </m:r>
          </m:sub>
        </m:sSub>
      </m:oMath>
      <w:r>
        <w:t xml:space="preserve"> </w:t>
      </w:r>
      <w:r>
        <w:t xml:space="preserve">is permitted by the consented purpose</w:t>
      </w:r>
      <w:r>
        <w:t xml:space="preserve"> </w:t>
      </w:r>
      <m:oMath>
        <m:sSub>
          <m:e>
            <m:r>
              <m:t>P</m:t>
            </m:r>
          </m:e>
          <m:sub>
            <m:r>
              <m:t>C</m:t>
            </m:r>
          </m:sub>
        </m:sSub>
      </m:oMath>
      <w:r>
        <w:t xml:space="preserve">.</w:t>
      </w:r>
    </w:p>
    <w:p>
      <w:pPr>
        <w:pStyle w:val="BodyText"/>
      </w:pPr>
      <w:r>
        <w:t xml:space="preserve">If the requested purpose is incompatible with the patient’s consent, the request is denied. This step prevents a participant from using otherwise valid credentials and consent to access healthcare information for a purpose that was not authorised by the patient.</w:t>
      </w:r>
    </w:p>
    <w:p>
      <w:pPr>
        <w:pStyle w:val="Compact"/>
        <w:numPr>
          <w:ilvl w:val="0"/>
          <w:numId w:val="1044"/>
        </w:numPr>
      </w:pPr>
      <w:r>
        <w:rPr>
          <w:b/>
          <w:bCs/>
        </w:rPr>
        <w:t xml:space="preserve">Step 6 – Evaluate the Requested Data Scope.</w:t>
      </w:r>
    </w:p>
    <w:p>
      <w:pPr>
        <w:pStyle w:val="FirstParagraph"/>
      </w:pPr>
      <w:r>
        <w:t xml:space="preserve">The system evaluates whether the requested data scope</w:t>
      </w:r>
      <w:r>
        <w:t xml:space="preserve"> </w:t>
      </w:r>
      <w:r>
        <w:rPr>
          <w:i/>
          <w:iCs/>
        </w:rPr>
        <w:t xml:space="preserve">S</w:t>
      </w:r>
      <w:r>
        <w:rPr>
          <w:vertAlign w:val="subscript"/>
        </w:rPr>
        <w:t xml:space="preserve">R</w:t>
      </w:r>
      <w:r>
        <w:t xml:space="preserve"> </w:t>
      </w:r>
      <w:r>
        <w:t xml:space="preserve">is contained within the data scope authorised by the consent, denoted by</w:t>
      </w:r>
      <w:r>
        <w:t xml:space="preserve"> </w:t>
      </w:r>
      <w:r>
        <w:rPr>
          <w:i/>
          <w:iCs/>
        </w:rPr>
        <w:t xml:space="preserve">S</w:t>
      </w:r>
      <w:r>
        <w:rPr>
          <w:vertAlign w:val="subscript"/>
        </w:rPr>
        <w:t xml:space="preserve">C</w:t>
      </w:r>
      <w:r>
        <w:t xml:space="preserve">.</w:t>
      </w:r>
    </w:p>
    <w:p>
      <w:pPr>
        <w:pStyle w:val="BodyText"/>
      </w:pPr>
      <w:r>
        <w:t xml:space="preserve">The required containment relationship is</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If</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the requested access exceeds the patient’s authorised data scope. The system records a denied decision and returns</w:t>
      </w:r>
      <w:r>
        <w:t xml:space="preserve"> </w:t>
      </w:r>
      <w:r>
        <w:rPr>
          <w:i/>
          <w:iCs/>
        </w:rPr>
        <w:t xml:space="preserve">DENY</w:t>
      </w:r>
      <w:r>
        <w:t xml:space="preserve">.</w:t>
      </w:r>
    </w:p>
    <w:p>
      <w:pPr>
        <w:pStyle w:val="BodyText"/>
      </w:pPr>
      <w:r>
        <w:t xml:space="preserve">This step is particularly important for fine-grained healthcare data access because authorisation to access one category of healthcare information does not imply authorisation to access all categories of the patient’s record.</w:t>
      </w:r>
    </w:p>
    <w:p>
      <w:pPr>
        <w:pStyle w:val="Compact"/>
        <w:numPr>
          <w:ilvl w:val="0"/>
          <w:numId w:val="1045"/>
        </w:numPr>
      </w:pPr>
      <w:r>
        <w:rPr>
          <w:b/>
          <w:bCs/>
        </w:rPr>
        <w:t xml:space="preserve">Step 7 – Evaluate the Complete Authorisation Policy.</w:t>
      </w:r>
    </w:p>
    <w:p>
      <w:pPr>
        <w:pStyle w:val="FirstParagraph"/>
      </w:pPr>
      <w:r>
        <w:t xml:space="preserve">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w:t>
      </w:r>
    </w:p>
    <w:p>
      <w:pPr>
        <w:pStyle w:val="BodyText"/>
      </w:pPr>
      <m:oMathPara>
        <m:oMathParaPr>
          <m:jc m:val="center"/>
        </m:oMathParaPr>
        <m:oMath>
          <m:m>
            <m:mPr>
              <m:baseJc m:val="center"/>
              <m:plcHide m:val="on"/>
              <m:mcs>
                <m:mc>
                  <m:mcPr>
                    <m:count m:val="1"/>
                    <m:mcJc m:val="left"/>
                  </m:mcPr>
                </m:mc>
              </m:mcs>
            </m:mPr>
            <m:mr>
              <m:e>
                <m:r>
                  <m:t>A</m:t>
                </m:r>
                <m:r>
                  <m:t>u</m:t>
                </m:r>
                <m:r>
                  <m:t>t</m:t>
                </m:r>
                <m:r>
                  <m:t>h</m:t>
                </m:r>
                <m:r>
                  <m:t>o</m:t>
                </m:r>
                <m:r>
                  <m:t>r</m:t>
                </m:r>
                <m:r>
                  <m:t>i</m:t>
                </m:r>
                <m:r>
                  <m:t>s</m:t>
                </m:r>
                <m:r>
                  <m:t>e</m:t>
                </m:r>
                <m:r>
                  <m:t>d</m:t>
                </m:r>
                <m:r>
                  <m:rPr>
                    <m:sty m:val="p"/>
                  </m:rPr>
                  <m:t>(</m:t>
                </m:r>
                <m:r>
                  <m:t>R</m:t>
                </m:r>
                <m:r>
                  <m:rPr>
                    <m:sty m:val="p"/>
                  </m:rPr>
                  <m:t>,</m:t>
                </m:r>
                <m:r>
                  <m:t>C</m:t>
                </m:r>
                <m:r>
                  <m:rPr>
                    <m:sty m:val="p"/>
                  </m:rPr>
                  <m:t>,</m:t>
                </m:r>
                <m:r>
                  <m:t>u</m:t>
                </m:r>
                <m:r>
                  <m:rPr>
                    <m:sty m:val="p"/>
                  </m:rPr>
                  <m:t>)</m:t>
                </m:r>
                <m:r>
                  <m:rPr>
                    <m:sty m:val="p"/>
                  </m:rPr>
                  <m:t>=</m:t>
                </m:r>
                <m:r>
                  <m:t> </m:t>
                </m:r>
                <m:sSub>
                  <m:e>
                    <m:r>
                      <m:t>V</m:t>
                    </m:r>
                  </m:e>
                  <m:sub>
                    <m:r>
                      <m:t>I</m:t>
                    </m:r>
                  </m:sub>
                </m:sSub>
                <m:r>
                  <m:rPr>
                    <m:sty m:val="p"/>
                  </m:rPr>
                  <m:t>(</m:t>
                </m:r>
                <m:r>
                  <m:t>u</m:t>
                </m:r>
                <m:r>
                  <m:rPr>
                    <m:sty m:val="p"/>
                  </m:rPr>
                  <m:t>)</m:t>
                </m:r>
                <m:r>
                  <m:rPr>
                    <m:sty m:val="p"/>
                  </m:rPr>
                  <m:t>∧</m:t>
                </m:r>
                <m:r>
                  <m:t>A</m:t>
                </m:r>
                <m:r>
                  <m:t>c</m:t>
                </m:r>
                <m:r>
                  <m:t>t</m:t>
                </m:r>
                <m:r>
                  <m:t>i</m:t>
                </m:r>
                <m:r>
                  <m:t>v</m:t>
                </m:r>
                <m:r>
                  <m:t>e</m:t>
                </m:r>
                <m:r>
                  <m:rPr>
                    <m:sty m:val="p"/>
                  </m:rPr>
                  <m:t>(</m:t>
                </m:r>
                <m:r>
                  <m:t>C</m:t>
                </m:r>
                <m:r>
                  <m:rPr>
                    <m:sty m:val="p"/>
                  </m:rPr>
                  <m:t>)</m:t>
                </m:r>
                <m:r>
                  <m:rPr>
                    <m:sty m:val="p"/>
                  </m:rPr>
                  <m:t>∧</m:t>
                </m:r>
                <m:r>
                  <m:rPr>
                    <m:sty m:val="p"/>
                  </m:rPr>
                  <m:t>(</m:t>
                </m:r>
                <m:d>
                  <m:dPr>
                    <m:begChr m:val="|"/>
                    <m:sepChr m:val=""/>
                    <m:endChr m:val="|"/>
                    <m:grow/>
                  </m:dPr>
                  <m:e>
                    <m:sSub>
                      <m:e>
                        <m:r>
                          <m:t>A</m:t>
                        </m:r>
                      </m:e>
                      <m:sub>
                        <m:r>
                          <m:t>v</m:t>
                        </m:r>
                      </m:sub>
                    </m:sSub>
                  </m:e>
                </m:d>
                <m:r>
                  <m:rPr>
                    <m:sty m:val="p"/>
                  </m:rPr>
                  <m:t>≥</m:t>
                </m:r>
                <m:r>
                  <m:t>N</m:t>
                </m:r>
                <m:r>
                  <m:rPr>
                    <m:sty m:val="p"/>
                  </m:rPr>
                  <m:t>)</m:t>
                </m:r>
              </m:e>
            </m:mr>
            <m:mr>
              <m:e>
                <m:r>
                  <m:rPr>
                    <m:sty m:val="p"/>
                  </m:rPr>
                  <m:t>∧</m:t>
                </m:r>
                <m:r>
                  <m:t>P</m:t>
                </m:r>
                <m:r>
                  <m:t>u</m:t>
                </m:r>
                <m:r>
                  <m:t>r</m:t>
                </m:r>
                <m:r>
                  <m:t>p</m:t>
                </m:r>
                <m:r>
                  <m:t>o</m:t>
                </m:r>
                <m:r>
                  <m:t>s</m:t>
                </m:r>
                <m:r>
                  <m:t>e</m:t>
                </m:r>
                <m:r>
                  <m:t>M</m:t>
                </m:r>
                <m:r>
                  <m:t>a</m:t>
                </m:r>
                <m:r>
                  <m:t>t</m:t>
                </m:r>
                <m:r>
                  <m:t>c</m:t>
                </m:r>
                <m:r>
                  <m:t>h</m:t>
                </m:r>
                <m:r>
                  <m:rPr>
                    <m:sty m:val="p"/>
                  </m:rPr>
                  <m:t>(</m:t>
                </m:r>
                <m:sSub>
                  <m:e>
                    <m:r>
                      <m:t>P</m:t>
                    </m:r>
                  </m:e>
                  <m:sub>
                    <m:r>
                      <m:t>R</m:t>
                    </m:r>
                  </m:sub>
                </m:sSub>
                <m:r>
                  <m:rPr>
                    <m:sty m:val="p"/>
                  </m:rPr>
                  <m:t>,</m:t>
                </m:r>
                <m:sSub>
                  <m:e>
                    <m:r>
                      <m:t>P</m:t>
                    </m:r>
                  </m:e>
                  <m:sub>
                    <m:r>
                      <m:t>C</m:t>
                    </m:r>
                  </m:sub>
                </m:sSub>
                <m:r>
                  <m:rPr>
                    <m:sty m:val="p"/>
                  </m:rPr>
                  <m:t>)</m:t>
                </m:r>
                <m:r>
                  <m:rPr>
                    <m:sty m:val="p"/>
                  </m:rPr>
                  <m:t>∧</m:t>
                </m:r>
                <m:r>
                  <m:t>S</m:t>
                </m:r>
                <m:r>
                  <m:t>c</m:t>
                </m:r>
                <m:r>
                  <m:t>o</m:t>
                </m:r>
                <m:r>
                  <m:t>p</m:t>
                </m:r>
                <m:r>
                  <m:t>e</m:t>
                </m:r>
                <m:r>
                  <m:t>M</m:t>
                </m:r>
                <m:r>
                  <m:t>a</m:t>
                </m:r>
                <m:r>
                  <m:t>t</m:t>
                </m:r>
                <m:r>
                  <m:t>c</m:t>
                </m:r>
                <m:r>
                  <m:t>h</m:t>
                </m:r>
                <m:r>
                  <m:rPr>
                    <m:sty m:val="p"/>
                  </m:rPr>
                  <m:t>(</m:t>
                </m:r>
                <m:sSub>
                  <m:e>
                    <m:r>
                      <m:t>S</m:t>
                    </m:r>
                  </m:e>
                  <m:sub>
                    <m:r>
                      <m:t>R</m:t>
                    </m:r>
                  </m:sub>
                </m:sSub>
                <m:r>
                  <m:rPr>
                    <m:sty m:val="p"/>
                  </m:rPr>
                  <m:t>,</m:t>
                </m:r>
                <m:sSub>
                  <m:e>
                    <m:r>
                      <m:t>S</m:t>
                    </m:r>
                  </m:e>
                  <m:sub>
                    <m:r>
                      <m:t>C</m:t>
                    </m:r>
                  </m:sub>
                </m:sSub>
                <m:r>
                  <m:rPr>
                    <m:sty m:val="p"/>
                  </m:rPr>
                  <m:t>)</m:t>
                </m:r>
                <m:r>
                  <m:rPr>
                    <m:sty m:val="p"/>
                  </m:rPr>
                  <m:t>.</m:t>
                </m:r>
              </m:e>
            </m:mr>
          </m:m>
        </m:oMath>
      </m:oMathPara>
    </w:p>
    <w:p>
      <w:pPr>
        <w:pStyle w:val="FirstParagraph"/>
      </w:pPr>
      <w:r>
        <w:t xml:space="preserve">Access can proceed only when all required conditions evaluate to true.</w:t>
      </w:r>
    </w:p>
    <w:p>
      <w:pPr>
        <w:pStyle w:val="Compact"/>
        <w:numPr>
          <w:ilvl w:val="0"/>
          <w:numId w:val="1046"/>
        </w:numPr>
      </w:pPr>
      <w:r>
        <w:rPr>
          <w:b/>
          <w:bCs/>
        </w:rPr>
        <w:t xml:space="preserve">Step 8 – Generate or Verify Access Evidence.</w:t>
      </w:r>
    </w:p>
    <w:p>
      <w:pPr>
        <w:pStyle w:val="FirstParagraph"/>
      </w:pPr>
      <w:r>
        <w:t xml:space="preserve">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w:t>
      </w:r>
    </w:p>
    <w:p>
      <w:pPr>
        <w:pStyle w:val="BodyText"/>
      </w:pPr>
      <w:r>
        <w:t xml:space="preserve">This evidence provides an auditable relationship between the access request and the conditions that justified the resulting authorisation.</w:t>
      </w:r>
    </w:p>
    <w:p>
      <w:pPr>
        <w:pStyle w:val="Compact"/>
        <w:numPr>
          <w:ilvl w:val="0"/>
          <w:numId w:val="1047"/>
        </w:numPr>
      </w:pPr>
      <w:r>
        <w:rPr>
          <w:b/>
          <w:bCs/>
        </w:rPr>
        <w:t xml:space="preserve">Step 9 – Retrieve the Authorised Healthcare Data.</w:t>
      </w:r>
    </w:p>
    <w:p>
      <w:pPr>
        <w:pStyle w:val="FirstParagraph"/>
      </w:pPr>
      <w:r>
        <w:t xml:space="preserve">Once the request has been successfully authorised, the system retrieves only the healthcare data within the requested scope</w:t>
      </w:r>
      <w:r>
        <w:t xml:space="preserve"> </w:t>
      </w:r>
      <w:r>
        <w:rPr>
          <w:i/>
          <w:iCs/>
        </w:rPr>
        <w:t xml:space="preserve">S</w:t>
      </w:r>
      <w:r>
        <w:rPr>
          <w:vertAlign w:val="subscript"/>
        </w:rPr>
        <w:t xml:space="preserve">R</w:t>
      </w:r>
      <w:r>
        <w:t xml:space="preserve"> </w:t>
      </w:r>
      <w:r>
        <w:t xml:space="preserve">⊆</w:t>
      </w:r>
      <w:r>
        <w:t xml:space="preserve"> </w:t>
      </w:r>
      <w:r>
        <w:rPr>
          <w:i/>
          <w:iCs/>
        </w:rPr>
        <w:t xml:space="preserve">S</w:t>
      </w:r>
      <w:r>
        <w:rPr>
          <w:vertAlign w:val="subscript"/>
        </w:rPr>
        <w:t xml:space="preserve">C</w:t>
      </w:r>
      <w:r>
        <w:t xml:space="preserve">. The retrieval operation must enforce the same scope constraints that were evaluated during the policy decision.</w:t>
      </w:r>
    </w:p>
    <w:p>
      <w:pPr>
        <w:pStyle w:val="BodyText"/>
      </w:pPr>
      <w:r>
        <w:t xml:space="preserve">Thus,</w:t>
      </w:r>
    </w:p>
    <w:p>
      <w:pPr>
        <w:pStyle w:val="BodyText"/>
      </w:pPr>
      <m:oMathPara>
        <m:oMathParaPr>
          <m:jc m:val="center"/>
        </m:oMathParaPr>
        <m:oMath>
          <m:r>
            <m:t>D</m:t>
          </m:r>
          <m:r>
            <m:t>a</m:t>
          </m:r>
          <m:r>
            <m:t>t</m:t>
          </m:r>
          <m:sSub>
            <m:e>
              <m:r>
                <m:t>a</m:t>
              </m:r>
            </m:e>
            <m:sub>
              <m:r>
                <m:t>r</m:t>
              </m:r>
              <m:r>
                <m:t>e</m:t>
              </m:r>
              <m:r>
                <m:t>t</m:t>
              </m:r>
              <m:r>
                <m:t>u</m:t>
              </m:r>
              <m:r>
                <m:t>r</m:t>
              </m:r>
              <m:r>
                <m:t>n</m:t>
              </m:r>
              <m:r>
                <m:t>e</m:t>
              </m:r>
              <m:r>
                <m:t>d</m:t>
              </m:r>
            </m:sub>
          </m:sSub>
          <m:r>
            <m:rPr>
              <m:sty m:val="p"/>
            </m:rPr>
            <m:t>⊆</m:t>
          </m:r>
          <m:sSub>
            <m:e>
              <m:r>
                <m:t>S</m:t>
              </m:r>
            </m:e>
            <m:sub>
              <m:r>
                <m:t>C</m:t>
              </m:r>
            </m:sub>
          </m:sSub>
          <m:r>
            <m:rPr>
              <m:sty m:val="p"/>
            </m:rPr>
            <m:t>.</m:t>
          </m:r>
        </m:oMath>
      </m:oMathPara>
    </w:p>
    <w:p>
      <w:pPr>
        <w:pStyle w:val="FirstParagraph"/>
      </w:pPr>
      <w:r>
        <w:t xml:space="preserve">This prevents a mismatch between the policy decision and the actual data returned to the requester.</w:t>
      </w:r>
    </w:p>
    <w:p>
      <w:pPr>
        <w:pStyle w:val="Compact"/>
        <w:numPr>
          <w:ilvl w:val="0"/>
          <w:numId w:val="1048"/>
        </w:numPr>
      </w:pPr>
      <w:r>
        <w:rPr>
          <w:b/>
          <w:bCs/>
        </w:rPr>
        <w:t xml:space="preserve">Step 10 – Record the Granted Decision.</w:t>
      </w:r>
    </w:p>
    <w:p>
      <w:pPr>
        <w:pStyle w:val="FirstParagraph"/>
      </w:pPr>
      <w:r>
        <w:t xml:space="preserve">The system records the successful access-authorisation event. The recorded evidence may include the request identifier, consent identifier, requester identity, authorised purpose, authorised data scope, authorisation result, and relevant timestamp.</w:t>
      </w:r>
    </w:p>
    <w:p>
      <w:pPr>
        <w:pStyle w:val="BodyText"/>
      </w:pPr>
      <w:r>
        <w:t xml:space="preserve">The resulting event provides an auditable record of why and under which conditions access was granted.</w:t>
      </w:r>
    </w:p>
    <w:p>
      <w:pPr>
        <w:pStyle w:val="Compact"/>
        <w:numPr>
          <w:ilvl w:val="0"/>
          <w:numId w:val="1049"/>
        </w:numPr>
      </w:pPr>
      <w:r>
        <w:rPr>
          <w:b/>
          <w:bCs/>
        </w:rPr>
        <w:t xml:space="preserve">Step 11 – Return the Final Access Decision.</w:t>
      </w:r>
    </w:p>
    <w:p>
      <w:pPr>
        <w:pStyle w:val="FirstParagraph"/>
      </w:pPr>
      <w:r>
        <w:t xml:space="preserve">If all mandatory conditions have been satisfied, the system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A</m:t>
          </m:r>
          <m:r>
            <m:t>L</m:t>
          </m:r>
          <m:r>
            <m:t>L</m:t>
          </m:r>
          <m:r>
            <m:t>O</m:t>
          </m:r>
          <m:r>
            <m:t>W</m:t>
          </m:r>
          <m:r>
            <m:rPr>
              <m:sty m:val="p"/>
            </m:rPr>
            <m:t>.</m:t>
          </m:r>
        </m:oMath>
      </m:oMathPara>
    </w:p>
    <w:p>
      <w:pPr>
        <w:pStyle w:val="FirstParagraph"/>
      </w:pPr>
      <w:r>
        <w:t xml:space="preserve">If any mandatory condition fails during the evaluation process, the system records the corresponding denial evidence and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D</m:t>
          </m:r>
          <m:r>
            <m:t>E</m:t>
          </m:r>
          <m:r>
            <m:t>N</m:t>
          </m:r>
          <m:r>
            <m:t>Y</m:t>
          </m:r>
          <m:r>
            <m:rPr>
              <m:sty m:val="p"/>
            </m:rPr>
            <m:t>.</m:t>
          </m:r>
        </m:oMath>
      </m:oMathPara>
    </w:p>
    <w:p>
      <w:pPr>
        <w:pStyle w:val="FirstParagraph"/>
      </w:pPr>
      <w:r>
        <w:t xml:space="preserve">The overall decision process can therefore be represented as</w:t>
      </w:r>
    </w:p>
    <w:p>
      <w:pPr>
        <w:pStyle w:val="BodyText"/>
      </w:pPr>
      <m:oMathPara>
        <m:oMathParaPr>
          <m:jc m:val="center"/>
        </m:oMathParaPr>
        <m:oMath>
          <m:m>
            <m:mPr>
              <m:baseJc m:val="center"/>
              <m:plcHide m:val="on"/>
              <m:mcs>
                <m:mc>
                  <m:mcPr>
                    <m:count m:val="1"/>
                    <m:mcJc m:val="left"/>
                  </m:mcPr>
                </m:mc>
              </m:mcs>
            </m:mPr>
            <m:mr>
              <m:e>
                <m:r>
                  <m:t>R</m:t>
                </m:r>
                <m:r>
                  <m:rPr>
                    <m:sty m:val="p"/>
                  </m:rPr>
                  <m:t>→</m:t>
                </m:r>
                <m:r>
                  <m:t>D</m:t>
                </m:r>
                <m:r>
                  <m:t>I</m:t>
                </m:r>
                <m:r>
                  <m:t>D</m:t>
                </m:r>
                <m:r>
                  <m:rPr>
                    <m:sty m:val="p"/>
                  </m:rPr>
                  <m:t>/</m:t>
                </m:r>
                <m:r>
                  <m:t>V</m:t>
                </m:r>
                <m:r>
                  <m:t>C</m:t>
                </m:r>
                <m:r>
                  <m:rPr>
                    <m:sty m:val="p"/>
                  </m:rPr>
                  <m:t>→</m:t>
                </m:r>
                <m:r>
                  <m:t>C</m:t>
                </m:r>
                <m:r>
                  <m:t>o</m:t>
                </m:r>
                <m:r>
                  <m:t>n</m:t>
                </m:r>
                <m:r>
                  <m:t>s</m:t>
                </m:r>
                <m:r>
                  <m:t>e</m:t>
                </m:r>
                <m:r>
                  <m:t>n</m:t>
                </m:r>
                <m:r>
                  <m:t>t</m:t>
                </m:r>
                <m:r>
                  <m:t> </m:t>
                </m:r>
                <m:r>
                  <m:t>S</m:t>
                </m:r>
                <m:r>
                  <m:t>t</m:t>
                </m:r>
                <m:r>
                  <m:t>a</m:t>
                </m:r>
                <m:r>
                  <m:t>t</m:t>
                </m:r>
                <m:r>
                  <m:t>e</m:t>
                </m:r>
                <m:r>
                  <m:rPr>
                    <m:sty m:val="p"/>
                  </m:rPr>
                  <m:t>→</m:t>
                </m:r>
                <m:r>
                  <m:t>T</m:t>
                </m:r>
                <m:r>
                  <m:t>h</m:t>
                </m:r>
                <m:r>
                  <m:t>r</m:t>
                </m:r>
                <m:r>
                  <m:t>e</m:t>
                </m:r>
                <m:r>
                  <m:t>s</m:t>
                </m:r>
                <m:r>
                  <m:t>h</m:t>
                </m:r>
                <m:r>
                  <m:t>o</m:t>
                </m:r>
                <m:r>
                  <m:t>l</m:t>
                </m:r>
                <m:r>
                  <m:t>d</m:t>
                </m:r>
                <m:r>
                  <m:rPr>
                    <m:sty m:val="p"/>
                  </m:rPr>
                  <m:t>→</m:t>
                </m:r>
                <m:r>
                  <m:t>P</m:t>
                </m:r>
                <m:r>
                  <m:t>u</m:t>
                </m:r>
                <m:r>
                  <m:t>r</m:t>
                </m:r>
                <m:r>
                  <m:t>p</m:t>
                </m:r>
                <m:r>
                  <m:t>o</m:t>
                </m:r>
                <m:r>
                  <m:t>s</m:t>
                </m:r>
                <m:r>
                  <m:t>e</m:t>
                </m:r>
              </m:e>
            </m:mr>
            <m:mr>
              <m:e>
                <m:r>
                  <m:rPr>
                    <m:sty m:val="p"/>
                  </m:rPr>
                  <m:t>→</m:t>
                </m:r>
                <m:r>
                  <m:t>S</m:t>
                </m:r>
                <m:r>
                  <m:t>c</m:t>
                </m:r>
                <m:r>
                  <m:t>o</m:t>
                </m:r>
                <m:r>
                  <m:t>p</m:t>
                </m:r>
                <m:r>
                  <m:t>e</m:t>
                </m:r>
                <m:r>
                  <m:rPr>
                    <m:sty m:val="p"/>
                  </m:rPr>
                  <m:t>→</m:t>
                </m:r>
                <m:r>
                  <m:t>P</m:t>
                </m:r>
                <m:r>
                  <m:t>o</m:t>
                </m:r>
                <m:r>
                  <m:t>l</m:t>
                </m:r>
                <m:r>
                  <m:t>i</m:t>
                </m:r>
                <m:r>
                  <m:t>c</m:t>
                </m:r>
                <m:r>
                  <m:t>y</m:t>
                </m:r>
                <m:r>
                  <m:t> </m:t>
                </m:r>
                <m:r>
                  <m:t>E</m:t>
                </m:r>
                <m:r>
                  <m:t>v</m:t>
                </m:r>
                <m:r>
                  <m:t>a</m:t>
                </m:r>
                <m:r>
                  <m:t>l</m:t>
                </m:r>
                <m:r>
                  <m:rPr>
                    <m:sty m:val="p"/>
                  </m:rPr>
                  <m:t>.</m:t>
                </m:r>
                <m:r>
                  <m:rPr>
                    <m:sty m:val="p"/>
                  </m:rPr>
                  <m:t>→</m:t>
                </m:r>
                <m:r>
                  <m:t>E</m:t>
                </m:r>
                <m:r>
                  <m:t>v</m:t>
                </m:r>
                <m:r>
                  <m:t>i</m:t>
                </m:r>
                <m:r>
                  <m:t>d</m:t>
                </m:r>
                <m:r>
                  <m:t>e</m:t>
                </m:r>
                <m:r>
                  <m:t>n</m:t>
                </m:r>
                <m:r>
                  <m:t>c</m:t>
                </m:r>
                <m:r>
                  <m:t>e</m:t>
                </m:r>
                <m:r>
                  <m:rPr>
                    <m:sty m:val="p"/>
                  </m:rPr>
                  <m:t>→</m:t>
                </m:r>
                <m:r>
                  <m:t>D</m:t>
                </m:r>
                <m:r>
                  <m:t>a</m:t>
                </m:r>
                <m:r>
                  <m:t>t</m:t>
                </m:r>
                <m:r>
                  <m:t>a</m:t>
                </m:r>
                <m:r>
                  <m:t> </m:t>
                </m:r>
                <m:r>
                  <m:t>R</m:t>
                </m:r>
                <m:r>
                  <m:t>e</m:t>
                </m:r>
                <m:r>
                  <m:t>t</m:t>
                </m:r>
                <m:r>
                  <m:t>r</m:t>
                </m:r>
                <m:r>
                  <m:rPr>
                    <m:sty m:val="p"/>
                  </m:rPr>
                  <m:t>.</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D</m:t>
                          </m:r>
                          <m:r>
                            <m:t>E</m:t>
                          </m:r>
                          <m:r>
                            <m:t>N</m:t>
                          </m:r>
                          <m:r>
                            <m:t>Y</m:t>
                          </m:r>
                        </m:e>
                      </m:mr>
                    </m:m>
                  </m:e>
                </m:d>
              </m:e>
            </m:mr>
          </m:m>
        </m:oMath>
      </m:oMathPara>
    </w:p>
    <w:p>
      <w:pPr>
        <w:pStyle w:val="FirstParagraph"/>
      </w:pPr>
      <w:r>
        <w:t xml:space="preserve">The final access decision can be formally expressed as</w:t>
      </w:r>
    </w:p>
    <w:p>
      <w:pPr>
        <w:pStyle w:val="BodyText"/>
      </w:pPr>
      <m:oMathPara>
        <m:oMathParaPr>
          <m:jc m:val="center"/>
        </m:oMathParaPr>
        <m:oMath>
          <m:m>
            <m:mPr>
              <m:baseJc m:val="center"/>
              <m:plcHide m:val="on"/>
              <m:mcs>
                <m:mc>
                  <m:mcPr>
                    <m:count m:val="1"/>
                    <m:mcJc m:val="left"/>
                  </m:mcPr>
                </m:mc>
              </m:mcs>
            </m:mPr>
            <m:mr>
              <m:e>
                <m:r>
                  <m:t>A</m:t>
                </m:r>
                <m:r>
                  <m:t>L</m:t>
                </m:r>
                <m:r>
                  <m:t>L</m:t>
                </m:r>
                <m:r>
                  <m:t>O</m:t>
                </m:r>
                <m:r>
                  <m:t>W</m:t>
                </m:r>
                <m:r>
                  <m:rPr>
                    <m:sty m:val="p"/>
                  </m:rPr>
                  <m:t>⇔</m:t>
                </m:r>
                <m:r>
                  <m:t> </m:t>
                </m:r>
                <m:r>
                  <m:t>I</m:t>
                </m:r>
                <m:r>
                  <m:t>d</m:t>
                </m:r>
                <m:r>
                  <m:t>e</m:t>
                </m:r>
                <m:r>
                  <m:t>n</m:t>
                </m:r>
                <m:r>
                  <m:t>t</m:t>
                </m:r>
                <m:r>
                  <m:t>i</m:t>
                </m:r>
                <m:r>
                  <m:t>t</m:t>
                </m:r>
                <m:r>
                  <m:t>y</m:t>
                </m:r>
                <m:r>
                  <m:rPr>
                    <m:sty m:val="p"/>
                  </m:rPr>
                  <m:t>∧</m:t>
                </m:r>
                <m:r>
                  <m:t>C</m:t>
                </m:r>
                <m:r>
                  <m:t>o</m:t>
                </m:r>
                <m:r>
                  <m:t>n</m:t>
                </m:r>
                <m:r>
                  <m:t>s</m:t>
                </m:r>
                <m:r>
                  <m:t>e</m:t>
                </m:r>
                <m:r>
                  <m:t>n</m:t>
                </m:r>
                <m:r>
                  <m:t>t</m:t>
                </m:r>
                <m:r>
                  <m:rPr>
                    <m:sty m:val="p"/>
                  </m:rPr>
                  <m:t>∧</m:t>
                </m:r>
                <m:r>
                  <m:t>A</m:t>
                </m:r>
                <m:r>
                  <m:t>u</m:t>
                </m:r>
                <m:r>
                  <m:t>t</m:t>
                </m:r>
                <m:r>
                  <m:t>h</m:t>
                </m:r>
                <m:r>
                  <m:t>o</m:t>
                </m:r>
                <m:r>
                  <m:t>r</m:t>
                </m:r>
                <m:r>
                  <m:t>i</m:t>
                </m:r>
                <m:r>
                  <m:t>t</m:t>
                </m:r>
                <m:r>
                  <m:t>y</m:t>
                </m:r>
                <m:r>
                  <m:rPr>
                    <m:sty m:val="p"/>
                  </m:rPr>
                  <m:t>∧</m:t>
                </m:r>
                <m:r>
                  <m:t>T</m:t>
                </m:r>
                <m:r>
                  <m:t>h</m:t>
                </m:r>
                <m:r>
                  <m:t>r</m:t>
                </m:r>
                <m:r>
                  <m:t>e</m:t>
                </m:r>
                <m:r>
                  <m:t>s</m:t>
                </m:r>
                <m:r>
                  <m:t>h</m:t>
                </m:r>
                <m:r>
                  <m:t>o</m:t>
                </m:r>
                <m:r>
                  <m:t>l</m:t>
                </m:r>
                <m:r>
                  <m:t>d</m:t>
                </m:r>
              </m:e>
            </m:mr>
            <m:mr>
              <m:e>
                <m:r>
                  <m:rPr>
                    <m:sty m:val="p"/>
                  </m:rPr>
                  <m:t>∧</m:t>
                </m:r>
                <m:r>
                  <m:t>P</m:t>
                </m:r>
                <m:r>
                  <m:t>u</m:t>
                </m:r>
                <m:r>
                  <m:t>r</m:t>
                </m:r>
                <m:r>
                  <m:t>p</m:t>
                </m:r>
                <m:r>
                  <m:t>o</m:t>
                </m:r>
                <m:r>
                  <m:t>s</m:t>
                </m:r>
                <m:r>
                  <m:t>e</m:t>
                </m:r>
                <m:r>
                  <m:rPr>
                    <m:sty m:val="p"/>
                  </m:rPr>
                  <m:t>∧</m:t>
                </m:r>
                <m:r>
                  <m:t>S</m:t>
                </m:r>
                <m:r>
                  <m:t>c</m:t>
                </m:r>
                <m:r>
                  <m:t>o</m:t>
                </m:r>
                <m:r>
                  <m:t>p</m:t>
                </m:r>
                <m:r>
                  <m:t>e</m:t>
                </m:r>
                <m:r>
                  <m:rPr>
                    <m:sty m:val="p"/>
                  </m:rPr>
                  <m:t>∧</m:t>
                </m:r>
                <m:r>
                  <m:t>E</m:t>
                </m:r>
                <m:r>
                  <m:t>v</m:t>
                </m:r>
                <m:r>
                  <m:t>i</m:t>
                </m:r>
                <m:r>
                  <m:t>d</m:t>
                </m:r>
                <m:r>
                  <m:t>e</m:t>
                </m:r>
                <m:r>
                  <m:t>n</m:t>
                </m:r>
                <m:r>
                  <m:t>c</m:t>
                </m:r>
                <m:r>
                  <m:t>e</m:t>
                </m:r>
              </m:e>
            </m:mr>
          </m:m>
        </m:oMath>
      </m:oMathPara>
    </w:p>
    <w:p>
      <w:pPr>
        <w:pStyle w:val="FirstParagraph"/>
      </w:pPr>
      <w:r>
        <w:t xml:space="preserve">where the individual conditions represent verified participant identity, active consent, sufficient authority, satisfied multi-party approval, compatible purpose, authorised data scope, and sufficient decision evidence, respectively.</w:t>
      </w:r>
    </w:p>
    <w:p>
      <w:pPr>
        <w:pStyle w:val="BodyText"/>
      </w:pPr>
      <w:r>
        <w:t xml:space="preserve">This procedure establishes an important distinction between</w:t>
      </w:r>
      <w:r>
        <w:t xml:space="preserve"> </w:t>
      </w:r>
      <w:r>
        <w:rPr>
          <w:i/>
          <w:iCs/>
        </w:rPr>
        <w:t xml:space="preserve">authentication</w:t>
      </w:r>
      <w:r>
        <w:t xml:space="preserve">,</w:t>
      </w:r>
      <w:r>
        <w:t xml:space="preserve"> </w:t>
      </w:r>
      <w:r>
        <w:rPr>
          <w:i/>
          <w:iCs/>
        </w:rPr>
        <w:t xml:space="preserve">consent</w:t>
      </w:r>
      <w:r>
        <w:t xml:space="preserve">, and</w:t>
      </w:r>
      <w:r>
        <w:t xml:space="preserve"> </w:t>
      </w:r>
      <w:r>
        <w:rPr>
          <w:i/>
          <w:iCs/>
        </w:rPr>
        <w:t xml:space="preserve">authorisation</w:t>
      </w:r>
      <w:r>
        <w:t xml:space="preserve">.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w:t>
      </w:r>
    </w:p>
    <w:p>
      <w:pPr>
        <w:pStyle w:val="BodyText"/>
      </w:pPr>
      <w:r>
        <w:t xml:space="preserve">The procedure also implements the principle of least privilege through the explicit scope-containment condition that</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w:t>
      </w:r>
    </w:p>
    <w:p>
      <w:pPr>
        <w:pStyle w:val="BodyText"/>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p>
    <w:p>
      <w:pPr>
        <w:pStyle w:val="BodyText"/>
      </w:pPr>
      <w:r>
        <w:t xml:space="preserve">The resulting end-to-end authorisation lifecycle can be summarised as</w:t>
      </w:r>
    </w:p>
    <w:p>
      <w:pPr>
        <w:pStyle w:val="BodyText"/>
      </w:pPr>
      <w:r>
        <w:t xml:space="preserve">Consent Creation → Identity Verification → Multi-Party Authorisation → Policy Decision</w:t>
      </w:r>
    </w:p>
    <w:p>
      <w:pPr>
        <w:pStyle w:val="BodyText"/>
      </w:pPr>
      <w: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bookmarkEnd w:id="117"/>
    <w:bookmarkStart w:id="118" w:name="algorithm-4-policy-aware-access-decision"/>
    <w:p>
      <w:pPr>
        <w:pStyle w:val="Heading3"/>
      </w:pPr>
      <w:r>
        <w:t xml:space="preserve">6.4.3 Algorithm 4: Policy-Aware Access Decision</w:t>
      </w:r>
    </w:p>
    <w:p>
      <w:pPr>
        <w:pStyle w:val="Algorithm"/>
      </w:pPr>
      <w:r>
        <w:rPr>
          <w:b/>
          <w:bCs/>
        </w:rPr>
        <w:t xml:space="preserve">Algorithm 4</w:t>
      </w:r>
      <w:r>
        <w:t xml:space="preserve"> </w:t>
      </w:r>
      <w:r>
        <w:t xml:space="preserve">Policy-Aware Access Decision</w:t>
      </w:r>
      <w:r>
        <w:br/>
      </w:r>
      <w:r>
        <w:rPr>
          <w:b/>
          <w:bCs/>
        </w:rPr>
        <w:t xml:space="preserve">Require:</w:t>
      </w:r>
      <w:r>
        <w:t xml:space="preserve"> </w:t>
      </w:r>
      <w:r>
        <w:t xml:space="preserve">Consent object</w:t>
      </w:r>
      <w:r>
        <w:t xml:space="preserve"> </w:t>
      </w:r>
      <m:oMath>
        <m:r>
          <m:t>C</m:t>
        </m:r>
      </m:oMath>
      <w:r>
        <w:t xml:space="preserve">, access request</w:t>
      </w:r>
      <w:r>
        <w:t xml:space="preserve"> </w:t>
      </w:r>
      <m:oMath>
        <m:r>
          <m:t>R</m:t>
        </m:r>
      </m:oMath>
      <w:r>
        <w:t xml:space="preserve">, requesting participant</w:t>
      </w:r>
      <w:r>
        <w:t xml:space="preserve"> </w:t>
      </w:r>
      <m:oMath>
        <m:r>
          <m:t>u</m:t>
        </m:r>
      </m:oMath>
      <w:r>
        <w:br/>
      </w:r>
      <w:r>
        <w:rPr>
          <w:b/>
          <w:bCs/>
        </w:rPr>
        <w:t xml:space="preserve">Ensure:</w:t>
      </w:r>
      <w:r>
        <w:t xml:space="preserve"> </w:t>
      </w:r>
      <w:r>
        <w:t xml:space="preserve">Access decision</w:t>
      </w:r>
      <w:r>
        <w:br/>
      </w:r>
      <w:r>
        <w:t xml:space="preserve">1: Verify DID and VC of</w:t>
      </w:r>
      <w:r>
        <w:t xml:space="preserve"> </w:t>
      </w:r>
      <m:oMath>
        <m:r>
          <m:t>u</m:t>
        </m:r>
      </m:oMath>
      <w:r>
        <w:br/>
      </w:r>
      <w:r>
        <w:t xml:space="preserve">2:</w:t>
      </w:r>
      <w:r>
        <w:t xml:space="preserve"> </w:t>
      </w:r>
      <w:r>
        <w:rPr>
          <w:b/>
          <w:bCs/>
        </w:rPr>
        <w:t xml:space="preserve">if</w:t>
      </w:r>
      <w:r>
        <w:t xml:space="preserve"> </w:t>
      </w:r>
      <w:r>
        <w:t xml:space="preserve">identity or authority verification fails</w:t>
      </w:r>
      <w:r>
        <w:t xml:space="preserve"> </w:t>
      </w:r>
      <w:r>
        <w:rPr>
          <w:b/>
          <w:bCs/>
        </w:rPr>
        <w:t xml:space="preserve">then</w:t>
      </w:r>
      <w:r>
        <w:br/>
      </w:r>
      <w:r>
        <w:t xml:space="preserve">    3: Record denied decision</w:t>
      </w:r>
      <w:r>
        <w:br/>
      </w:r>
      <w:r>
        <w:t xml:space="preserve">    4:</w:t>
      </w:r>
      <w:r>
        <w:t xml:space="preserve"> </w:t>
      </w:r>
      <w:r>
        <w:rPr>
          <w:b/>
          <w:bCs/>
        </w:rPr>
        <w:t xml:space="preserve">return</w:t>
      </w:r>
      <w:r>
        <w:t xml:space="preserve"> </w:t>
      </w:r>
      <w:r>
        <w:t xml:space="preserve">DENY</w:t>
      </w:r>
      <w:r>
        <w:br/>
      </w:r>
      <w:r>
        <w:t xml:space="preserve">5:</w:t>
      </w:r>
      <w:r>
        <w:t xml:space="preserve"> </w:t>
      </w:r>
      <w:r>
        <w:rPr>
          <w:b/>
          <w:bCs/>
        </w:rPr>
        <w:t xml:space="preserve">end if</w:t>
      </w:r>
      <w:r>
        <w:br/>
      </w:r>
      <w:r>
        <w:t xml:space="preserve">6: Evaluate consent state</w:t>
      </w:r>
      <w:r>
        <w:br/>
      </w:r>
      <w:r>
        <w:t xml:space="preserve">7:</w:t>
      </w:r>
      <w:r>
        <w:t xml:space="preserve"> </w:t>
      </w:r>
      <w:r>
        <w:rPr>
          <w:b/>
          <w:bCs/>
        </w:rPr>
        <w:t xml:space="preserve">if</w:t>
      </w:r>
      <w:r>
        <w:t xml:space="preserve"> </w:t>
      </w:r>
      <w:r>
        <w:t xml:space="preserve">consent is not active</w:t>
      </w:r>
      <w:r>
        <w:t xml:space="preserve"> </w:t>
      </w:r>
      <w:r>
        <w:rPr>
          <w:b/>
          <w:bCs/>
        </w:rPr>
        <w:t xml:space="preserve">then</w:t>
      </w:r>
      <w:r>
        <w:br/>
      </w:r>
      <w:r>
        <w:t xml:space="preserve">    8: Record denied decision</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 Verify multi-party authorisation</w:t>
      </w:r>
      <w:r>
        <w:br/>
      </w:r>
      <w:r>
        <w:t xml:space="preserve">12:</w:t>
      </w:r>
      <w:r>
        <w:t xml:space="preserve"> </w:t>
      </w:r>
      <w:r>
        <w:rPr>
          <w:b/>
          <w:bCs/>
        </w:rPr>
        <w:t xml:space="preserve">if</w:t>
      </w:r>
      <w:r>
        <w:t xml:space="preserve"> </w:t>
      </w:r>
      <w:r>
        <w:t xml:space="preserve">threshold is not satisfied</w:t>
      </w:r>
      <w:r>
        <w:t xml:space="preserve"> </w:t>
      </w:r>
      <w:r>
        <w:rPr>
          <w:b/>
          <w:bCs/>
        </w:rPr>
        <w:t xml:space="preserve">then</w:t>
      </w:r>
      <w:r>
        <w:br/>
      </w:r>
      <w:r>
        <w:t xml:space="preserve">    13: Record denied decision</w:t>
      </w:r>
      <w:r>
        <w:br/>
      </w:r>
      <w:r>
        <w:t xml:space="preserve">    14:</w:t>
      </w:r>
      <w:r>
        <w:t xml:space="preserve"> </w:t>
      </w:r>
      <w:r>
        <w:rPr>
          <w:b/>
          <w:bCs/>
        </w:rPr>
        <w:t xml:space="preserve">return</w:t>
      </w:r>
      <w:r>
        <w:t xml:space="preserve"> </w:t>
      </w:r>
      <w:r>
        <w:t xml:space="preserve">DENY</w:t>
      </w:r>
      <w:r>
        <w:br/>
      </w:r>
      <w:r>
        <w:t xml:space="preserve">15:</w:t>
      </w:r>
      <w:r>
        <w:t xml:space="preserve"> </w:t>
      </w:r>
      <w:r>
        <w:rPr>
          <w:b/>
          <w:bCs/>
        </w:rPr>
        <w:t xml:space="preserve">end if</w:t>
      </w:r>
      <w:r>
        <w:br/>
      </w:r>
      <w:r>
        <w:t xml:space="preserve">16: Evaluate requested purpose</w:t>
      </w:r>
      <w:r>
        <w:br/>
      </w:r>
      <w:r>
        <w:t xml:space="preserve">17:</w:t>
      </w:r>
      <w:r>
        <w:t xml:space="preserve"> </w:t>
      </w:r>
      <w:r>
        <w:rPr>
          <w:b/>
          <w:bCs/>
        </w:rPr>
        <w:t xml:space="preserve">if</w:t>
      </w:r>
      <w:r>
        <w:t xml:space="preserve"> </w:t>
      </w:r>
      <w:r>
        <w:t xml:space="preserve">purpose is incompatible with consent</w:t>
      </w:r>
      <w:r>
        <w:t xml:space="preserve"> </w:t>
      </w:r>
      <w:r>
        <w:rPr>
          <w:b/>
          <w:bCs/>
        </w:rPr>
        <w:t xml:space="preserve">then</w:t>
      </w:r>
      <w:r>
        <w:br/>
      </w:r>
      <w:r>
        <w:t xml:space="preserve">    18: Record denied decision</w:t>
      </w:r>
      <w:r>
        <w:br/>
      </w:r>
      <w:r>
        <w:t xml:space="preserve">    19:</w:t>
      </w:r>
      <w:r>
        <w:t xml:space="preserve"> </w:t>
      </w:r>
      <w:r>
        <w:rPr>
          <w:b/>
          <w:bCs/>
        </w:rPr>
        <w:t xml:space="preserve">return</w:t>
      </w:r>
      <w:r>
        <w:t xml:space="preserve"> </w:t>
      </w:r>
      <w:r>
        <w:t xml:space="preserve">DENY</w:t>
      </w:r>
      <w:r>
        <w:br/>
      </w:r>
      <w:r>
        <w:t xml:space="preserve">20:</w:t>
      </w:r>
      <w:r>
        <w:t xml:space="preserve"> </w:t>
      </w:r>
      <w:r>
        <w:rPr>
          <w:b/>
          <w:bCs/>
        </w:rPr>
        <w:t xml:space="preserve">end if</w:t>
      </w:r>
      <w:r>
        <w:br/>
      </w:r>
      <w:r>
        <w:t xml:space="preserve">21: Evaluate requested data scope</w:t>
      </w:r>
      <w:r>
        <w:br/>
      </w:r>
      <w:r>
        <w:t xml:space="preserve">22:</w:t>
      </w:r>
      <w:r>
        <w:t xml:space="preserve"> </w:t>
      </w:r>
      <w:r>
        <w:rPr>
          <w:b/>
          <w:bCs/>
        </w:rPr>
        <w:t xml:space="preserve">if</w:t>
      </w:r>
      <w:r>
        <w:t xml:space="preserve"> </w:t>
      </w:r>
      <m:oMath>
        <m:sSub>
          <m:e>
            <m:r>
              <m:t>S</m:t>
            </m:r>
          </m:e>
          <m:sub>
            <m:r>
              <m:t>R</m:t>
            </m:r>
          </m:sub>
        </m:sSub>
        <m:r>
          <m:rPr>
            <m:sty m:val="p"/>
          </m:rPr>
          <m:t>⊈</m:t>
        </m:r>
        <m:sSub>
          <m:e>
            <m:r>
              <m:t>S</m:t>
            </m:r>
          </m:e>
          <m:sub>
            <m:r>
              <m:t>C</m:t>
            </m:r>
          </m:sub>
        </m:sSub>
      </m:oMath>
      <w:r>
        <w:t xml:space="preserve"> </w:t>
      </w:r>
      <w:r>
        <w:rPr>
          <w:b/>
          <w:bCs/>
        </w:rPr>
        <w:t xml:space="preserve">then</w:t>
      </w:r>
      <w:r>
        <w:br/>
      </w:r>
      <w:r>
        <w:t xml:space="preserve">    23: Record denied decision</w:t>
      </w:r>
      <w:r>
        <w:br/>
      </w:r>
      <w:r>
        <w:t xml:space="preserve">    24:</w:t>
      </w:r>
      <w:r>
        <w:t xml:space="preserve"> </w:t>
      </w:r>
      <w:r>
        <w:rPr>
          <w:b/>
          <w:bCs/>
        </w:rPr>
        <w:t xml:space="preserve">return</w:t>
      </w:r>
      <w:r>
        <w:t xml:space="preserve"> </w:t>
      </w:r>
      <w:r>
        <w:t xml:space="preserve">DENY</w:t>
      </w:r>
      <w:r>
        <w:br/>
      </w:r>
      <w:r>
        <w:t xml:space="preserve">25:</w:t>
      </w:r>
      <w:r>
        <w:t xml:space="preserve"> </w:t>
      </w:r>
      <w:r>
        <w:rPr>
          <w:b/>
          <w:bCs/>
        </w:rPr>
        <w:t xml:space="preserve">end if</w:t>
      </w:r>
      <w:r>
        <w:br/>
      </w:r>
      <w:r>
        <w:t xml:space="preserve">26: Generate or verify access evidence</w:t>
      </w:r>
      <w:r>
        <w:br/>
      </w:r>
      <w:r>
        <w:t xml:space="preserve">27: Retrieve authorised healthcare data</w:t>
      </w:r>
      <w:r>
        <w:br/>
      </w:r>
      <w:r>
        <w:t xml:space="preserve">28: Record granted decision</w:t>
      </w:r>
      <w:r>
        <w:br/>
      </w:r>
      <w:r>
        <w:t xml:space="preserve">29:</w:t>
      </w:r>
      <w:r>
        <w:t xml:space="preserve"> </w:t>
      </w:r>
      <w:r>
        <w:rPr>
          <w:b/>
          <w:bCs/>
        </w:rPr>
        <w:t xml:space="preserve">return</w:t>
      </w:r>
      <w:r>
        <w:t xml:space="preserve"> </w:t>
      </w:r>
      <w:r>
        <w:t xml:space="preserve">ALLOW</w:t>
      </w:r>
    </w:p>
    <w:p>
      <w:pPr>
        <w:pStyle w:val="BodyText"/>
      </w:pPr>
      <w: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pStyle w:val="BodyText"/>
      </w:pPr>
      <w: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bookmarkEnd w:id="118"/>
    <w:bookmarkEnd w:id="119"/>
    <w:bookmarkStart w:id="126" w:name="temporal-and-lifecycle-trust-for-ro5"/>
    <w:p>
      <w:pPr>
        <w:pStyle w:val="Heading2"/>
      </w:pPr>
      <w:r>
        <w:t xml:space="preserve">6.5 Temporal and Lifecycle Trust for RO5</w:t>
      </w:r>
    </w:p>
    <w:p>
      <w:pPr>
        <w:pStyle w:val="FirstParagraph"/>
      </w:pPr>
      <w:r>
        <w:t xml:space="preserve">RO5 addresses SRQ5 and extends the foundational current-stage authorisation model with temporal validity and consent lifecycle controls. This objective belongs primarily to CA3 because it investigates how an authorisation remains trustworthy as time passes and as the consent state changes.</w:t>
      </w:r>
    </w:p>
    <w:p>
      <w:pPr>
        <w:pStyle w:val="BodyText"/>
      </w:pPr>
      <w:r>
        <w:rPr>
          <w:rStyle w:val="OrangeDelete"/>
        </w:rPr>
        <w:t xml:space="preserve">The current stage model evaluates</w:t>
      </w:r>
      <w:r>
        <w:rPr>
          <w:rStyle w:val="OrangeFix"/>
        </w:rPr>
        <w:t xml:space="preserve">The current-stage model evaluates</w:t>
      </w:r>
      <w:r>
        <w:t xml:space="preserve"> </w:t>
      </w:r>
      <w:r>
        <w:t xml:space="preserve">identity, collective authorisation, and policy compliance. RO5 extends this model by introducing temporal validity</w:t>
      </w:r>
      <w:r>
        <w:t xml:space="preserve"> </w:t>
      </w:r>
      <m:oMath>
        <m:sSub>
          <m:e>
            <m:r>
              <m:t>V</m:t>
            </m:r>
          </m:e>
          <m:sub>
            <m:r>
              <m:t>T</m:t>
            </m:r>
          </m:sub>
        </m:sSub>
        <m:r>
          <m:rPr>
            <m:sty m:val="p"/>
          </m:rPr>
          <m:t>(</m:t>
        </m:r>
        <m:r>
          <m:t>C</m:t>
        </m:r>
        <m:r>
          <m:rPr>
            <m:sty m:val="p"/>
          </m:rPr>
          <m:t>,</m:t>
        </m:r>
        <m:r>
          <m:t>t</m:t>
        </m:r>
        <m:r>
          <m:rPr>
            <m:sty m:val="p"/>
          </m:rPr>
          <m:t>)</m:t>
        </m:r>
      </m:oMath>
      <w:r>
        <w:t xml:space="preserve"> </w:t>
      </w:r>
      <w:r>
        <w:t xml:space="preserve">(Eq. (12)).</w:t>
      </w:r>
    </w:p>
    <w:p>
      <w:pPr>
        <w:pStyle w:val="BodyText"/>
      </w:pPr>
      <w:r>
        <w:t xml:space="preserve">It also introduces lifecycle validity</w:t>
      </w:r>
      <w:r>
        <w:t xml:space="preserve"> </w:t>
      </w:r>
      <m:oMath>
        <m:sSub>
          <m:e>
            <m:r>
              <m:t>V</m:t>
            </m:r>
          </m:e>
          <m:sub>
            <m:r>
              <m:t>L</m:t>
            </m:r>
          </m:sub>
        </m:sSub>
        <m:r>
          <m:rPr>
            <m:sty m:val="p"/>
          </m:rPr>
          <m:t>(</m:t>
        </m:r>
        <m:r>
          <m:t>C</m:t>
        </m:r>
        <m:r>
          <m:rPr>
            <m:sty m:val="p"/>
          </m:rPr>
          <m:t>)</m:t>
        </m:r>
      </m:oMath>
      <w:r>
        <w:t xml:space="preserve"> </w:t>
      </w:r>
      <w:r>
        <w:t xml:space="preserve">(Eq. (15)).</w:t>
      </w:r>
    </w:p>
    <w:p>
      <w:pPr>
        <w:pStyle w:val="BodyText"/>
      </w:pPr>
      <w:r>
        <w:t xml:space="preserve">The extended authorisation decision is therefore given by Eq. (24).</w:t>
      </w:r>
    </w:p>
    <w:p>
      <w:pPr>
        <w:pStyle w:val="BodyText"/>
      </w:pPr>
      <w: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bookmarkStart w:id="123" w:name="ro5-temporal-and-lifecycle-workflow"/>
    <w:p>
      <w:pPr>
        <w:pStyle w:val="Heading3"/>
      </w:pPr>
      <w:r>
        <w:t xml:space="preserve">6.5.1 RO5 Temporal and Lifecycle Workflow</w:t>
      </w:r>
    </w:p>
    <w:p>
      <w:pPr>
        <w:pStyle w:val="FirstParagraph"/>
      </w:pPr>
      <w:r>
        <w:t xml:space="preserve">The planned workflow, shown in Figure 6.5,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CaptionedFigure"/>
      </w:pPr>
      <w:r>
        <w:drawing>
          <wp:inline>
            <wp:extent cx="2907792" cy="7687670"/>
            <wp:effectExtent b="0" l="0" r="0" t="0"/>
            <wp:docPr descr="Figure 6.5: RO5 planned workflow for temporal and consent lifecycle trust" title="" id="121" name="Picture"/>
            <a:graphic>
              <a:graphicData uri="http://schemas.openxmlformats.org/drawingml/2006/picture">
                <pic:pic>
                  <pic:nvPicPr>
                    <pic:cNvPr descr="media_col/fig11.png" id="122" name="Picture"/>
                    <pic:cNvPicPr>
                      <a:picLocks noChangeArrowheads="1" noChangeAspect="1"/>
                    </pic:cNvPicPr>
                  </pic:nvPicPr>
                  <pic:blipFill>
                    <a:blip r:embed="rId120"/>
                    <a:stretch>
                      <a:fillRect/>
                    </a:stretch>
                  </pic:blipFill>
                  <pic:spPr bwMode="auto">
                    <a:xfrm>
                      <a:off x="0" y="0"/>
                      <a:ext cx="2907792" cy="7687670"/>
                    </a:xfrm>
                    <a:prstGeom prst="rect">
                      <a:avLst/>
                    </a:prstGeom>
                    <a:noFill/>
                    <a:ln w="9525">
                      <a:noFill/>
                      <a:headEnd/>
                      <a:tailEnd/>
                    </a:ln>
                  </pic:spPr>
                </pic:pic>
              </a:graphicData>
            </a:graphic>
          </wp:inline>
        </w:drawing>
      </w:r>
    </w:p>
    <w:p>
      <w:pPr>
        <w:pStyle w:val="ImageCaption"/>
      </w:pPr>
      <w:r>
        <w:t xml:space="preserve">Figure 6.5: RO5 planned workflow for temporal and consent lifecycle trust</w:t>
      </w:r>
    </w:p>
    <w:p>
      <w:pPr>
        <w:pStyle w:val="BodyText"/>
      </w:pPr>
      <w:r>
        <w:t xml:space="preserve">The HALAH prototype already implements a first version of this workflow. The consent engine evaluates the consent state in the order REVOKED, PENDING_SIGNATURE, PENDING_TOKEN, NOT_STARTED, EXPIRED and ACTIVE, and only an ACTIVE consent can release data;</w:t>
      </w:r>
      <w:r>
        <w:t xml:space="preserve"> </w:t>
      </w:r>
      <m:oMath>
        <m:sSub>
          <m:e>
            <m:r>
              <m:t>V</m:t>
            </m:r>
          </m:e>
          <m:sub>
            <m:r>
              <m:t>T</m:t>
            </m:r>
          </m:sub>
        </m:sSub>
        <m:r>
          <m:rPr>
            <m:sty m:val="p"/>
          </m:rPr>
          <m:t>(</m:t>
        </m:r>
        <m:r>
          <m:t>C</m:t>
        </m:r>
        <m:r>
          <m:rPr>
            <m:sty m:val="p"/>
          </m:rPr>
          <m:t>,</m:t>
        </m:r>
        <m:r>
          <m:t>t</m:t>
        </m:r>
        <m:r>
          <m:rPr>
            <m:sty m:val="p"/>
          </m:rPr>
          <m:t>)</m:t>
        </m:r>
      </m:oMath>
      <w:r>
        <w:t xml:space="preserve"> </w:t>
      </w:r>
      <w:r>
        <w:t xml:space="preserve">is also computed in the decision matrix. A patient can revoke a consent, which sets the local state to REVOKED and calls revoke() on the consent contract, and the v3 contract additionally enforces the validity interval on-chain. What remains for Stage 2 (CA3) is the explicit specification of legal state transitions, formal analysis of the lifecycle properties (Eqs. (20)–(21)) and adversarial evaluation.</w:t>
      </w:r>
    </w:p>
    <w:p>
      <w:pPr>
        <w:pStyle w:val="BodyText"/>
      </w:pPr>
      <w:r>
        <w:rPr>
          <w:b/>
          <w:bCs/>
        </w:rPr>
        <w:t xml:space="preserve">Notation note.</w:t>
      </w:r>
      <w:r>
        <w:t xml:space="preserve"> </w:t>
      </w:r>
      <w:r>
        <w:t xml:space="preserve">The prototype’s decision matrix currently uses the label VL for a jurisdiction check (consent jurisdiction equals requester jurisdiction, default</w:t>
      </w:r>
      <w:r>
        <w:t xml:space="preserve"> </w:t>
      </w:r>
      <w:r>
        <w:t xml:space="preserve">‘AU’</w:t>
      </w:r>
      <w:r>
        <w:t xml:space="preserve">), whereas this report defines</w:t>
      </w:r>
      <w:r>
        <w:t xml:space="preserve"> </w:t>
      </w:r>
      <m:oMath>
        <m:sSub>
          <m:e>
            <m:r>
              <m:t>V</m:t>
            </m:r>
          </m:e>
          <m:sub>
            <m:r>
              <m:t>L</m:t>
            </m:r>
          </m:sub>
        </m:sSub>
        <m:r>
          <m:rPr>
            <m:sty m:val="p"/>
          </m:rPr>
          <m:t>(</m:t>
        </m:r>
        <m:r>
          <m:t>C</m:t>
        </m:r>
        <m:r>
          <m:rPr>
            <m:sty m:val="p"/>
          </m:rPr>
          <m:t>)</m:t>
        </m:r>
      </m:oMath>
      <w:r>
        <w:t xml:space="preserve"> </w:t>
      </w:r>
      <w:r>
        <w:t xml:space="preserve">as lifecycle validity (Eq. (15)). To avoid ambiguity, the jurisdiction predicate will be renamed</w:t>
      </w:r>
      <w:r>
        <w:t xml:space="preserve"> </w:t>
      </w:r>
      <m:oMath>
        <m:sSub>
          <m:e>
            <m:r>
              <m:t>V</m:t>
            </m:r>
          </m:e>
          <m:sub>
            <m:r>
              <m:t>J</m:t>
            </m:r>
          </m:sub>
        </m:sSub>
      </m:oMath>
      <w:r>
        <w:t xml:space="preserve"> </w:t>
      </w:r>
      <w:r>
        <w:t xml:space="preserve">in the code and contract, and</w:t>
      </w:r>
      <w:r>
        <w:t xml:space="preserve"> </w:t>
      </w:r>
      <m:oMath>
        <m:sSub>
          <m:e>
            <m:r>
              <m:t>V</m:t>
            </m:r>
          </m:e>
          <m:sub>
            <m:r>
              <m:t>L</m:t>
            </m:r>
          </m:sub>
        </m:sSub>
      </m:oMath>
      <w:r>
        <w:t xml:space="preserve"> </w:t>
      </w:r>
      <w:r>
        <w:t xml:space="preserve">is reserved for lifecycle validity as defined here.</w:t>
      </w:r>
    </w:p>
    <w:bookmarkEnd w:id="123"/>
    <w:bookmarkStart w:id="124" w:name="X76e1ecd5ca9116901ef2fba9faaf6fcb0ec1702"/>
    <w:p>
      <w:pPr>
        <w:pStyle w:val="Heading3"/>
      </w:pPr>
      <w:r>
        <w:t xml:space="preserve">6.5.2 Procedure for Temporal and Lifecycle Validation</w:t>
      </w:r>
    </w:p>
    <w:p>
      <w:pPr>
        <w:pStyle w:val="FirstParagraph"/>
      </w:pPr>
      <w: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w:t>
      </w:r>
    </w:p>
    <w:p>
      <w:pPr>
        <w:pStyle w:val="Compact"/>
        <w:numPr>
          <w:ilvl w:val="0"/>
          <w:numId w:val="1050"/>
        </w:numPr>
      </w:pPr>
      <w:r>
        <w:rPr>
          <w:b/>
          <w:bCs/>
        </w:rPr>
        <w:t xml:space="preserve">Step 1 – Retrieve the Consent Validity Interval.</w:t>
      </w:r>
    </w:p>
    <w:p>
      <w:pPr>
        <w:pStyle w:val="FirstParagraph"/>
      </w:pPr>
      <w:r>
        <w:t xml:space="preserve">The system retrieves the start time</w:t>
      </w:r>
      <w:r>
        <w:t xml:space="preserve"> </w:t>
      </w:r>
      <w:r>
        <w:rPr>
          <w:i/>
          <w:iCs/>
        </w:rPr>
        <w:t xml:space="preserve">t</w:t>
      </w:r>
      <w:r>
        <w:rPr>
          <w:vertAlign w:val="subscript"/>
        </w:rPr>
        <w:t xml:space="preserve">s</w:t>
      </w:r>
      <w:r>
        <w:t xml:space="preserve"> </w:t>
      </w:r>
      <w:r>
        <w:t xml:space="preserve">and expiry time</w:t>
      </w:r>
      <w:r>
        <w:t xml:space="preserve"> </w:t>
      </w:r>
      <w:r>
        <w:rPr>
          <w:i/>
          <w:iCs/>
        </w:rPr>
        <w:t xml:space="preserve">t</w:t>
      </w:r>
      <w:r>
        <w:rPr>
          <w:vertAlign w:val="subscript"/>
        </w:rPr>
        <w:t xml:space="preserve">e</w:t>
      </w:r>
      <w:r>
        <w:t xml:space="preserve"> </w:t>
      </w:r>
      <w:r>
        <w:t xml:space="preserve">associated with consent object</w:t>
      </w:r>
      <w:r>
        <w:t xml:space="preserve"> </w:t>
      </w:r>
      <w:r>
        <w:rPr>
          <w:i/>
          <w:iCs/>
        </w:rPr>
        <w:t xml:space="preserve">C</w:t>
      </w:r>
      <w:r>
        <w:t xml:space="preserve">. These temporal attributes define the period during which the consent is potentially valid.</w:t>
      </w:r>
    </w:p>
    <w:p>
      <w:pPr>
        <w:pStyle w:val="BodyText"/>
      </w:pPr>
      <w:r>
        <w:t xml:space="preserve">The consent validity interval is represented as</w:t>
      </w:r>
    </w:p>
    <w:p>
      <w:pPr>
        <w:pStyle w:val="BodyText"/>
      </w:pPr>
      <m:oMathPara>
        <m:oMathParaPr>
          <m:jc m:val="center"/>
        </m:oMathParaPr>
        <m:oMath>
          <m:sSub>
            <m:e>
              <m:r>
                <m:t>T</m:t>
              </m:r>
            </m:e>
            <m:sub>
              <m:r>
                <m:t>C</m:t>
              </m:r>
            </m:sub>
          </m:sSub>
          <m:r>
            <m:rPr>
              <m:sty m:val="p"/>
            </m:rPr>
            <m:t>=</m:t>
          </m:r>
          <m:r>
            <m:rPr>
              <m:sty m:val="p"/>
            </m:rPr>
            <m:t>[</m:t>
          </m:r>
          <m:sSub>
            <m:e>
              <m:r>
                <m:t>t</m:t>
              </m:r>
            </m:e>
            <m:sub>
              <m:r>
                <m:t>s</m:t>
              </m:r>
            </m:sub>
          </m:sSub>
          <m:r>
            <m:rPr>
              <m:sty m:val="p"/>
            </m:rPr>
            <m:t>,</m:t>
          </m:r>
          <m:sSub>
            <m:e>
              <m:r>
                <m:t>t</m:t>
              </m:r>
            </m:e>
            <m:sub>
              <m:r>
                <m:t>e</m:t>
              </m:r>
            </m:sub>
          </m:sSub>
          <m:r>
            <m:rPr>
              <m:sty m:val="p"/>
            </m:rPr>
            <m:t>]</m:t>
          </m:r>
          <m:r>
            <m:rPr>
              <m:sty m:val="p"/>
            </m:rPr>
            <m:t>.</m:t>
          </m:r>
        </m:oMath>
      </m:oMathPara>
    </w:p>
    <w:p>
      <w:pPr>
        <w:pStyle w:val="FirstParagraph"/>
      </w:pPr>
      <w:r>
        <w:t xml:space="preserve">The system uses the current time</w:t>
      </w:r>
      <w:r>
        <w:t xml:space="preserve"> </w:t>
      </w:r>
      <w:r>
        <w:rPr>
          <w:i/>
          <w:iCs/>
        </w:rPr>
        <w:t xml:space="preserve">t</w:t>
      </w:r>
      <w:r>
        <w:t xml:space="preserve"> </w:t>
      </w:r>
      <w:r>
        <w:t xml:space="preserve">to determine whether the consent is currently within its defined validity period.</w:t>
      </w:r>
    </w:p>
    <w:p>
      <w:pPr>
        <w:pStyle w:val="Compact"/>
        <w:numPr>
          <w:ilvl w:val="0"/>
          <w:numId w:val="1051"/>
        </w:numPr>
      </w:pPr>
      <w:r>
        <w:rPr>
          <w:b/>
          <w:bCs/>
        </w:rPr>
        <w:t xml:space="preserve">Step 2 – Validate the Current Time.</w:t>
      </w:r>
    </w:p>
    <w:p>
      <w:pPr>
        <w:pStyle w:val="FirstParagraph"/>
      </w:pPr>
      <w:r>
        <w:t xml:space="preserve">The system compares the current time</w:t>
      </w:r>
      <w:r>
        <w:t xml:space="preserve"> </w:t>
      </w:r>
      <w:r>
        <w:rPr>
          <w:i/>
          <w:iCs/>
        </w:rPr>
        <w:t xml:space="preserve">t</w:t>
      </w:r>
      <w:r>
        <w:t xml:space="preserve"> </w:t>
      </w:r>
      <w:r>
        <w:t xml:space="preserve">with the consent validity interval. Temporal validity requires</w:t>
      </w:r>
    </w:p>
    <w:p>
      <w:pPr>
        <w:pStyle w:val="BodyText"/>
      </w:pPr>
      <m:oMathPara>
        <m:oMathParaPr>
          <m:jc m:val="center"/>
        </m:oMathParaPr>
        <m:oMath>
          <m:sSub>
            <m:e>
              <m:r>
                <m:t>t</m:t>
              </m:r>
            </m:e>
            <m:sub>
              <m:r>
                <m:t>s</m:t>
              </m:r>
            </m:sub>
          </m:sSub>
          <m:r>
            <m:rPr>
              <m:sty m:val="p"/>
            </m:rPr>
            <m:t>≤</m:t>
          </m:r>
          <m:r>
            <m:t>t</m:t>
          </m:r>
          <m:r>
            <m:rPr>
              <m:sty m:val="p"/>
            </m:rPr>
            <m:t>≤</m:t>
          </m:r>
          <m:sSub>
            <m:e>
              <m:r>
                <m:t>t</m:t>
              </m:r>
            </m:e>
            <m:sub>
              <m:r>
                <m:t>e</m:t>
              </m:r>
            </m:sub>
          </m:sSub>
          <m:r>
            <m:rPr>
              <m:sty m:val="p"/>
            </m:rPr>
            <m:t>.</m:t>
          </m:r>
        </m:oMath>
      </m:oMathPara>
    </w:p>
    <w:p>
      <w:pPr>
        <w:pStyle w:val="FirstParagraph"/>
      </w:pPr>
      <w:r>
        <w:t xml:space="preserve">If</w:t>
      </w:r>
    </w:p>
    <w:p>
      <w:pPr>
        <w:pStyle w:val="BodyText"/>
      </w:pPr>
      <m:oMathPara>
        <m:oMathParaPr>
          <m:jc m:val="center"/>
        </m:oMathParaPr>
        <m:oMath>
          <m:r>
            <m:t>t</m:t>
          </m:r>
          <m:r>
            <m:rPr>
              <m:sty m:val="p"/>
            </m:rPr>
            <m:t>&lt;</m:t>
          </m:r>
          <m:sSub>
            <m:e>
              <m:r>
                <m:t>t</m:t>
              </m:r>
            </m:e>
            <m:sub>
              <m:r>
                <m:t>s</m:t>
              </m:r>
            </m:sub>
          </m:sSub>
          <m:r>
            <m:t> </m:t>
          </m:r>
          <m:r>
            <m:rPr>
              <m:nor/>
            </m:rPr>
            <m:t>or</m:t>
          </m:r>
          <m:r>
            <m:t> </m:t>
          </m:r>
          <m:r>
            <m:t>t</m:t>
          </m:r>
          <m:r>
            <m:rPr>
              <m:sty m:val="p"/>
            </m:rPr>
            <m:t>&gt;</m:t>
          </m:r>
          <m:sSub>
            <m:e>
              <m:r>
                <m:t>t</m:t>
              </m:r>
            </m:e>
            <m:sub>
              <m:r>
                <m:t>e</m:t>
              </m:r>
            </m:sub>
          </m:sSub>
          <m:r>
            <m:rPr>
              <m:sty m:val="p"/>
            </m:rPr>
            <m:t>,</m:t>
          </m:r>
        </m:oMath>
      </m:oMathPara>
    </w:p>
    <w:p>
      <w:pPr>
        <w:pStyle w:val="FirstParagraph"/>
      </w:pPr>
      <w:r>
        <w:t xml:space="preserve">the consent is considered temporally invalid. The system records the temporal invalidity evidence and returns</w:t>
      </w:r>
      <w:r>
        <w:t xml:space="preserve"> </w:t>
      </w:r>
      <w:r>
        <w:rPr>
          <w:i/>
          <w:iCs/>
        </w:rPr>
        <w:t xml:space="preserve">INVALID</w:t>
      </w:r>
      <w:r>
        <w:t xml:space="preserve">.</w:t>
      </w:r>
    </w:p>
    <w:p>
      <w:pPr>
        <w:pStyle w:val="BodyText"/>
      </w:pPr>
      <w:r>
        <w:t xml:space="preserve">This step prevents a consent from being used before its effective start time or after its expiration time.</w:t>
      </w:r>
    </w:p>
    <w:p>
      <w:pPr>
        <w:pStyle w:val="Compact"/>
        <w:numPr>
          <w:ilvl w:val="0"/>
          <w:numId w:val="1052"/>
        </w:numPr>
      </w:pPr>
      <w:r>
        <w:rPr>
          <w:b/>
          <w:bCs/>
        </w:rPr>
        <w:t xml:space="preserve">Step 3 – Retrieve the Current Lifecycle State.</w:t>
      </w:r>
    </w:p>
    <w:p>
      <w:pPr>
        <w:pStyle w:val="FirstParagraph"/>
      </w:pPr>
      <w:r>
        <w:t xml:space="preserve">If the temporal condition is satisfied, the system retrieves the current lifecycle state of consent object</w:t>
      </w:r>
      <w:r>
        <w:t xml:space="preserve"> </w:t>
      </w:r>
      <w:r>
        <w:rPr>
          <w:i/>
          <w:iCs/>
        </w:rPr>
        <w:t xml:space="preserve">C</w:t>
      </w:r>
      <w:r>
        <w:t xml:space="preserve">. Typical lifecycle states may include</w:t>
      </w:r>
      <w:r>
        <w:t xml:space="preserve"> </w:t>
      </w:r>
      <w:r>
        <w:rPr>
          <w:i/>
          <w:iCs/>
        </w:rPr>
        <w:t xml:space="preserve">CREATED</w:t>
      </w:r>
      <w:r>
        <w:t xml:space="preserve">,</w:t>
      </w:r>
      <w:r>
        <w:t xml:space="preserve"> </w:t>
      </w:r>
      <w:r>
        <w:rPr>
          <w:i/>
          <w:iCs/>
        </w:rPr>
        <w:t xml:space="preserve">PENDING</w:t>
      </w:r>
      <w:r>
        <w:t xml:space="preserve">,</w:t>
      </w:r>
      <w:r>
        <w:t xml:space="preserve"> </w:t>
      </w:r>
      <w:r>
        <w:rPr>
          <w:i/>
          <w:iCs/>
        </w:rPr>
        <w:t xml:space="preserve">ACTIVE</w:t>
      </w:r>
      <w:r>
        <w:t xml:space="preserve">,</w:t>
      </w:r>
      <w:r>
        <w:t xml:space="preserve"> </w:t>
      </w:r>
      <w:r>
        <w:rPr>
          <w:i/>
          <w:iCs/>
        </w:rPr>
        <w:t xml:space="preserve">SUSPENDED</w:t>
      </w:r>
      <w:r>
        <w:t xml:space="preserve">,</w:t>
      </w:r>
      <w:r>
        <w:t xml:space="preserve"> </w:t>
      </w:r>
      <w:r>
        <w:rPr>
          <w:i/>
          <w:iCs/>
        </w:rPr>
        <w:t xml:space="preserve">REVOKED</w:t>
      </w:r>
      <w:r>
        <w:t xml:space="preserve">, and</w:t>
      </w:r>
      <w:r>
        <w:t xml:space="preserve"> </w:t>
      </w:r>
      <w:r>
        <w:rPr>
          <w:i/>
          <w:iCs/>
        </w:rPr>
        <w:t xml:space="preserve">EXPIRED</w:t>
      </w:r>
      <w:r>
        <w:t xml:space="preserve">, depending on the system configuration.</w:t>
      </w:r>
    </w:p>
    <w:p>
      <w:pPr>
        <w:pStyle w:val="BodyText"/>
      </w:pPr>
      <w:r>
        <w:t xml:space="preserve">The current state is used to determine whether the requested operation can legally and logically be performed.</w:t>
      </w:r>
    </w:p>
    <w:p>
      <w:pPr>
        <w:pStyle w:val="Compact"/>
        <w:numPr>
          <w:ilvl w:val="0"/>
          <w:numId w:val="1053"/>
        </w:numPr>
      </w:pPr>
      <w:r>
        <w:rPr>
          <w:b/>
          <w:bCs/>
        </w:rPr>
        <w:t xml:space="preserve">Step 4 – Validate State-Dependent Operations.</w:t>
      </w:r>
    </w:p>
    <w:p>
      <w:pPr>
        <w:pStyle w:val="FirstParagraph"/>
      </w:pPr>
      <w:r>
        <w:t xml:space="preserve">The system evaluates whether the current lifecycle state permits the requested operation</w:t>
      </w:r>
      <w:r>
        <w:t xml:space="preserve"> </w:t>
      </w:r>
      <w:r>
        <w:rPr>
          <w:i/>
          <w:iCs/>
        </w:rPr>
        <w:t xml:space="preserve">q</w:t>
      </w:r>
      <w:r>
        <w:t xml:space="preserve">. Different operations may be permitted only in specific lifecycle states. For example, activation may require a consent to be in a pending state, while data access may require the consent to be active.</w:t>
      </w:r>
      <w:r>
        <w:t xml:space="preserve"> </w:t>
      </w:r>
      <w:r>
        <w:rPr>
          <w:rStyle w:val="OrangeDelete"/>
        </w:rPr>
        <w:t xml:space="preserve">The state transition condition can be represented as</w:t>
      </w:r>
      <w:r>
        <w:rPr>
          <w:rStyle w:val="OrangeFix"/>
        </w:rPr>
        <w:t xml:space="preserve">The state-transition condition can be represented as</w:t>
      </w:r>
    </w:p>
    <w:p>
      <w:pPr>
        <w:pStyle w:val="BodyText"/>
      </w:pPr>
      <m:oMathPara>
        <m:oMathParaPr>
          <m:jc m:val="center"/>
        </m:oMathParaPr>
        <m:oMath>
          <m:r>
            <m:t>S</m:t>
          </m:r>
          <m:r>
            <m:t>t</m:t>
          </m:r>
          <m:r>
            <m:t>a</m:t>
          </m:r>
          <m:r>
            <m:t>t</m:t>
          </m:r>
          <m:r>
            <m:t>e</m:t>
          </m:r>
          <m:r>
            <m:rPr>
              <m:sty m:val="p"/>
            </m:rPr>
            <m:t>(</m:t>
          </m:r>
          <m:r>
            <m:t>C</m:t>
          </m:r>
          <m:r>
            <m:rPr>
              <m:sty m:val="p"/>
            </m:rPr>
            <m:t>)</m:t>
          </m:r>
          <m:r>
            <m:rPr>
              <m:sty m:val="p"/>
            </m:rPr>
            <m:t>⊨</m:t>
          </m:r>
          <m:r>
            <m:t>q</m:t>
          </m:r>
          <m:r>
            <m:rPr>
              <m:sty m:val="p"/>
            </m:rPr>
            <m:t>.</m:t>
          </m:r>
        </m:oMath>
      </m:oMathPara>
    </w:p>
    <w:p>
      <w:pPr>
        <w:pStyle w:val="FirstParagraph"/>
      </w:pPr>
      <w:r>
        <w:t xml:space="preserve">If the current state does not permit operation</w:t>
      </w:r>
      <w:r>
        <w:t xml:space="preserve"> </w:t>
      </w:r>
      <w:r>
        <w:rPr>
          <w:i/>
          <w:iCs/>
        </w:rPr>
        <w:t xml:space="preserve">q</w:t>
      </w:r>
      <w:r>
        <w:t xml:space="preserve">, the system records an invalid lifecycle-state event and returns</w:t>
      </w:r>
      <w:r>
        <w:t xml:space="preserve"> </w:t>
      </w:r>
      <w:r>
        <w:rPr>
          <w:i/>
          <w:iCs/>
        </w:rPr>
        <w:t xml:space="preserve">INVALID</w:t>
      </w:r>
      <w:r>
        <w:t xml:space="preserve">.</w:t>
      </w:r>
    </w:p>
    <w:p>
      <w:pPr>
        <w:pStyle w:val="Compact"/>
        <w:numPr>
          <w:ilvl w:val="0"/>
          <w:numId w:val="1054"/>
        </w:numPr>
      </w:pPr>
      <w:r>
        <w:rPr>
          <w:b/>
          <w:bCs/>
        </w:rPr>
        <w:t xml:space="preserve">Step 5 – Check Revocation Status.</w:t>
      </w:r>
    </w:p>
    <w:p>
      <w:pPr>
        <w:pStyle w:val="FirstParagraph"/>
      </w:pPr>
      <w:r>
        <w:t xml:space="preserve">The system explicitly checks whether consent object</w:t>
      </w:r>
      <w:r>
        <w:t xml:space="preserve"> </w:t>
      </w:r>
      <w:r>
        <w:rPr>
          <w:i/>
          <w:iCs/>
        </w:rPr>
        <w:t xml:space="preserve">C</w:t>
      </w:r>
      <w:r>
        <w:t xml:space="preserve"> </w:t>
      </w:r>
      <w:r>
        <w:t xml:space="preserve">has been revoked. Revocation represents a deliberate termination of the previously granted consent and must therefore override an otherwise valid temporal interval.</w:t>
      </w:r>
    </w:p>
    <w:p>
      <w:pPr>
        <w:pStyle w:val="BodyText"/>
      </w:pPr>
      <w:r>
        <w:t xml:space="preserve">Formally,</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f</m:t>
          </m:r>
          <m:r>
            <m:t>a</m:t>
          </m:r>
          <m:r>
            <m:t>l</m:t>
          </m:r>
          <m:r>
            <m:t>s</m:t>
          </m:r>
          <m:r>
            <m:t>e</m:t>
          </m:r>
        </m:oMath>
      </m:oMathPara>
    </w:p>
    <w:p>
      <w:pPr>
        <w:pStyle w:val="FirstParagraph"/>
      </w:pPr>
      <w:r>
        <w:t xml:space="preserve">must hold for the consent to remain usable.</w:t>
      </w:r>
    </w:p>
    <w:p>
      <w:pPr>
        <w:pStyle w:val="BodyText"/>
      </w:pPr>
      <w:r>
        <w:t xml:space="preserve">If</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t</m:t>
          </m:r>
          <m:r>
            <m:t>r</m:t>
          </m:r>
          <m:r>
            <m:t>u</m:t>
          </m:r>
          <m:r>
            <m:t>e</m:t>
          </m:r>
          <m:r>
            <m:rPr>
              <m:sty m:val="p"/>
            </m:rPr>
            <m:t>,</m:t>
          </m:r>
        </m:oMath>
      </m:oMathPara>
    </w:p>
    <w:p>
      <w:pPr>
        <w:pStyle w:val="FirstParagraph"/>
      </w:pPr>
      <w:r>
        <w:t xml:space="preserve">the system records revocation-based invalidity and returns</w:t>
      </w:r>
      <w:r>
        <w:t xml:space="preserve"> </w:t>
      </w:r>
      <w:r>
        <w:rPr>
          <w:i/>
          <w:iCs/>
        </w:rPr>
        <w:t xml:space="preserve">INVALID</w:t>
      </w:r>
      <w:r>
        <w:t xml:space="preserve">.</w:t>
      </w:r>
    </w:p>
    <w:p>
      <w:pPr>
        <w:pStyle w:val="Compact"/>
        <w:numPr>
          <w:ilvl w:val="0"/>
          <w:numId w:val="1055"/>
        </w:numPr>
      </w:pPr>
      <w:r>
        <w:rPr>
          <w:b/>
          <w:bCs/>
        </w:rPr>
        <w:t xml:space="preserve">Step 6 – Validate the Requested Lifecycle Transition.</w:t>
      </w:r>
    </w:p>
    <w:p>
      <w:pPr>
        <w:pStyle w:val="FirstParagraph"/>
      </w:pPr>
      <w:r>
        <w:t xml:space="preserve">If the consent is temporally valid, in an appropriate lifecycle state, and has not been revoked, the system validates the requested transition</w:t>
      </w:r>
      <w:r>
        <w:t xml:space="preserve"> </w:t>
      </w:r>
      <w:r>
        <w:rPr>
          <w:i/>
          <w:iCs/>
        </w:rPr>
        <w:t xml:space="preserve">q</w:t>
      </w:r>
      <w:r>
        <w:t xml:space="preserve">.</w:t>
      </w:r>
    </w:p>
    <w:p>
      <w:pPr>
        <w:pStyle w:val="BodyText"/>
      </w:pPr>
      <w:r>
        <w:t xml:space="preserve">The transition is evaluated against the predefined lifecycle-transition policy:</w:t>
      </w:r>
    </w:p>
    <w:p>
      <w:pPr>
        <w:pStyle w:val="BodyText"/>
      </w:pPr>
      <m:oMathPara>
        <m:oMathParaPr>
          <m:jc m:val="center"/>
        </m:oMathParaPr>
        <m:oMath>
          <m:r>
            <m:t>S</m:t>
          </m:r>
          <m:r>
            <m:t>t</m:t>
          </m:r>
          <m:r>
            <m:t>a</m:t>
          </m:r>
          <m:r>
            <m:t>t</m:t>
          </m:r>
          <m:r>
            <m:t>e</m:t>
          </m:r>
          <m:r>
            <m:rPr>
              <m:sty m:val="p"/>
            </m:rPr>
            <m:t>(</m:t>
          </m:r>
          <m:r>
            <m:t>C</m:t>
          </m:r>
          <m:r>
            <m:rPr>
              <m:sty m:val="p"/>
            </m:rPr>
            <m:t>)</m:t>
          </m:r>
          <m:limUpp>
            <m:e>
              <m:r>
                <m:rPr>
                  <m:sty m:val="p"/>
                </m:rPr>
                <m:t>→</m:t>
              </m:r>
            </m:e>
            <m:lim>
              <m:r>
                <m:t>q</m:t>
              </m:r>
            </m:lim>
          </m:limUpp>
          <m:r>
            <m:t>S</m:t>
          </m:r>
          <m:r>
            <m:t>t</m:t>
          </m:r>
          <m:r>
            <m:t>a</m:t>
          </m:r>
          <m:r>
            <m:t>t</m:t>
          </m:r>
          <m:sSup>
            <m:e>
              <m:r>
                <m:t>e</m:t>
              </m:r>
            </m:e>
            <m:sup>
              <m:r>
                <m:rPr>
                  <m:sty m:val="p"/>
                </m:rPr>
                <m:t>′</m:t>
              </m:r>
            </m:sup>
          </m:sSup>
          <m:r>
            <m:rPr>
              <m:sty m:val="p"/>
            </m:rPr>
            <m:t>(</m:t>
          </m:r>
          <m:r>
            <m:t>C</m:t>
          </m:r>
          <m:r>
            <m:rPr>
              <m:sty m:val="p"/>
            </m:rPr>
            <m:t>)</m:t>
          </m:r>
          <m:r>
            <m:rPr>
              <m:sty m:val="p"/>
            </m:rPr>
            <m:t>.</m:t>
          </m:r>
        </m:oMath>
      </m:oMathPara>
    </w:p>
    <w:p>
      <w:pPr>
        <w:pStyle w:val="FirstParagraph"/>
      </w:pPr>
      <w:r>
        <w:t xml:space="preserve">The transition is valid only when</w:t>
      </w:r>
      <w:r>
        <w:t xml:space="preserve"> </w:t>
      </w:r>
      <w:r>
        <w:rPr>
          <w:i/>
          <w:iCs/>
        </w:rPr>
        <w:t xml:space="preserve">q</w:t>
      </w:r>
      <w:r>
        <w:t xml:space="preserve"> </w:t>
      </w:r>
      <w:r>
        <w:t xml:space="preserve">is explicitly permitted from the current state. If the transition is not permitted, the system records an unauthorised state-transition event and returns</w:t>
      </w:r>
      <w:r>
        <w:t xml:space="preserve"> </w:t>
      </w:r>
      <w:r>
        <w:rPr>
          <w:i/>
          <w:iCs/>
        </w:rPr>
        <w:t xml:space="preserve">INVALID</w:t>
      </w:r>
      <w:r>
        <w:t xml:space="preserve">.</w:t>
      </w:r>
    </w:p>
    <w:p>
      <w:pPr>
        <w:pStyle w:val="Compact"/>
        <w:numPr>
          <w:ilvl w:val="0"/>
          <w:numId w:val="1056"/>
        </w:numPr>
      </w:pPr>
      <w:r>
        <w:rPr>
          <w:b/>
          <w:bCs/>
        </w:rPr>
        <w:t xml:space="preserve">Step 7 – Establish Temporal and Lifecycle Consistency.</w:t>
      </w:r>
    </w:p>
    <w:p>
      <w:pPr>
        <w:pStyle w:val="FirstParagraph"/>
      </w:pPr>
      <w:r>
        <w:t xml:space="preserve">After all individual checks have succeeded, the system establishes that the consent is simultaneously valid in terms of time, lifecycle state, revocation status, and requested transition.</w:t>
      </w:r>
    </w:p>
    <w:p>
      <w:pPr>
        <w:pStyle w:val="BodyText"/>
      </w:pPr>
      <w:r>
        <w:t xml:space="preserve">The overall lifecycle-validity condition can therefore be expressed as</w:t>
      </w:r>
    </w:p>
    <w:p>
      <w:pPr>
        <w:pStyle w:val="BodyText"/>
      </w:pPr>
      <w:r>
        <w:rPr>
          <w:i/>
          <w:iCs/>
        </w:rPr>
        <w:t xml:space="preserve">V</w:t>
      </w:r>
      <w:r>
        <w:rPr>
          <w:vertAlign w:val="subscript"/>
        </w:rPr>
        <w:t xml:space="preserve">L</w:t>
      </w:r>
      <w:r>
        <w:t xml:space="preserve">(</w:t>
      </w:r>
      <w:r>
        <w:rPr>
          <w:i/>
          <w:iCs/>
        </w:rPr>
        <w:t xml:space="preserve">C, t, q</w:t>
      </w:r>
      <w:r>
        <w:t xml:space="preserve">) =</w:t>
      </w:r>
      <w:r>
        <w:t xml:space="preserve"> </w:t>
      </w:r>
      <w:r>
        <w:rPr>
          <w:i/>
          <w:iCs/>
        </w:rPr>
        <w:t xml:space="preserve">TimeValid</w:t>
      </w:r>
      <w:r>
        <w:t xml:space="preserve">(</w:t>
      </w:r>
      <w:r>
        <w:rPr>
          <w:i/>
          <w:iCs/>
        </w:rPr>
        <w:t xml:space="preserve">C, t</w:t>
      </w:r>
      <w:r>
        <w:t xml:space="preserve">)∧</w:t>
      </w:r>
      <w:r>
        <w:rPr>
          <w:i/>
          <w:iCs/>
        </w:rPr>
        <w:t xml:space="preserve">StateValid</w:t>
      </w:r>
      <w:r>
        <w:t xml:space="preserve">(</w:t>
      </w:r>
      <w:r>
        <w:rPr>
          <w:i/>
          <w:iCs/>
        </w:rPr>
        <w:t xml:space="preserve">C, q</w:t>
      </w:r>
      <w:r>
        <w:t xml:space="preserve">)∧¬</w:t>
      </w:r>
      <w:r>
        <w:rPr>
          <w:i/>
          <w:iCs/>
        </w:rPr>
        <w:t xml:space="preserve">Revoked</w:t>
      </w:r>
      <w:r>
        <w:t xml:space="preserve">(</w:t>
      </w:r>
      <w:r>
        <w:rPr>
          <w:i/>
          <w:iCs/>
        </w:rPr>
        <w:t xml:space="preserve">C</w:t>
      </w:r>
      <w:r>
        <w:t xml:space="preserve">)∧</w:t>
      </w:r>
      <w:r>
        <w:rPr>
          <w:i/>
          <w:iCs/>
        </w:rPr>
        <w:t xml:space="preserve">TransitionValid</w:t>
      </w:r>
      <w:r>
        <w:t xml:space="preserve">(</w:t>
      </w:r>
      <w:r>
        <w:rPr>
          <w:i/>
          <w:iCs/>
        </w:rPr>
        <w:t xml:space="preserve">C, q</w:t>
      </w:r>
      <w:r>
        <w:t xml:space="preserve">).</w:t>
      </w:r>
    </w:p>
    <w:p>
      <w:pPr>
        <w:pStyle w:val="BodyText"/>
      </w:pPr>
      <w:r>
        <w:t xml:space="preserve">Only when all four conditions are satisfied can the consent proceed to the subsequent operation.</w:t>
      </w:r>
    </w:p>
    <w:p>
      <w:pPr>
        <w:pStyle w:val="Compact"/>
        <w:numPr>
          <w:ilvl w:val="0"/>
          <w:numId w:val="1057"/>
        </w:numPr>
      </w:pPr>
      <w:r>
        <w:rPr>
          <w:b/>
          <w:bCs/>
        </w:rPr>
        <w:t xml:space="preserve">Step 8 – Record Temporal and Lifecycle Evidence.</w:t>
      </w:r>
    </w:p>
    <w:p>
      <w:pPr>
        <w:pStyle w:val="FirstParagraph"/>
      </w:pPr>
      <w:r>
        <w:t xml:space="preserve">The system records evidence associated with the successful validation. The evidence may include the consent identifier, current timestamp, validity interval, current lifecycle state, revocation status, requested transition, and validation result.</w:t>
      </w:r>
    </w:p>
    <w:p>
      <w:pPr>
        <w:pStyle w:val="BodyText"/>
      </w:pPr>
      <w:r>
        <w:t xml:space="preserve">This evidence establishes an auditable relationship between the consent’s lifecycle state and the operation performed at a particular point in time.</w:t>
      </w:r>
    </w:p>
    <w:p>
      <w:pPr>
        <w:pStyle w:val="Compact"/>
        <w:numPr>
          <w:ilvl w:val="0"/>
          <w:numId w:val="1058"/>
        </w:numPr>
      </w:pPr>
      <w:r>
        <w:rPr>
          <w:b/>
          <w:bCs/>
        </w:rPr>
        <w:t xml:space="preserve">Step 9 – Return the Lifecycle Validation Result.</w:t>
      </w:r>
    </w:p>
    <w:p>
      <w:pPr>
        <w:pStyle w:val="FirstParagraph"/>
      </w:pPr>
      <w:r>
        <w:t xml:space="preserve">If all temporal and lifecycle conditions are satisfied, the system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V</m:t>
          </m:r>
          <m:r>
            <m:t>A</m:t>
          </m:r>
          <m:r>
            <m:t>L</m:t>
          </m:r>
          <m:r>
            <m:t>I</m:t>
          </m:r>
          <m:r>
            <m:t>D</m:t>
          </m:r>
          <m:r>
            <m:rPr>
              <m:sty m:val="p"/>
            </m:rPr>
            <m:t>.</m:t>
          </m:r>
        </m:oMath>
      </m:oMathPara>
    </w:p>
    <w:p>
      <w:pPr>
        <w:pStyle w:val="FirstParagraph"/>
      </w:pPr>
      <w:r>
        <w:t xml:space="preserve">If any mandatory condition fails, the procedure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C</m:t>
                </m:r>
                <m:r>
                  <m:rPr>
                    <m:sty m:val="p"/>
                  </m:rPr>
                  <m:t>→</m:t>
                </m:r>
                <m:sSub>
                  <m:e>
                    <m:r>
                      <m:t>T</m:t>
                    </m:r>
                  </m:e>
                  <m:sub>
                    <m:r>
                      <m:t>C</m:t>
                    </m:r>
                  </m:sub>
                </m:sSub>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e>
            </m:mr>
            <m:mr>
              <m:e>
                <m:r>
                  <m:rPr>
                    <m:sty m:val="p"/>
                  </m:rPr>
                  <m:t>→</m:t>
                </m:r>
                <m:r>
                  <m:t>q</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E</m:t>
                </m:r>
                <m:r>
                  <m:t>v</m:t>
                </m:r>
                <m:r>
                  <m:t>i</m:t>
                </m:r>
                <m:r>
                  <m:t>d</m:t>
                </m:r>
                <m:r>
                  <m:t>e</m:t>
                </m:r>
                <m:r>
                  <m:t>n</m:t>
                </m:r>
                <m:r>
                  <m:t>c</m:t>
                </m:r>
                <m:r>
                  <m:t>e</m:t>
                </m:r>
                <m:r>
                  <m:rPr>
                    <m:sty m:val="p"/>
                  </m:rPr>
                  <m:t>→</m:t>
                </m:r>
                <m:d>
                  <m:dPr>
                    <m:begChr m:val="{"/>
                    <m:sepChr m:val=""/>
                    <m:endChr m:val=""/>
                    <m:grow/>
                  </m:dPr>
                  <m:e>
                    <m:m>
                      <m:mPr>
                        <m:baseJc m:val="center"/>
                        <m:plcHide m:val="on"/>
                        <m:mcs>
                          <m:mc>
                            <m:mcPr>
                              <m:count m:val="1"/>
                              <m:mcJc m:val="left"/>
                            </m:mcPr>
                          </m:mc>
                        </m:mcs>
                      </m:mPr>
                      <m:mr>
                        <m:e>
                          <m:r>
                            <m:t>V</m:t>
                          </m:r>
                          <m:r>
                            <m:t>A</m:t>
                          </m:r>
                          <m:r>
                            <m:t>L</m:t>
                          </m:r>
                          <m:r>
                            <m:t>I</m:t>
                          </m:r>
                          <m:r>
                            <m:t>D</m:t>
                          </m:r>
                        </m:e>
                      </m:mr>
                      <m:mr>
                        <m:e>
                          <m:r>
                            <m:t>I</m:t>
                          </m:r>
                          <m:r>
                            <m:t>N</m:t>
                          </m:r>
                          <m:r>
                            <m:t>V</m:t>
                          </m:r>
                          <m:r>
                            <m:t>A</m:t>
                          </m:r>
                          <m:r>
                            <m:t>L</m:t>
                          </m:r>
                          <m:r>
                            <m:t>I</m:t>
                          </m:r>
                          <m:r>
                            <m:t>D</m:t>
                          </m:r>
                        </m:e>
                      </m:mr>
                    </m:m>
                  </m:e>
                </m:d>
              </m:e>
            </m:mr>
          </m:m>
        </m:oMath>
      </m:oMathPara>
    </w:p>
    <w:p>
      <w:pPr>
        <w:pStyle w:val="FirstParagraph"/>
      </w:pPr>
      <w:r>
        <w:t xml:space="preserve">The complete lifecycle-validity condition can be summarised as</w:t>
      </w:r>
    </w:p>
    <w:p>
      <w:pPr>
        <w:pStyle w:val="BodyText"/>
      </w:pPr>
      <m:oMathPara>
        <m:oMathParaPr>
          <m:jc m:val="center"/>
        </m:oMathParaPr>
        <m:oMath>
          <m:m>
            <m:mPr>
              <m:baseJc m:val="center"/>
              <m:plcHide m:val="on"/>
              <m:mcs>
                <m:mc>
                  <m:mcPr>
                    <m:count m:val="1"/>
                    <m:mcJc m:val="left"/>
                  </m:mcPr>
                </m:mc>
              </m:mcs>
            </m:mPr>
            <m:mr>
              <m:e>
                <m:r>
                  <m:t>V</m:t>
                </m:r>
                <m:r>
                  <m:t>A</m:t>
                </m:r>
                <m:r>
                  <m:t>L</m:t>
                </m:r>
                <m:r>
                  <m:t>I</m:t>
                </m:r>
                <m:r>
                  <m:t>D</m:t>
                </m:r>
                <m:r>
                  <m:rPr>
                    <m:sty m:val="p"/>
                  </m:rPr>
                  <m:t>⇔</m:t>
                </m:r>
                <m:r>
                  <m:t> </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S</m:t>
                </m:r>
                <m:r>
                  <m:t>t</m:t>
                </m:r>
                <m:r>
                  <m:t>a</m:t>
                </m:r>
                <m:r>
                  <m:t>t</m:t>
                </m:r>
                <m:r>
                  <m:t>e</m:t>
                </m:r>
                <m:r>
                  <m:rPr>
                    <m:sty m:val="p"/>
                  </m:rPr>
                  <m:t>(</m:t>
                </m:r>
                <m:r>
                  <m:t>C</m:t>
                </m:r>
                <m:r>
                  <m:rPr>
                    <m:sty m:val="p"/>
                  </m:rPr>
                  <m:t>)</m:t>
                </m:r>
                <m:r>
                  <m:rPr>
                    <m:sty m:val="p"/>
                  </m:rPr>
                  <m:t>⊨</m:t>
                </m:r>
                <m:r>
                  <m:t>q</m:t>
                </m:r>
              </m:e>
            </m:mr>
            <m:mr>
              <m:e>
                <m:r>
                  <m:rPr>
                    <m:sty m:val="p"/>
                  </m:rPr>
                  <m:t>∧</m:t>
                </m:r>
                <m:r>
                  <m:rPr>
                    <m:sty m:val="p"/>
                  </m:rPr>
                  <m:t>¬</m:t>
                </m:r>
                <m:r>
                  <m:t>R</m:t>
                </m:r>
                <m:r>
                  <m:t>e</m:t>
                </m:r>
                <m:r>
                  <m:t>v</m:t>
                </m:r>
                <m:r>
                  <m:t>o</m:t>
                </m:r>
                <m:r>
                  <m:t>k</m:t>
                </m:r>
                <m:r>
                  <m:t>e</m:t>
                </m:r>
                <m:r>
                  <m:t>d</m:t>
                </m:r>
                <m:r>
                  <m:rPr>
                    <m:sty m:val="p"/>
                  </m:rPr>
                  <m:t>(</m:t>
                </m:r>
                <m:r>
                  <m:t>C</m:t>
                </m:r>
                <m:r>
                  <m:rPr>
                    <m:sty m:val="p"/>
                  </m:rPr>
                  <m:t>)</m:t>
                </m:r>
                <m:r>
                  <m:rPr>
                    <m:sty m:val="p"/>
                  </m:rPr>
                  <m:t>∧</m:t>
                </m:r>
                <m:r>
                  <m:t>T</m:t>
                </m:r>
                <m:r>
                  <m:t>r</m:t>
                </m:r>
                <m:r>
                  <m:t>a</m:t>
                </m:r>
                <m:r>
                  <m:t>n</m:t>
                </m:r>
                <m:r>
                  <m:t>s</m:t>
                </m:r>
                <m:r>
                  <m:t>i</m:t>
                </m:r>
                <m:r>
                  <m:t>t</m:t>
                </m:r>
                <m:r>
                  <m:t>i</m:t>
                </m:r>
                <m:r>
                  <m:t>o</m:t>
                </m:r>
                <m:r>
                  <m:t>n</m:t>
                </m:r>
                <m:r>
                  <m:t>P</m:t>
                </m:r>
                <m:r>
                  <m:t>e</m:t>
                </m:r>
                <m:r>
                  <m:t>r</m:t>
                </m:r>
                <m:r>
                  <m:t>m</m:t>
                </m:r>
                <m:r>
                  <m:t>i</m:t>
                </m:r>
                <m:r>
                  <m:t>t</m:t>
                </m:r>
                <m:r>
                  <m:t>t</m:t>
                </m:r>
                <m:r>
                  <m:t>e</m:t>
                </m:r>
                <m:r>
                  <m:t>d</m:t>
                </m:r>
                <m:r>
                  <m:rPr>
                    <m:sty m:val="p"/>
                  </m:rPr>
                  <m:t>(</m:t>
                </m:r>
                <m:r>
                  <m:t>q</m:t>
                </m:r>
                <m:r>
                  <m:rPr>
                    <m:sty m:val="p"/>
                  </m:rPr>
                  <m:t>)</m:t>
                </m:r>
              </m:e>
            </m:mr>
          </m:m>
        </m:oMath>
      </m:oMathPara>
    </w:p>
    <w:p>
      <w:pPr>
        <w:pStyle w:val="FirstParagraph"/>
      </w:pPr>
      <w:r>
        <w:t xml:space="preserve">This procedure establishes that consent validity is not a static property. Instead, the validity of consent</w:t>
      </w:r>
      <w:r>
        <w:t xml:space="preserve"> </w:t>
      </w:r>
      <w:r>
        <w:rPr>
          <w:rStyle w:val="OrangeDelete"/>
        </w:rPr>
        <w:t xml:space="preserve">is a function of both time and lifecycle state that</w:t>
      </w:r>
      <w:r>
        <w:rPr>
          <w:rStyle w:val="OrangeFix"/>
        </w:rPr>
        <w:t xml:space="preserve">is a function of both time and lifecycle state:</w:t>
      </w:r>
    </w:p>
    <w:p>
      <w:pPr>
        <w:pStyle w:val="BodyText"/>
      </w:pPr>
      <m:oMathPara>
        <m:oMathParaPr>
          <m:jc m:val="center"/>
        </m:oMathParaPr>
        <m:oMath>
          <m:r>
            <m:t>V</m:t>
          </m:r>
          <m:r>
            <m:t>a</m:t>
          </m:r>
          <m:r>
            <m:t>l</m:t>
          </m:r>
          <m:r>
            <m:t>i</m:t>
          </m:r>
          <m:r>
            <m:t>d</m:t>
          </m:r>
          <m:r>
            <m:t>i</m:t>
          </m:r>
          <m:r>
            <m:t>t</m:t>
          </m:r>
          <m:r>
            <m:t>y</m:t>
          </m:r>
          <m:r>
            <m:rPr>
              <m:sty m:val="p"/>
            </m:rPr>
            <m:t>(</m:t>
          </m:r>
          <m:r>
            <m:t>C</m:t>
          </m:r>
          <m:r>
            <m:rPr>
              <m:sty m:val="p"/>
            </m:rPr>
            <m:t>)</m:t>
          </m:r>
          <m:r>
            <m:rPr>
              <m:sty m:val="p"/>
            </m:rPr>
            <m:t>=</m:t>
          </m:r>
          <m:r>
            <m:t>f</m:t>
          </m:r>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r>
            <m:rPr>
              <m:sty m:val="p"/>
            </m:rPr>
            <m:t>(</m:t>
          </m:r>
          <m:r>
            <m:t>C</m:t>
          </m:r>
          <m:r>
            <m:rPr>
              <m:sty m:val="p"/>
            </m:rPr>
            <m:t>)</m:t>
          </m:r>
          <m:r>
            <m:rPr>
              <m:sty m:val="p"/>
            </m:rPr>
            <m:t>)</m:t>
          </m:r>
          <m:r>
            <m:rPr>
              <m:sty m:val="p"/>
            </m:rPr>
            <m:t>.</m:t>
          </m:r>
        </m:oMath>
      </m:oMathPara>
    </w:p>
    <w:p>
      <w:pPr>
        <w:pStyle w:val="FirstParagraph"/>
      </w:pPr>
      <w:r>
        <w:t xml:space="preserve">Consequently, a consent that was valid at time</w:t>
      </w:r>
      <w:r>
        <w:t xml:space="preserve"> </w:t>
      </w:r>
      <w:r>
        <w:rPr>
          <w:i/>
          <w:iCs/>
        </w:rPr>
        <w:t xml:space="preserve">t</w:t>
      </w:r>
      <w:r>
        <w:rPr>
          <w:vertAlign w:val="subscript"/>
        </w:rPr>
        <w:t xml:space="preserve">1</w:t>
      </w:r>
      <w:r>
        <w:t xml:space="preserve"> </w:t>
      </w:r>
      <w:r>
        <w:t xml:space="preserve">may become invalid at a later time</w:t>
      </w:r>
      <w:r>
        <w:t xml:space="preserve"> </w:t>
      </w:r>
      <w:r>
        <w:rPr>
          <w:i/>
          <w:iCs/>
        </w:rPr>
        <w:t xml:space="preserve">t</w:t>
      </w:r>
      <w:r>
        <w:rPr>
          <w:vertAlign w:val="subscript"/>
        </w:rPr>
        <w:t xml:space="preserve">2</w:t>
      </w:r>
      <w:r>
        <w:t xml:space="preserve"> </w:t>
      </w:r>
      <w:r>
        <w:t xml:space="preserve">because it has expired, been revoked, suspended, or otherwise transitioned into a state that does not permit the requested operation. The explicit lifecycle validation also introduces an important distinction between</w:t>
      </w:r>
      <w:r>
        <w:t xml:space="preserve"> </w:t>
      </w:r>
      <w:r>
        <w:rPr>
          <w:i/>
          <w:iCs/>
        </w:rPr>
        <w:t xml:space="preserve">consent</w:t>
      </w:r>
      <w:r>
        <w:t xml:space="preserve"> </w:t>
      </w:r>
      <w:r>
        <w:rPr>
          <w:i/>
          <w:iCs/>
        </w:rPr>
        <w:t xml:space="preserve">existence</w:t>
      </w:r>
      <w:r>
        <w:t xml:space="preserve"> </w:t>
      </w:r>
      <w:r>
        <w:t xml:space="preserve">and</w:t>
      </w:r>
      <w:r>
        <w:t xml:space="preserve"> </w:t>
      </w:r>
      <w:r>
        <w:rPr>
          <w:i/>
          <w:iCs/>
        </w:rPr>
        <w:t xml:space="preserve">consent usability</w:t>
      </w:r>
      <w:r>
        <w:t xml:space="preserve">.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w:t>
      </w:r>
    </w:p>
    <w:p>
      <w:pPr>
        <w:pStyle w:val="BodyText"/>
      </w:pPr>
      <m:oMathPara>
        <m:oMathParaPr>
          <m:jc m:val="center"/>
        </m:oMathParaPr>
        <m:oMath>
          <m:r>
            <m:t>C</m:t>
          </m:r>
          <m:r>
            <m:t>o</m:t>
          </m:r>
          <m:r>
            <m:t>n</m:t>
          </m:r>
          <m:r>
            <m:t>s</m:t>
          </m:r>
          <m:r>
            <m:t>e</m:t>
          </m:r>
          <m:r>
            <m:t>n</m:t>
          </m:r>
          <m:r>
            <m:t>t</m:t>
          </m:r>
          <m:r>
            <m:t>E</m:t>
          </m:r>
          <m:r>
            <m:t>x</m:t>
          </m:r>
          <m:r>
            <m:t>i</m:t>
          </m:r>
          <m:r>
            <m:t>s</m:t>
          </m:r>
          <m:r>
            <m:t>t</m:t>
          </m:r>
          <m:r>
            <m:t>s</m:t>
          </m:r>
          <m:r>
            <m:rPr>
              <m:sty m:val="p"/>
            </m:rPr>
            <m:t>(</m:t>
          </m:r>
          <m:r>
            <m:t>C</m:t>
          </m:r>
          <m:r>
            <m:rPr>
              <m:sty m:val="p"/>
            </m:rPr>
            <m:t>)</m:t>
          </m:r>
          <m:r>
            <m:rPr>
              <m:sty m:val="p"/>
            </m:rPr>
            <m:t>⇏</m:t>
          </m:r>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oMath>
      </m:oMathPara>
    </w:p>
    <w:p>
      <w:pPr>
        <w:pStyle w:val="FirstParagraph"/>
      </w:pPr>
      <w:r>
        <w:t xml:space="preserve">Instead,</w:t>
      </w:r>
    </w:p>
    <w:p>
      <w:pPr>
        <w:pStyle w:val="BodyText"/>
      </w:pPr>
      <m:oMathPara>
        <m:oMathParaPr>
          <m:jc m:val="center"/>
        </m:oMathParaPr>
        <m:oMath>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r>
            <m:t>T</m:t>
          </m:r>
          <m:r>
            <m:t>i</m:t>
          </m:r>
          <m:r>
            <m:t>m</m:t>
          </m:r>
          <m:r>
            <m:t>e</m:t>
          </m:r>
          <m:r>
            <m:t>V</m:t>
          </m:r>
          <m:r>
            <m:t>a</m:t>
          </m:r>
          <m:r>
            <m:t>l</m:t>
          </m:r>
          <m:r>
            <m:t>i</m:t>
          </m:r>
          <m:r>
            <m:t>d</m:t>
          </m:r>
          <m:r>
            <m:rPr>
              <m:sty m:val="p"/>
            </m:rPr>
            <m:t>(</m:t>
          </m:r>
          <m:r>
            <m:t>C</m:t>
          </m:r>
          <m:r>
            <m:rPr>
              <m:sty m:val="p"/>
            </m:rPr>
            <m:t>,</m:t>
          </m:r>
          <m:r>
            <m:t>t</m:t>
          </m:r>
          <m:r>
            <m:rPr>
              <m:sty m:val="p"/>
            </m:rPr>
            <m:t>)</m:t>
          </m:r>
          <m:r>
            <m:rPr>
              <m:sty m:val="p"/>
            </m:rPr>
            <m:t>∧</m:t>
          </m:r>
          <m:r>
            <m:t>S</m:t>
          </m:r>
          <m:r>
            <m:t>t</m:t>
          </m:r>
          <m:r>
            <m:t>a</m:t>
          </m:r>
          <m:r>
            <m:t>t</m:t>
          </m:r>
          <m:r>
            <m:t>e</m:t>
          </m:r>
          <m:r>
            <m:t>V</m:t>
          </m:r>
          <m:r>
            <m:t>a</m:t>
          </m:r>
          <m:r>
            <m:t>l</m:t>
          </m:r>
          <m:r>
            <m:t>i</m:t>
          </m:r>
          <m:r>
            <m:t>d</m:t>
          </m:r>
          <m:r>
            <m:rPr>
              <m:sty m:val="p"/>
            </m:rPr>
            <m:t>(</m:t>
          </m:r>
          <m:r>
            <m:t>C</m:t>
          </m:r>
          <m:r>
            <m:rPr>
              <m:sty m:val="p"/>
            </m:rPr>
            <m:t>)</m:t>
          </m:r>
          <m:r>
            <m:rPr>
              <m:sty m:val="p"/>
            </m:rPr>
            <m:t>∧</m:t>
          </m:r>
          <m:r>
            <m:rPr>
              <m:sty m:val="p"/>
            </m:rPr>
            <m:t>¬</m:t>
          </m:r>
          <m:r>
            <m:t>R</m:t>
          </m:r>
          <m:r>
            <m:t>e</m:t>
          </m:r>
          <m:r>
            <m:t>v</m:t>
          </m:r>
          <m:r>
            <m:t>o</m:t>
          </m:r>
          <m:r>
            <m:t>k</m:t>
          </m:r>
          <m:r>
            <m:t>e</m:t>
          </m:r>
          <m:r>
            <m:t>d</m:t>
          </m:r>
          <m:r>
            <m:rPr>
              <m:sty m:val="p"/>
            </m:rPr>
            <m:t>(</m:t>
          </m:r>
          <m:r>
            <m:t>C</m:t>
          </m:r>
          <m:r>
            <m:rPr>
              <m:sty m:val="p"/>
            </m:rPr>
            <m:t>)</m:t>
          </m:r>
          <m:r>
            <m:rPr>
              <m:sty m:val="p"/>
            </m:rPr>
            <m:t>.</m:t>
          </m:r>
        </m:oMath>
      </m:oMathPara>
    </w:p>
    <w:p>
      <w:pPr>
        <w:pStyle w:val="FirstParagraph"/>
      </w:pPr>
      <w:r>
        <w:t xml:space="preserve">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w:t>
      </w:r>
    </w:p>
    <w:p>
      <w:pPr>
        <w:pStyle w:val="BodyText"/>
      </w:pPr>
      <m:oMathPara>
        <m:oMathParaPr>
          <m:jc m:val="center"/>
        </m:oMathParaPr>
        <m:oMath>
          <m:m>
            <m:mPr>
              <m:baseJc m:val="center"/>
              <m:plcHide m:val="on"/>
              <m:mcs>
                <m:mc>
                  <m:mcPr>
                    <m:count m:val="1"/>
                    <m:mcJc m:val="left"/>
                  </m:mcPr>
                </m:mc>
              </m:mcs>
            </m:mPr>
            <m:mr>
              <m:e>
                <m:r>
                  <m:t>C</m:t>
                </m:r>
                <m:r>
                  <m:t>o</m:t>
                </m:r>
                <m:r>
                  <m:t>n</m:t>
                </m:r>
                <m:r>
                  <m:t>s</m:t>
                </m:r>
                <m:r>
                  <m:t>e</m:t>
                </m:r>
                <m:r>
                  <m:t>n</m:t>
                </m:r>
                <m:r>
                  <m:t>t</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P</m:t>
                </m:r>
                <m:r>
                  <m:t>o</m:t>
                </m:r>
                <m:r>
                  <m:t>l</m:t>
                </m:r>
                <m:r>
                  <m:t>i</m:t>
                </m:r>
                <m:r>
                  <m:t>c</m:t>
                </m:r>
                <m:r>
                  <m:t>y</m:t>
                </m:r>
              </m:e>
            </m:mr>
            <m:mr>
              <m:e>
                <m:r>
                  <m:rPr>
                    <m:sty m:val="p"/>
                  </m:rPr>
                  <m:t>→</m:t>
                </m:r>
                <m:r>
                  <m:t>T</m:t>
                </m:r>
                <m:r>
                  <m:t>e</m:t>
                </m:r>
                <m:r>
                  <m:t>m</m:t>
                </m:r>
                <m:r>
                  <m:t>p</m:t>
                </m:r>
                <m:r>
                  <m:t>o</m:t>
                </m:r>
                <m:r>
                  <m:t>r</m:t>
                </m:r>
                <m:r>
                  <m:t>a</m:t>
                </m:r>
                <m:r>
                  <m:t>l</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A</m:t>
                </m:r>
                <m:r>
                  <m:t>c</m:t>
                </m:r>
                <m:r>
                  <m:t>c</m:t>
                </m:r>
                <m:r>
                  <m:t>e</m:t>
                </m:r>
                <m:r>
                  <m:t>s</m:t>
                </m:r>
                <m:r>
                  <m:t>s</m:t>
                </m:r>
              </m:e>
            </m:mr>
          </m:m>
        </m:oMath>
      </m:oMathPara>
    </w:p>
    <w:p>
      <w:pPr>
        <w:pStyle w:val="FirstParagraph"/>
      </w:pPr>
      <w: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bookmarkEnd w:id="124"/>
    <w:bookmarkStart w:id="125" w:name="X43f085cbe35cf9229d124bd6c8707d40ef3f488"/>
    <w:p>
      <w:pPr>
        <w:pStyle w:val="Heading3"/>
      </w:pPr>
      <w:r>
        <w:t xml:space="preserve">6.5.3 Algorithm 5: Temporal and Lifecycle Validation</w:t>
      </w:r>
    </w:p>
    <w:p>
      <w:pPr>
        <w:pStyle w:val="Algorithm"/>
      </w:pPr>
      <w:r>
        <w:rPr>
          <w:b/>
          <w:bCs/>
        </w:rPr>
        <w:t xml:space="preserve">Algorithm 5</w:t>
      </w:r>
      <w:r>
        <w:t xml:space="preserve"> </w:t>
      </w:r>
      <w:r>
        <w:t xml:space="preserve">Temporal and Lifecycle Validation</w:t>
      </w:r>
      <w:r>
        <w:br/>
      </w:r>
      <w:r>
        <w:rPr>
          <w:b/>
          <w:bCs/>
        </w:rPr>
        <w:t xml:space="preserve">Require:</w:t>
      </w:r>
      <w:r>
        <w:t xml:space="preserve"> </w:t>
      </w:r>
      <w:r>
        <w:t xml:space="preserve">Consent object</w:t>
      </w:r>
      <w:r>
        <w:t xml:space="preserve"> </w:t>
      </w:r>
      <m:oMath>
        <m:r>
          <m:t>C</m:t>
        </m:r>
      </m:oMath>
      <w:r>
        <w:t xml:space="preserve">, current time</w:t>
      </w:r>
      <w:r>
        <w:t xml:space="preserve"> </w:t>
      </w:r>
      <m:oMath>
        <m:r>
          <m:t>t</m:t>
        </m:r>
      </m:oMath>
      <w:r>
        <w:t xml:space="preserve">, requested transition</w:t>
      </w:r>
      <w:r>
        <w:t xml:space="preserve"> </w:t>
      </w:r>
      <m:oMath>
        <m:r>
          <m:t>q</m:t>
        </m:r>
      </m:oMath>
      <w:r>
        <w:br/>
      </w:r>
      <w:r>
        <w:rPr>
          <w:b/>
          <w:bCs/>
        </w:rPr>
        <w:t xml:space="preserve">Ensure:</w:t>
      </w:r>
      <w:r>
        <w:t xml:space="preserve"> </w:t>
      </w:r>
      <w:r>
        <w:t xml:space="preserve">Lifecycle validity result</w:t>
      </w:r>
      <w:r>
        <w:br/>
      </w:r>
      <w:r>
        <w:t xml:space="preserve">1: Retrieve consent start time</w:t>
      </w:r>
      <w:r>
        <w:t xml:space="preserve"> </w:t>
      </w:r>
      <m:oMath>
        <m:sSub>
          <m:e>
            <m:r>
              <m:t>t</m:t>
            </m:r>
          </m:e>
          <m:sub>
            <m:r>
              <m:t>s</m:t>
            </m:r>
          </m:sub>
        </m:sSub>
      </m:oMath>
      <w:r>
        <w:t xml:space="preserve"> </w:t>
      </w:r>
      <w:r>
        <w:t xml:space="preserve">and expiry time</w:t>
      </w:r>
      <w:r>
        <w:t xml:space="preserve"> </w:t>
      </w:r>
      <m:oMath>
        <m:sSub>
          <m:e>
            <m:r>
              <m:t>t</m:t>
            </m:r>
          </m:e>
          <m:sub>
            <m:r>
              <m:t>e</m:t>
            </m:r>
          </m:sub>
        </m:sSub>
      </m:oMath>
      <w:r>
        <w:br/>
      </w:r>
      <w:r>
        <w:t xml:space="preserve">2:</w:t>
      </w:r>
      <w:r>
        <w:t xml:space="preserve"> </w:t>
      </w:r>
      <w:r>
        <w:rPr>
          <w:b/>
          <w:bCs/>
        </w:rPr>
        <w:t xml:space="preserve">if</w:t>
      </w:r>
      <w:r>
        <w:t xml:space="preserve"> </w:t>
      </w:r>
      <m:oMath>
        <m:r>
          <m:t>t</m:t>
        </m:r>
        <m:r>
          <m:rPr>
            <m:sty m:val="p"/>
          </m:rPr>
          <m:t>&lt;</m:t>
        </m:r>
        <m:sSub>
          <m:e>
            <m:r>
              <m:t>t</m:t>
            </m:r>
          </m:e>
          <m:sub>
            <m:r>
              <m:t>s</m:t>
            </m:r>
          </m:sub>
        </m:sSub>
      </m:oMath>
      <w:r>
        <w:t xml:space="preserve"> </w:t>
      </w:r>
      <w:r>
        <w:t xml:space="preserve">or</w:t>
      </w:r>
      <w:r>
        <w:t xml:space="preserve"> </w:t>
      </w:r>
      <m:oMath>
        <m:r>
          <m:t>t</m:t>
        </m:r>
        <m:r>
          <m:rPr>
            <m:sty m:val="p"/>
          </m:rPr>
          <m:t>&gt;</m:t>
        </m:r>
        <m:sSub>
          <m:e>
            <m:r>
              <m:t>t</m:t>
            </m:r>
          </m:e>
          <m:sub>
            <m:r>
              <m:t>e</m:t>
            </m:r>
          </m:sub>
        </m:sSub>
      </m:oMath>
      <w:r>
        <w:t xml:space="preserve"> </w:t>
      </w:r>
      <w:r>
        <w:rPr>
          <w:b/>
          <w:bCs/>
        </w:rPr>
        <w:t xml:space="preserve">then</w:t>
      </w:r>
      <w:r>
        <w:br/>
      </w:r>
      <w:r>
        <w:t xml:space="preserve">    3: Record temporal invalidity</w:t>
      </w:r>
      <w:r>
        <w:br/>
      </w:r>
      <w:r>
        <w:t xml:space="preserve">    4:</w:t>
      </w:r>
      <w:r>
        <w:t xml:space="preserve"> </w:t>
      </w:r>
      <w:r>
        <w:rPr>
          <w:b/>
          <w:bCs/>
        </w:rPr>
        <w:t xml:space="preserve">return</w:t>
      </w:r>
      <w:r>
        <w:t xml:space="preserve"> </w:t>
      </w:r>
      <w:r>
        <w:t xml:space="preserve">INVALID</w:t>
      </w:r>
      <w:r>
        <w:br/>
      </w:r>
      <w:r>
        <w:t xml:space="preserve">5:</w:t>
      </w:r>
      <w:r>
        <w:t xml:space="preserve"> </w:t>
      </w:r>
      <w:r>
        <w:rPr>
          <w:b/>
          <w:bCs/>
        </w:rPr>
        <w:t xml:space="preserve">end if</w:t>
      </w:r>
      <w:r>
        <w:br/>
      </w:r>
      <w:r>
        <w:t xml:space="preserve">6: Retrieve current lifecycle state of</w:t>
      </w:r>
      <w:r>
        <w:t xml:space="preserve"> </w:t>
      </w:r>
      <m:oMath>
        <m:r>
          <m:t>C</m:t>
        </m:r>
      </m:oMath>
      <w:r>
        <w:br/>
      </w:r>
      <w:r>
        <w:t xml:space="preserve">7:</w:t>
      </w:r>
      <w:r>
        <w:t xml:space="preserve"> </w:t>
      </w:r>
      <w:r>
        <w:rPr>
          <w:b/>
          <w:bCs/>
        </w:rPr>
        <w:t xml:space="preserve">if</w:t>
      </w:r>
      <w:r>
        <w:t xml:space="preserve"> </w:t>
      </w:r>
      <w:r>
        <w:t xml:space="preserve">current state does not permit the requested operation</w:t>
      </w:r>
      <w:r>
        <w:t xml:space="preserve"> </w:t>
      </w:r>
      <w:r>
        <w:rPr>
          <w:b/>
          <w:bCs/>
        </w:rPr>
        <w:t xml:space="preserve">then</w:t>
      </w:r>
      <w:r>
        <w:br/>
      </w:r>
      <w:r>
        <w:t xml:space="preserve">    8: Record invalid lifecycle state</w:t>
      </w:r>
      <w:r>
        <w:br/>
      </w:r>
      <w:r>
        <w:t xml:space="preserve">    9:</w:t>
      </w:r>
      <w:r>
        <w:t xml:space="preserve"> </w:t>
      </w:r>
      <w:r>
        <w:rPr>
          <w:b/>
          <w:bCs/>
        </w:rPr>
        <w:t xml:space="preserve">return</w:t>
      </w:r>
      <w:r>
        <w:t xml:space="preserve"> </w:t>
      </w:r>
      <w:r>
        <w:t xml:space="preserve">INVALID</w:t>
      </w:r>
      <w:r>
        <w:br/>
      </w:r>
      <w:r>
        <w:t xml:space="preserve">10:</w:t>
      </w:r>
      <w:r>
        <w:t xml:space="preserve"> </w:t>
      </w:r>
      <w:r>
        <w:rPr>
          <w:b/>
          <w:bCs/>
        </w:rPr>
        <w:t xml:space="preserve">end if</w:t>
      </w:r>
      <w:r>
        <w:br/>
      </w:r>
      <w:r>
        <w:t xml:space="preserve">11: Check whether</w:t>
      </w:r>
      <w:r>
        <w:t xml:space="preserve"> </w:t>
      </w:r>
      <m:oMath>
        <m:r>
          <m:t>C</m:t>
        </m:r>
      </m:oMath>
      <w:r>
        <w:t xml:space="preserve"> </w:t>
      </w:r>
      <w:r>
        <w:t xml:space="preserve">has been revoked</w:t>
      </w:r>
      <w:r>
        <w:br/>
      </w:r>
      <w:r>
        <w:t xml:space="preserve">12:</w:t>
      </w:r>
      <w:r>
        <w:t xml:space="preserve"> </w:t>
      </w:r>
      <w:r>
        <w:rPr>
          <w:b/>
          <w:bCs/>
        </w:rPr>
        <w:t xml:space="preserve">if</w:t>
      </w:r>
      <w:r>
        <w:t xml:space="preserve"> </w:t>
      </w:r>
      <m:oMath>
        <m:r>
          <m:t>C</m:t>
        </m:r>
      </m:oMath>
      <w:r>
        <w:t xml:space="preserve"> </w:t>
      </w:r>
      <w:r>
        <w:t xml:space="preserve">is revoked</w:t>
      </w:r>
      <w:r>
        <w:t xml:space="preserve"> </w:t>
      </w:r>
      <w:r>
        <w:rPr>
          <w:b/>
          <w:bCs/>
        </w:rPr>
        <w:t xml:space="preserve">then</w:t>
      </w:r>
      <w:r>
        <w:br/>
      </w:r>
      <w:r>
        <w:t xml:space="preserve">    13: Record revocation-based invalidity</w:t>
      </w:r>
      <w:r>
        <w:br/>
      </w:r>
      <w:r>
        <w:t xml:space="preserve">    14:</w:t>
      </w:r>
      <w:r>
        <w:t xml:space="preserve"> </w:t>
      </w:r>
      <w:r>
        <w:rPr>
          <w:b/>
          <w:bCs/>
        </w:rPr>
        <w:t xml:space="preserve">return</w:t>
      </w:r>
      <w:r>
        <w:t xml:space="preserve"> </w:t>
      </w:r>
      <w:r>
        <w:t xml:space="preserve">INVALID</w:t>
      </w:r>
      <w:r>
        <w:br/>
      </w:r>
      <w:r>
        <w:t xml:space="preserve">15:</w:t>
      </w:r>
      <w:r>
        <w:t xml:space="preserve"> </w:t>
      </w:r>
      <w:r>
        <w:rPr>
          <w:b/>
          <w:bCs/>
        </w:rPr>
        <w:t xml:space="preserve">end if</w:t>
      </w:r>
      <w:r>
        <w:br/>
      </w:r>
      <w:r>
        <w:t xml:space="preserve">16: Validate requested transition</w:t>
      </w:r>
      <w:r>
        <w:t xml:space="preserve"> </w:t>
      </w:r>
      <m:oMath>
        <m:r>
          <m:t>q</m:t>
        </m:r>
      </m:oMath>
      <w:r>
        <w:br/>
      </w:r>
      <w:r>
        <w:t xml:space="preserve">17:</w:t>
      </w:r>
      <w:r>
        <w:t xml:space="preserve"> </w:t>
      </w:r>
      <w:r>
        <w:rPr>
          <w:b/>
          <w:bCs/>
        </w:rPr>
        <w:t xml:space="preserve">if</w:t>
      </w:r>
      <w:r>
        <w:t xml:space="preserve"> </w:t>
      </w:r>
      <w:r>
        <w:t xml:space="preserve">transition</w:t>
      </w:r>
      <w:r>
        <w:t xml:space="preserve"> </w:t>
      </w:r>
      <m:oMath>
        <m:r>
          <m:t>q</m:t>
        </m:r>
      </m:oMath>
      <w:r>
        <w:t xml:space="preserve"> </w:t>
      </w:r>
      <w:r>
        <w:t xml:space="preserve">is not permitted</w:t>
      </w:r>
      <w:r>
        <w:t xml:space="preserve"> </w:t>
      </w:r>
      <w:r>
        <w:rPr>
          <w:b/>
          <w:bCs/>
        </w:rPr>
        <w:t xml:space="preserve">then</w:t>
      </w:r>
      <w:r>
        <w:br/>
      </w:r>
      <w:r>
        <w:t xml:space="preserve">    18: Record unauthorised state transition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valid temporal and lifecycle evidence</w:t>
      </w:r>
      <w:r>
        <w:br/>
      </w:r>
      <w:r>
        <w:t xml:space="preserve">22:</w:t>
      </w:r>
      <w:r>
        <w:t xml:space="preserve"> </w:t>
      </w:r>
      <w:r>
        <w:rPr>
          <w:b/>
          <w:bCs/>
        </w:rPr>
        <w:t xml:space="preserve">return</w:t>
      </w:r>
      <w:r>
        <w:t xml:space="preserve"> </w:t>
      </w:r>
      <w:r>
        <w:t xml:space="preserve">VALID</w:t>
      </w:r>
    </w:p>
    <w:p>
      <w:pPr>
        <w:pStyle w:val="BodyText"/>
      </w:pPr>
      <w:r>
        <w:t xml:space="preserve">Algorithm 5 extends the current-stage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bookmarkEnd w:id="125"/>
    <w:bookmarkEnd w:id="126"/>
    <w:bookmarkStart w:id="133" w:name="X28e4c471c7af957781c5be37513d338d1f9028e"/>
    <w:p>
      <w:pPr>
        <w:pStyle w:val="Heading2"/>
      </w:pPr>
      <w:r>
        <w:t xml:space="preserve">6.6 Formal Security Assurance and Empirical Validation for RO6</w:t>
      </w:r>
    </w:p>
    <w:p>
      <w:pPr>
        <w:pStyle w:val="FirstParagraph"/>
      </w:pPr>
      <w:r>
        <w:t xml:space="preserve">RO6 addresses SRQ6 by formally analysing and empirically evaluating whether the proposed trust-oriented authorisation framework satisfies its defined security and authorisation properties.</w:t>
      </w:r>
    </w:p>
    <w:p>
      <w:pPr>
        <w:pStyle w:val="BodyText"/>
      </w:pPr>
      <w:r>
        <w:t xml:space="preserve">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w:t>
      </w:r>
    </w:p>
    <w:p>
      <w:pPr>
        <w:pStyle w:val="BodyText"/>
      </w:pPr>
      <w:r>
        <w:t xml:space="preserve">The formal decision model is given by Eq. (24).</w:t>
      </w:r>
    </w:p>
    <w:p>
      <w:pPr>
        <w:pStyle w:val="BodyText"/>
      </w:pPr>
      <w:r>
        <w:t xml:space="preserve">For the current stage, the primary validation conditions are</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33</m:t>
          </m:r>
          <m:r>
            <m:rPr>
              <m:sty m:val="p"/>
            </m:rPr>
            <m:t>)</m:t>
          </m:r>
        </m:oMath>
      </m:oMathPara>
    </w:p>
    <w:p>
      <w:pPr>
        <w:pStyle w:val="FirstParagraph"/>
      </w:pPr>
      <w:r>
        <w:t xml:space="preserve">This implication expresses the soundness requirement that every granted request must satisfy the identity, authorisation, and policy conditions. Conversely, if any mandatory condition is violated, the request must be denied:</w:t>
      </w:r>
    </w:p>
    <w:p>
      <w:pPr>
        <w:pStyle w:val="BodyText"/>
      </w:pPr>
      <m:oMathPara>
        <m:oMathParaPr>
          <m:jc m:val="center"/>
        </m:oMathParaPr>
        <m:oMath>
          <m:r>
            <m:rPr>
              <m:sty m:val="p"/>
            </m:rPr>
            <m:t>¬</m:t>
          </m:r>
          <m:sSub>
            <m:e>
              <m:r>
                <m:t>V</m:t>
              </m:r>
            </m:e>
            <m:sub>
              <m:r>
                <m:t>I</m:t>
              </m:r>
            </m:sub>
          </m:sSub>
          <m:r>
            <m:rPr>
              <m:sty m:val="p"/>
            </m:rPr>
            <m:t>(</m:t>
          </m:r>
          <m:r>
            <m:t>u</m:t>
          </m:r>
          <m:r>
            <m:rPr>
              <m:sty m:val="p"/>
            </m:rPr>
            <m:t>)</m:t>
          </m:r>
          <m:r>
            <m:rPr>
              <m:sty m:val="p"/>
            </m:rPr>
            <m:t>∨</m:t>
          </m:r>
          <m:r>
            <m:rPr>
              <m:sty m:val="p"/>
            </m:rPr>
            <m:t>¬</m:t>
          </m:r>
          <m:sSub>
            <m:e>
              <m:r>
                <m:t>V</m:t>
              </m:r>
            </m:e>
            <m:sub>
              <m:r>
                <m:t>A</m:t>
              </m:r>
            </m:sub>
          </m:sSub>
          <m:r>
            <m:rPr>
              <m:sty m:val="p"/>
            </m:rPr>
            <m:t>(</m:t>
          </m:r>
          <m:r>
            <m:t>C</m:t>
          </m:r>
          <m:r>
            <m:rPr>
              <m:sty m:val="p"/>
            </m:rPr>
            <m:t>)</m:t>
          </m:r>
          <m:r>
            <m:rPr>
              <m:sty m:val="p"/>
            </m:rPr>
            <m:t>∨</m:t>
          </m:r>
          <m:r>
            <m:rPr>
              <m:sty m:val="p"/>
            </m:rPr>
            <m:t>¬</m:t>
          </m:r>
          <m:sSub>
            <m:e>
              <m:r>
                <m:t>V</m:t>
              </m:r>
            </m:e>
            <m:sub>
              <m:r>
                <m:t>P</m:t>
              </m:r>
            </m:sub>
          </m:sSub>
          <m:r>
            <m:rPr>
              <m:sty m:val="p"/>
            </m:rPr>
            <m:t>(</m:t>
          </m:r>
          <m:r>
            <m:t>C</m:t>
          </m:r>
          <m:r>
            <m:rPr>
              <m:sty m:val="p"/>
            </m:rPr>
            <m:t>,</m:t>
          </m:r>
          <m:r>
            <m:t>R</m:t>
          </m:r>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34</m:t>
          </m:r>
          <m:r>
            <m:rPr>
              <m:sty m:val="p"/>
            </m:rPr>
            <m:t>)</m:t>
          </m:r>
        </m:oMath>
      </m:oMathPara>
    </w:p>
    <w:bookmarkStart w:id="130" w:name="ro6-assurance-and-validation-workflow"/>
    <w:p>
      <w:pPr>
        <w:pStyle w:val="Heading3"/>
      </w:pPr>
      <w:r>
        <w:t xml:space="preserve">6.6.1 RO6 Assurance and Validation Workflow</w:t>
      </w:r>
    </w:p>
    <w:p>
      <w:pPr>
        <w:pStyle w:val="FirstParagraph"/>
      </w:pPr>
      <w:r>
        <w:t xml:space="preserve">The validation process, shown in Figure 6.6,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w:t>
      </w:r>
    </w:p>
    <w:p>
      <w:pPr>
        <w:pStyle w:val="CaptionedFigure"/>
      </w:pPr>
      <w:r>
        <w:drawing>
          <wp:inline>
            <wp:extent cx="4572000" cy="7676734"/>
            <wp:effectExtent b="0" l="0" r="0" t="0"/>
            <wp:docPr descr="Figure 6.6: RO6 planned workflow for formal security assurance and empirical validation" title="" id="128" name="Picture"/>
            <a:graphic>
              <a:graphicData uri="http://schemas.openxmlformats.org/drawingml/2006/picture">
                <pic:pic>
                  <pic:nvPicPr>
                    <pic:cNvPr descr="media_col/fig12.png" id="129" name="Picture"/>
                    <pic:cNvPicPr>
                      <a:picLocks noChangeArrowheads="1" noChangeAspect="1"/>
                    </pic:cNvPicPr>
                  </pic:nvPicPr>
                  <pic:blipFill>
                    <a:blip r:embed="rId127"/>
                    <a:stretch>
                      <a:fillRect/>
                    </a:stretch>
                  </pic:blipFill>
                  <pic:spPr bwMode="auto">
                    <a:xfrm>
                      <a:off x="0" y="0"/>
                      <a:ext cx="4572000" cy="7676734"/>
                    </a:xfrm>
                    <a:prstGeom prst="rect">
                      <a:avLst/>
                    </a:prstGeom>
                    <a:noFill/>
                    <a:ln w="9525">
                      <a:noFill/>
                      <a:headEnd/>
                      <a:tailEnd/>
                    </a:ln>
                  </pic:spPr>
                </pic:pic>
              </a:graphicData>
            </a:graphic>
          </wp:inline>
        </w:drawing>
      </w:r>
    </w:p>
    <w:p>
      <w:pPr>
        <w:pStyle w:val="ImageCaption"/>
      </w:pPr>
      <w:r>
        <w:t xml:space="preserve">Figure 6.6: RO6 planned workflow for formal security assurance and empirical validation</w:t>
      </w:r>
    </w:p>
    <w:p>
      <w:pPr>
        <w:pStyle w:val="BodyText"/>
      </w:pPr>
      <w:r>
        <w:t xml:space="preserve">The empirical component will evaluate both valid and invalid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w:t>
      </w:r>
    </w:p>
    <w:p>
      <w:pPr>
        <w:pStyle w:val="BodyText"/>
      </w:pPr>
      <w:r>
        <w:t xml:space="preserve">The HALAH prototype provides the implementation basis for this evaluation. The current system includes separate patient, guardian, doctor, and auditor interfaces. It also records consent creation, guardian approval, token minting, state checks, and data-access events. Current evidence from the prototype is reported in Sections 7.11–7.12.</w:t>
      </w:r>
    </w:p>
    <w:bookmarkEnd w:id="130"/>
    <w:bookmarkStart w:id="131" w:name="Xd260b2be908768b418291e3c2c86d2d9077224a"/>
    <w:p>
      <w:pPr>
        <w:pStyle w:val="Heading3"/>
      </w:pPr>
      <w:r>
        <w:t xml:space="preserve">6.6.2 Procedure for Formal and Empirical Authorisation Validation</w:t>
      </w:r>
    </w:p>
    <w:p>
      <w:pPr>
        <w:pStyle w:val="FirstParagraph"/>
      </w:pPr>
      <w:r>
        <w:t xml:space="preserve">The Formal and Empirical Authorisation Validation procedure evaluates whether the proposed framework</w:t>
      </w:r>
      <w:r>
        <w:t xml:space="preserve"> </w:t>
      </w:r>
      <w:r>
        <w:rPr>
          <w:i/>
          <w:iCs/>
        </w:rPr>
        <w:t xml:space="preserve">F</w:t>
      </w:r>
      <w:r>
        <w:t xml:space="preserve"> </w:t>
      </w:r>
      <w:r>
        <w:t xml:space="preserve">correctly implements the intended authorisation model under normal, invalid, and adversarial conditions. Rather than validating the framework only through successful 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w:t>
      </w:r>
    </w:p>
    <w:p>
      <w:pPr>
        <w:pStyle w:val="Compact"/>
        <w:numPr>
          <w:ilvl w:val="0"/>
          <w:numId w:val="1059"/>
        </w:numPr>
      </w:pPr>
      <w:r>
        <w:rPr>
          <w:b/>
          <w:bCs/>
        </w:rPr>
        <w:t xml:space="preserve">Step 1 – Define the Expected Authorisation Properties.</w:t>
      </w:r>
    </w:p>
    <w:p>
      <w:pPr>
        <w:pStyle w:val="FirstParagraph"/>
      </w:pPr>
      <w:r>
        <w:t xml:space="preserve">The first step is to define the security and</w:t>
      </w:r>
      <w:r>
        <w:t xml:space="preserve"> </w:t>
      </w:r>
      <w:r>
        <w:rPr>
          <w:rStyle w:val="OrangeDelete"/>
        </w:rPr>
        <w:t xml:space="preserve">authorisation properties P that the framework</w:t>
      </w:r>
      <w:r>
        <w:rPr>
          <w:rStyle w:val="OrangeFix"/>
        </w:rPr>
        <w:t xml:space="preserve">authorisation properties</w:t>
      </w:r>
      <w:r>
        <w:rPr>
          <w:rStyle w:val="OrangeFix"/>
        </w:rPr>
        <w:t xml:space="preserve"> </w:t>
      </w:r>
      <w:r>
        <w:rPr>
          <w:rStyle w:val="OrangeFix"/>
          <w:i/>
          <w:iCs/>
        </w:rPr>
        <w:t xml:space="preserve">P</w:t>
      </w:r>
      <w:r>
        <w:rPr>
          <w:rStyle w:val="OrangeFix"/>
        </w:rPr>
        <w:t xml:space="preserve"> </w:t>
      </w:r>
      <w:r>
        <w:rPr>
          <w:rStyle w:val="OrangeFix"/>
        </w:rPr>
        <w:t xml:space="preserve">that the framework</w:t>
      </w:r>
      <w:r>
        <w:t xml:space="preserve"> </w:t>
      </w:r>
      <w:r>
        <w:t xml:space="preserve">is expected to satisfy. These properties provide the formal evaluation criteria against which the observed system behaviour will subsequently be compared.</w:t>
      </w:r>
    </w:p>
    <w:p>
      <w:pPr>
        <w:pStyle w:val="BodyText"/>
      </w:pPr>
      <w:r>
        <w:t xml:space="preserve">The properties may include authorisation soundness, correct denial of unauthorised requests, threshold correctness, policy compliance, scope enforcement, temporal consistency, and audit consistency.</w:t>
      </w:r>
    </w:p>
    <w:p>
      <w:pPr>
        <w:pStyle w:val="BodyText"/>
      </w:pPr>
      <w:r>
        <w:t xml:space="preserve">Formally,</w:t>
      </w:r>
    </w:p>
    <w:p>
      <w:pPr>
        <w:pStyle w:val="BodyText"/>
      </w:pPr>
      <m:oMathPara>
        <m:oMathParaPr>
          <m:jc m:val="center"/>
        </m:oMathParaPr>
        <m:oMath>
          <m:r>
            <m:t>P</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r>
            <m:rPr>
              <m:sty m:val="p"/>
            </m:rPr>
            <m:t>}</m:t>
          </m:r>
          <m:r>
            <m:rPr>
              <m:sty m:val="p"/>
            </m:rPr>
            <m:t>.</m:t>
          </m:r>
        </m:oMath>
      </m:oMathPara>
    </w:p>
    <w:p>
      <w:pPr>
        <w:pStyle w:val="Compact"/>
        <w:numPr>
          <w:ilvl w:val="0"/>
          <w:numId w:val="1060"/>
        </w:numPr>
      </w:pPr>
      <w:r>
        <w:rPr>
          <w:b/>
          <w:bCs/>
        </w:rPr>
        <w:t xml:space="preserve">Step 2 – Define Valid Scenarios.</w:t>
      </w:r>
    </w:p>
    <w:p>
      <w:pPr>
        <w:pStyle w:val="FirstParagraph"/>
      </w:pPr>
      <w:r>
        <w:t xml:space="preserve">The system defines a set of</w:t>
      </w:r>
      <w:r>
        <w:t xml:space="preserve"> </w:t>
      </w:r>
      <w:r>
        <w:rPr>
          <w:rStyle w:val="OrangeDelete"/>
        </w:rPr>
        <w:t xml:space="preserve">valid scenarios S</w:t>
      </w:r>
      <w:r>
        <w:rPr>
          <w:rStyle w:val="OrangeDelete"/>
          <w:vertAlign w:val="subscript"/>
        </w:rPr>
        <w:t xml:space="preserve">valid</w:t>
      </w:r>
      <w:r>
        <w:rPr>
          <w:rStyle w:val="OrangeDelete"/>
        </w:rPr>
        <w:t xml:space="preserve">,</w:t>
      </w:r>
      <w:r>
        <w:rPr>
          <w:rStyle w:val="OrangeFix"/>
        </w:rPr>
        <w:t xml:space="preserve">valid scenarios</w:t>
      </w:r>
      <w:r>
        <w:rPr>
          <w:rStyle w:val="OrangeFix"/>
        </w:rPr>
        <w:t xml:space="preserve"> </w:t>
      </w:r>
      <w:r>
        <w:rPr>
          <w:rStyle w:val="OrangeFix"/>
          <w:i/>
          <w:iCs/>
        </w:rPr>
        <w:t xml:space="preserve">S</w:t>
      </w:r>
      <w:r>
        <w:rPr>
          <w:rStyle w:val="OrangeFix"/>
          <w:vertAlign w:val="subscript"/>
        </w:rPr>
        <w:t xml:space="preserve">valid</w:t>
      </w:r>
      <w:r>
        <w:rPr>
          <w:rStyle w:val="OrangeFix"/>
        </w:rPr>
        <w:t xml:space="preserve">,</w:t>
      </w:r>
      <w:r>
        <w:t xml:space="preserve"> </w:t>
      </w:r>
      <w:r>
        <w:t xml:space="preserve">representing legitimate healthcare data-access workflows. These scenarios should contain valid patient identities, valid credentials, active consent, sufficient authority, satisfied multi-party approval, compatible purposes, and authorised data scopes.</w:t>
      </w:r>
    </w:p>
    <w:p>
      <w:pPr>
        <w:pStyle w:val="BodyText"/>
      </w:pPr>
      <w:r>
        <w:t xml:space="preserve">The purpose of these scenarios is to verify that legitimate requests are successfully authorised and that the framework does not incorrectly reject valid operations.</w:t>
      </w:r>
    </w:p>
    <w:p>
      <w:pPr>
        <w:pStyle w:val="Compact"/>
        <w:numPr>
          <w:ilvl w:val="0"/>
          <w:numId w:val="1061"/>
        </w:numPr>
      </w:pPr>
      <w:r>
        <w:rPr>
          <w:b/>
          <w:bCs/>
        </w:rPr>
        <w:t xml:space="preserve">Step 3 – Define Negative Scenarios.</w:t>
      </w:r>
    </w:p>
    <w:p>
      <w:pPr>
        <w:pStyle w:val="FirstParagraph"/>
      </w:pPr>
      <w:r>
        <w:t xml:space="preserve">The system defines a set of</w:t>
      </w:r>
      <w:r>
        <w:t xml:space="preserve"> </w:t>
      </w:r>
      <w:r>
        <w:rPr>
          <w:rStyle w:val="OrangeDelete"/>
        </w:rPr>
        <w:t xml:space="preserve">negative scenarios S</w:t>
      </w:r>
      <w:r>
        <w:rPr>
          <w:rStyle w:val="OrangeDelete"/>
          <w:vertAlign w:val="subscript"/>
        </w:rPr>
        <w:t xml:space="preserve">negative</w:t>
      </w:r>
      <w:r>
        <w:rPr>
          <w:rStyle w:val="OrangeDelete"/>
        </w:rPr>
        <w:t xml:space="preserve">,</w:t>
      </w:r>
      <w:r>
        <w:rPr>
          <w:rStyle w:val="OrangeFix"/>
        </w:rPr>
        <w:t xml:space="preserve">negative scenarios</w:t>
      </w:r>
      <w:r>
        <w:rPr>
          <w:rStyle w:val="OrangeFix"/>
        </w:rPr>
        <w:t xml:space="preserve"> </w:t>
      </w:r>
      <w:r>
        <w:rPr>
          <w:rStyle w:val="OrangeFix"/>
          <w:i/>
          <w:iCs/>
        </w:rPr>
        <w:t xml:space="preserve">S</w:t>
      </w:r>
      <w:r>
        <w:rPr>
          <w:rStyle w:val="OrangeFix"/>
          <w:vertAlign w:val="subscript"/>
        </w:rPr>
        <w:t xml:space="preserve">negative</w:t>
      </w:r>
      <w:r>
        <w:rPr>
          <w:rStyle w:val="OrangeFix"/>
        </w:rPr>
        <w:t xml:space="preserve">,</w:t>
      </w:r>
      <w:r>
        <w:t xml:space="preserve"> </w:t>
      </w:r>
      <w:r>
        <w:t xml:space="preserve">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w:t>
      </w:r>
    </w:p>
    <w:p>
      <w:pPr>
        <w:pStyle w:val="Compact"/>
        <w:numPr>
          <w:ilvl w:val="0"/>
          <w:numId w:val="1062"/>
        </w:numPr>
      </w:pPr>
      <w:r>
        <w:rPr>
          <w:b/>
          <w:bCs/>
        </w:rPr>
        <w:t xml:space="preserve">Step 4 – Define Adversarial Scenarios.</w:t>
      </w:r>
    </w:p>
    <w:p>
      <w:pPr>
        <w:pStyle w:val="FirstParagraph"/>
      </w:pPr>
      <w:r>
        <w:t xml:space="preserve">The system defines</w:t>
      </w:r>
      <w:r>
        <w:t xml:space="preserve"> </w:t>
      </w:r>
      <w:r>
        <w:rPr>
          <w:rStyle w:val="OrangeDelete"/>
        </w:rPr>
        <w:t xml:space="preserve">adversarial scenarios S</w:t>
      </w:r>
      <w:r>
        <w:rPr>
          <w:rStyle w:val="OrangeDelete"/>
          <w:vertAlign w:val="subscript"/>
        </w:rPr>
        <w:t xml:space="preserve">adv</w:t>
      </w:r>
      <w:r>
        <w:rPr>
          <w:rStyle w:val="OrangeDelete"/>
        </w:rPr>
        <w:t xml:space="preserve">,</w:t>
      </w:r>
      <w:r>
        <w:rPr>
          <w:rStyle w:val="OrangeFix"/>
        </w:rPr>
        <w:t xml:space="preserve">adversarial scenarios</w:t>
      </w:r>
      <w:r>
        <w:rPr>
          <w:rStyle w:val="OrangeFix"/>
        </w:rPr>
        <w:t xml:space="preserve"> </w:t>
      </w:r>
      <w:r>
        <w:rPr>
          <w:rStyle w:val="OrangeFix"/>
          <w:i/>
          <w:iCs/>
        </w:rPr>
        <w:t xml:space="preserve">S</w:t>
      </w:r>
      <w:r>
        <w:rPr>
          <w:rStyle w:val="OrangeFix"/>
          <w:vertAlign w:val="subscript"/>
        </w:rPr>
        <w:t xml:space="preserve">adv</w:t>
      </w:r>
      <w:r>
        <w:rPr>
          <w:rStyle w:val="OrangeFix"/>
        </w:rPr>
        <w:t xml:space="preserve">,</w:t>
      </w:r>
      <w:r>
        <w:t xml:space="preserve"> </w:t>
      </w:r>
      <w:r>
        <w:t xml:space="preserve">representing attempts to circumvent or manipulate the authorisation process.</w:t>
      </w:r>
    </w:p>
    <w:p>
      <w:pPr>
        <w:pStyle w:val="BodyText"/>
      </w:pPr>
      <w:r>
        <w:t xml:space="preserve">Such scenarios may include replayed approvals, duplicate approvals, unauthorised participants attempting to satisfy a threshold, invalid or forged credentials, attempts to access data outside the authorised scope, and attempts to use a revoked or expired consent object.</w:t>
      </w:r>
    </w:p>
    <w:p>
      <w:pPr>
        <w:pStyle w:val="BodyText"/>
      </w:pPr>
      <w:r>
        <w:t xml:space="preserve">The adversarial test set is particularly important because a framework should not only demonstrate that legitimate requests succeed, but also demonstrate resilience against foreseeable attempts to bypass its security controls.</w:t>
      </w:r>
    </w:p>
    <w:p>
      <w:pPr>
        <w:pStyle w:val="Compact"/>
        <w:numPr>
          <w:ilvl w:val="0"/>
          <w:numId w:val="1063"/>
        </w:numPr>
      </w:pPr>
      <w:r>
        <w:rPr>
          <w:b/>
          <w:bCs/>
        </w:rPr>
        <w:t xml:space="preserve">Step 5 – Construct the Complete Validation Scenario Set.</w:t>
      </w:r>
    </w:p>
    <w:p>
      <w:pPr>
        <w:pStyle w:val="FirstParagraph"/>
      </w:pPr>
      <w:r>
        <w:t xml:space="preserve">The three scenario classes are combined into the complete validation set:</w:t>
      </w:r>
    </w:p>
    <w:p>
      <w:pPr>
        <w:pStyle w:val="BodyText"/>
      </w:pPr>
      <m:oMathPara>
        <m:oMathParaPr>
          <m:jc m:val="center"/>
        </m:oMathParaPr>
        <m:oMath>
          <m:r>
            <m:t>S</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oMath>
      </m:oMathPara>
    </w:p>
    <w:p>
      <w:pPr>
        <w:pStyle w:val="FirstParagraph"/>
      </w:pPr>
      <w:r>
        <w:rPr>
          <w:rStyle w:val="OrangeDelete"/>
        </w:rPr>
        <w:t xml:space="preserve">Each scenario</w:t>
      </w:r>
      <w:r>
        <w:rPr>
          <w:rStyle w:val="OrangeDelete"/>
        </w:rPr>
        <w:t xml:space="preserve"> </w:t>
      </w:r>
      <w:r>
        <w:rPr>
          <w:rStyle w:val="OrangeDelete"/>
          <w:i/>
          <w:iCs/>
        </w:rPr>
        <w:t xml:space="preserve">s</w:t>
      </w:r>
      <w:r>
        <w:rPr>
          <w:rStyle w:val="OrangeDelete"/>
        </w:rPr>
        <w:t xml:space="preserve"> </w:t>
      </w:r>
      <w:r>
        <w:rPr>
          <w:rStyle w:val="OrangeDelete"/>
        </w:rPr>
        <w:t xml:space="preserve">∈S is associated</w:t>
      </w:r>
      <w:r>
        <w:rPr>
          <w:rStyle w:val="OrangeFix"/>
        </w:rPr>
        <w:t xml:space="preserve">Each scenario</w:t>
      </w:r>
      <w:r>
        <w:rPr>
          <w:rStyle w:val="OrangeFix"/>
        </w:rPr>
        <w:t xml:space="preserve"> </w:t>
      </w:r>
      <w:r>
        <w:rPr>
          <w:rStyle w:val="OrangeFix"/>
          <w:i/>
          <w:iCs/>
        </w:rPr>
        <w:t xml:space="preserve">s</w:t>
      </w:r>
      <w:r>
        <w:rPr>
          <w:rStyle w:val="OrangeFix"/>
        </w:rPr>
        <w:t xml:space="preserve"> </w:t>
      </w:r>
      <w:r>
        <w:rPr>
          <w:rStyle w:val="OrangeFix"/>
        </w:rPr>
        <w:t xml:space="preserve">∈</w:t>
      </w:r>
      <w:r>
        <w:rPr>
          <w:rStyle w:val="OrangeFix"/>
        </w:rPr>
        <w:t xml:space="preserve"> </w:t>
      </w:r>
      <w:r>
        <w:rPr>
          <w:rStyle w:val="OrangeFix"/>
          <w:i/>
          <w:iCs/>
        </w:rPr>
        <w:t xml:space="preserve">S</w:t>
      </w:r>
      <w:r>
        <w:rPr>
          <w:rStyle w:val="OrangeFix"/>
        </w:rPr>
        <w:t xml:space="preserve"> </w:t>
      </w:r>
      <w:r>
        <w:rPr>
          <w:rStyle w:val="OrangeFix"/>
        </w:rPr>
        <w:t xml:space="preserve">is associated</w:t>
      </w:r>
      <w:r>
        <w:t xml:space="preserve"> </w:t>
      </w:r>
      <w:r>
        <w:t xml:space="preserve">with an expected authorisation outcome and the security properties that it is intended to evaluate.</w:t>
      </w:r>
    </w:p>
    <w:p>
      <w:pPr>
        <w:pStyle w:val="Compact"/>
        <w:numPr>
          <w:ilvl w:val="0"/>
          <w:numId w:val="1064"/>
        </w:numPr>
      </w:pPr>
      <w:r>
        <w:rPr>
          <w:b/>
          <w:bCs/>
        </w:rPr>
        <w:t xml:space="preserve">Step 6 – Execute Each Scenario Using the Framework.</w:t>
      </w:r>
    </w:p>
    <w:p>
      <w:pPr>
        <w:pStyle w:val="FirstParagraph"/>
      </w:pPr>
      <w:r>
        <w:t xml:space="preserve">The system executes each scenario</w:t>
      </w:r>
      <w:r>
        <w:t xml:space="preserve"> </w:t>
      </w:r>
      <w:r>
        <w:rPr>
          <w:i/>
          <w:iCs/>
        </w:rPr>
        <w:t xml:space="preserve">s</w:t>
      </w:r>
      <w:r>
        <w:t xml:space="preserve"> </w:t>
      </w:r>
      <w:r>
        <w:t xml:space="preserve">using the implemented framework</w:t>
      </w:r>
      <w:r>
        <w:t xml:space="preserve"> </w:t>
      </w:r>
      <w:r>
        <w:rPr>
          <w:i/>
          <w:iCs/>
        </w:rPr>
        <w:t xml:space="preserve">F</w:t>
      </w:r>
      <w:r>
        <w:t xml:space="preserve">. During execution, the framework performs the corresponding consent, identity, authority, threshold, policy, scope, and lifecycle checks.</w:t>
      </w:r>
    </w:p>
    <w:p>
      <w:pPr>
        <w:pStyle w:val="BodyText"/>
      </w:pPr>
      <w:r>
        <w:t xml:space="preserve">The execution process is treated as an empirical observation of the implemented authorisation model that</w:t>
      </w:r>
    </w:p>
    <w:p>
      <w:pPr>
        <w:pStyle w:val="BodyText"/>
      </w:pPr>
      <m:oMathPara>
        <m:oMathParaPr>
          <m:jc m:val="center"/>
        </m:oMathParaPr>
        <m:oMath>
          <m:r>
            <m:t>F</m:t>
          </m:r>
          <m:r>
            <m:rPr>
              <m:sty m:val="p"/>
            </m:rPr>
            <m:t>(</m:t>
          </m:r>
          <m:r>
            <m:t>s</m:t>
          </m:r>
          <m:r>
            <m:rPr>
              <m:sty m:val="p"/>
            </m:rPr>
            <m:t>)</m:t>
          </m:r>
          <m:r>
            <m:rPr>
              <m:sty m:val="p"/>
            </m:rPr>
            <m:t>→</m:t>
          </m:r>
          <m:sSub>
            <m:e>
              <m:r>
                <m:t>D</m:t>
              </m:r>
            </m:e>
            <m:sub>
              <m:r>
                <m:t>o</m:t>
              </m:r>
              <m:r>
                <m:t>b</m:t>
              </m:r>
              <m:r>
                <m:t>s</m:t>
              </m:r>
            </m:sub>
          </m:sSub>
          <m:r>
            <m:rPr>
              <m:sty m:val="p"/>
            </m:rPr>
            <m:t>,</m:t>
          </m:r>
        </m:oMath>
      </m:oMathPara>
    </w:p>
    <w:p>
      <w:pPr>
        <w:pStyle w:val="FirstParagraph"/>
      </w:pPr>
      <w:r>
        <w:t xml:space="preserve">where</w:t>
      </w:r>
      <w:r>
        <w:t xml:space="preserve"> </w:t>
      </w:r>
      <w:r>
        <w:rPr>
          <w:i/>
          <w:iCs/>
        </w:rPr>
        <w:t xml:space="preserve">D</w:t>
      </w:r>
      <w:r>
        <w:rPr>
          <w:vertAlign w:val="subscript"/>
        </w:rPr>
        <w:t xml:space="preserve">obs</w:t>
      </w:r>
      <w:r>
        <w:t xml:space="preserve"> </w:t>
      </w:r>
      <w:r>
        <w:t xml:space="preserve">denotes the observed authorisation decision.</w:t>
      </w:r>
    </w:p>
    <w:p>
      <w:pPr>
        <w:pStyle w:val="Compact"/>
        <w:numPr>
          <w:ilvl w:val="0"/>
          <w:numId w:val="1065"/>
        </w:numPr>
      </w:pPr>
      <w:r>
        <w:rPr>
          <w:b/>
          <w:bCs/>
        </w:rPr>
        <w:t xml:space="preserve">Step 7 – Collect the Observed Authorisation Decision.</w:t>
      </w:r>
    </w:p>
    <w:p>
      <w:pPr>
        <w:pStyle w:val="FirstParagraph"/>
      </w:pPr>
      <w:r>
        <w:t xml:space="preserve">After each scenario has been executed, the system records the resulting authorisation decision. Depending on the operation, the observed result may be</w:t>
      </w:r>
      <w:r>
        <w:t xml:space="preserve"> </w:t>
      </w:r>
      <w:r>
        <w:rPr>
          <w:i/>
          <w:iCs/>
        </w:rPr>
        <w:t xml:space="preserve">ALLOW</w:t>
      </w:r>
      <w:r>
        <w:t xml:space="preserve">,</w:t>
      </w:r>
      <w:r>
        <w:t xml:space="preserve"> </w:t>
      </w:r>
      <w:r>
        <w:rPr>
          <w:i/>
          <w:iCs/>
        </w:rPr>
        <w:t xml:space="preserve">DENY</w:t>
      </w:r>
      <w:r>
        <w:t xml:space="preserve">,</w:t>
      </w:r>
      <w:r>
        <w:t xml:space="preserve"> </w:t>
      </w:r>
      <w:r>
        <w:rPr>
          <w:i/>
          <w:iCs/>
        </w:rPr>
        <w:t xml:space="preserve">PENDING</w:t>
      </w:r>
      <w:r>
        <w:t xml:space="preserve">, or another explicitly defined lifecycle state.</w:t>
      </w:r>
    </w:p>
    <w:p>
      <w:pPr>
        <w:pStyle w:val="BodyText"/>
      </w:pPr>
      <w:r>
        <w:t xml:space="preserve">The observed decision is stored together with the corresponding scenario identifier to enable subsequent comparison with the expected outcome.</w:t>
      </w:r>
    </w:p>
    <w:p>
      <w:pPr>
        <w:pStyle w:val="Compact"/>
        <w:numPr>
          <w:ilvl w:val="0"/>
          <w:numId w:val="1066"/>
        </w:numPr>
      </w:pPr>
      <w:r>
        <w:rPr>
          <w:b/>
          <w:bCs/>
        </w:rPr>
        <w:t xml:space="preserve">Step 8 – Collect Supporting Authorisation Evidence.</w:t>
      </w:r>
    </w:p>
    <w:p>
      <w:pPr>
        <w:pStyle w:val="FirstParagraph"/>
      </w:pPr>
      <w:r>
        <w:t xml:space="preserve">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w:t>
      </w:r>
    </w:p>
    <w:p>
      <w:pPr>
        <w:pStyle w:val="BodyText"/>
      </w:pPr>
      <w:r>
        <w:t xml:space="preserve">The collected evidence can therefore be represented as</w:t>
      </w:r>
    </w:p>
    <w:p>
      <w:pPr>
        <w:pStyle w:val="BodyText"/>
      </w:pPr>
      <m:oMathPara>
        <m:oMathParaPr>
          <m:jc m:val="center"/>
        </m:oMathParaPr>
        <m:oMath>
          <m:sSub>
            <m:e>
              <m:r>
                <m:t>E</m:t>
              </m:r>
            </m:e>
            <m:sub>
              <m:r>
                <m:t>s</m:t>
              </m:r>
            </m:sub>
          </m:sSub>
          <m:r>
            <m:rPr>
              <m:sty m:val="p"/>
            </m:rPr>
            <m:t>=</m:t>
          </m:r>
          <m:r>
            <m:rPr>
              <m:sty m:val="p"/>
            </m:rPr>
            <m:t>{</m:t>
          </m:r>
          <m:sSub>
            <m:e>
              <m:r>
                <m:t>E</m:t>
              </m:r>
            </m:e>
            <m:sub>
              <m:r>
                <m:t>I</m:t>
              </m:r>
            </m:sub>
          </m:sSub>
          <m:r>
            <m:rPr>
              <m:sty m:val="p"/>
            </m:rPr>
            <m:t>,</m:t>
          </m:r>
          <m:sSub>
            <m:e>
              <m:r>
                <m:t>E</m:t>
              </m:r>
            </m:e>
            <m:sub>
              <m:r>
                <m:t>A</m:t>
              </m:r>
            </m:sub>
          </m:sSub>
          <m:r>
            <m:rPr>
              <m:sty m:val="p"/>
            </m:rPr>
            <m:t>,</m:t>
          </m:r>
          <m:sSub>
            <m:e>
              <m:r>
                <m:t>E</m:t>
              </m:r>
            </m:e>
            <m:sub>
              <m:r>
                <m:t>C</m:t>
              </m:r>
            </m:sub>
          </m:sSub>
          <m:r>
            <m:rPr>
              <m:sty m:val="p"/>
            </m:rPr>
            <m:t>,</m:t>
          </m:r>
          <m:sSub>
            <m:e>
              <m:r>
                <m:t>E</m:t>
              </m:r>
            </m:e>
            <m:sub>
              <m:r>
                <m:t>T</m:t>
              </m:r>
            </m:sub>
          </m:sSub>
          <m:r>
            <m:rPr>
              <m:sty m:val="p"/>
            </m:rPr>
            <m:t>,</m:t>
          </m:r>
          <m:sSub>
            <m:e>
              <m:r>
                <m:t>E</m:t>
              </m:r>
            </m:e>
            <m:sub>
              <m:r>
                <m:t>P</m:t>
              </m:r>
            </m:sub>
          </m:sSub>
          <m:r>
            <m:rPr>
              <m:sty m:val="p"/>
            </m:rPr>
            <m:t>,</m:t>
          </m:r>
          <m:sSub>
            <m:e>
              <m:r>
                <m:t>E</m:t>
              </m:r>
            </m:e>
            <m:sub>
              <m:r>
                <m:t>S</m:t>
              </m:r>
            </m:sub>
          </m:sSub>
          <m:r>
            <m:rPr>
              <m:sty m:val="p"/>
            </m:rPr>
            <m:t>,</m:t>
          </m:r>
          <m:sSub>
            <m:e>
              <m:r>
                <m:t>E</m:t>
              </m:r>
            </m:e>
            <m:sub>
              <m:r>
                <m:t>L</m:t>
              </m:r>
            </m:sub>
          </m:sSub>
          <m:r>
            <m:rPr>
              <m:sty m:val="p"/>
            </m:rPr>
            <m:t>}</m:t>
          </m:r>
          <m:r>
            <m:rPr>
              <m:sty m:val="p"/>
            </m:rPr>
            <m:t>,</m:t>
          </m:r>
        </m:oMath>
      </m:oMathPara>
    </w:p>
    <w:p>
      <w:pPr>
        <w:pStyle w:val="FirstParagraph"/>
      </w:pPr>
      <w:r>
        <w:t xml:space="preserve">where the individual components represent identity, authority, consent, threshold, policy, scope, and lifecycle evidence.</w:t>
      </w:r>
    </w:p>
    <w:p>
      <w:pPr>
        <w:pStyle w:val="Compact"/>
        <w:numPr>
          <w:ilvl w:val="0"/>
          <w:numId w:val="1067"/>
        </w:numPr>
      </w:pPr>
      <w:r>
        <w:rPr>
          <w:b/>
          <w:bCs/>
        </w:rPr>
        <w:t xml:space="preserve">Step 9 – Compare Observed and Expected Decisions.</w:t>
      </w:r>
    </w:p>
    <w:p>
      <w:pPr>
        <w:pStyle w:val="FirstParagraph"/>
      </w:pPr>
      <w:r>
        <w:t xml:space="preserve">The observed decision is compared with the expected decision defined for scenario</w:t>
      </w:r>
      <w:r>
        <w:t xml:space="preserve"> </w:t>
      </w:r>
      <w:r>
        <w:rPr>
          <w:i/>
          <w:iCs/>
        </w:rPr>
        <w:t xml:space="preserve">s</w:t>
      </w:r>
      <w:r>
        <w:t xml:space="preserve">.</w:t>
      </w:r>
    </w:p>
    <w:p>
      <w:pPr>
        <w:pStyle w:val="BodyText"/>
      </w:pPr>
      <w:r>
        <w:t xml:space="preserve">Let</w:t>
      </w:r>
    </w:p>
    <w:p>
      <w:pPr>
        <w:pStyle w:val="BodyText"/>
      </w:pPr>
      <m:oMathPara>
        <m:oMathParaPr>
          <m:jc m:val="center"/>
        </m:oMathParaPr>
        <m:oMath>
          <m:sSub>
            <m:e>
              <m:r>
                <m:t>D</m:t>
              </m:r>
            </m:e>
            <m:sub>
              <m:r>
                <m:t>e</m:t>
              </m:r>
              <m:r>
                <m:t>x</m:t>
              </m:r>
              <m:r>
                <m:t>p</m:t>
              </m:r>
            </m:sub>
          </m:sSub>
          <m:r>
            <m:rPr>
              <m:sty m:val="p"/>
            </m:rPr>
            <m:t>(</m:t>
          </m:r>
          <m:r>
            <m:t>s</m:t>
          </m:r>
          <m:r>
            <m:rPr>
              <m:sty m:val="p"/>
            </m:rPr>
            <m:t>)</m:t>
          </m:r>
        </m:oMath>
      </m:oMathPara>
    </w:p>
    <w:p>
      <w:pPr>
        <w:pStyle w:val="FirstParagraph"/>
      </w:pPr>
      <w:r>
        <w:t xml:space="preserve">denote the expected decision and</w:t>
      </w:r>
    </w:p>
    <w:p>
      <w:pPr>
        <w:pStyle w:val="BodyText"/>
      </w:pPr>
      <m:oMathPara>
        <m:oMathParaPr>
          <m:jc m:val="center"/>
        </m:oMathParaPr>
        <m:oMath>
          <m:sSub>
            <m:e>
              <m:r>
                <m:t>D</m:t>
              </m:r>
            </m:e>
            <m:sub>
              <m:r>
                <m:t>o</m:t>
              </m:r>
              <m:r>
                <m:t>b</m:t>
              </m:r>
              <m:r>
                <m:t>s</m:t>
              </m:r>
            </m:sub>
          </m:sSub>
          <m:r>
            <m:rPr>
              <m:sty m:val="p"/>
            </m:rPr>
            <m:t>(</m:t>
          </m:r>
          <m:r>
            <m:t>s</m:t>
          </m:r>
          <m:r>
            <m:rPr>
              <m:sty m:val="p"/>
            </m:rPr>
            <m:t>)</m:t>
          </m:r>
        </m:oMath>
      </m:oMathPara>
    </w:p>
    <w:p>
      <w:pPr>
        <w:pStyle w:val="FirstParagraph"/>
      </w:pPr>
      <w:r>
        <w:t xml:space="preserve">denote the observed decision. The scenario passes when</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r>
            <m:rPr>
              <m:sty m:val="p"/>
            </m:rPr>
            <m:t>.</m:t>
          </m:r>
        </m:oMath>
      </m:oMathPara>
    </w:p>
    <w:p>
      <w:pPr>
        <w:pStyle w:val="FirstParagraph"/>
      </w:pPr>
      <w:r>
        <w:t xml:space="preserve">Otherwise, the scenario is classified as a validation failure.</w:t>
      </w:r>
    </w:p>
    <w:p>
      <w:pPr>
        <w:pStyle w:val="Compact"/>
        <w:numPr>
          <w:ilvl w:val="0"/>
          <w:numId w:val="1068"/>
        </w:numPr>
      </w:pPr>
      <w:r>
        <w:rPr>
          <w:b/>
          <w:bCs/>
        </w:rPr>
        <w:t xml:space="preserve">Step 10 – Record the Scenario Result.</w:t>
      </w:r>
    </w:p>
    <w:p>
      <w:pPr>
        <w:pStyle w:val="FirstParagraph"/>
      </w:pPr>
      <w:r>
        <w:t xml:space="preserve">The system records whether each scenario has passed or failed. For each failure, the corresponding condition, observed behaviour, expected behaviour, and supporting evidence are retained for subsequent analysis.</w:t>
      </w:r>
    </w:p>
    <w:p>
      <w:pPr>
        <w:pStyle w:val="BodyText"/>
      </w:pPr>
      <w:r>
        <w:t xml:space="preserve">This enables validation results to be traced from the final decision back to the individual authorisation conditions that produced that decision.</w:t>
      </w:r>
    </w:p>
    <w:p>
      <w:pPr>
        <w:pStyle w:val="Compact"/>
        <w:numPr>
          <w:ilvl w:val="0"/>
          <w:numId w:val="1069"/>
        </w:numPr>
      </w:pPr>
      <w:r>
        <w:rPr>
          <w:b/>
          <w:bCs/>
        </w:rPr>
        <w:t xml:space="preserve">Step 11 – Evaluate Authorisation Soundness.</w:t>
      </w:r>
    </w:p>
    <w:p>
      <w:pPr>
        <w:pStyle w:val="FirstParagraph"/>
      </w:pPr>
      <w:r>
        <w:t xml:space="preserve">The system evaluates the soundness property to determine whether every granted request satisfies the required authorisation conditions.</w:t>
      </w:r>
    </w:p>
    <w:p>
      <w:pPr>
        <w:pStyle w:val="BodyText"/>
      </w:pPr>
      <w:r>
        <w:t xml:space="preserve">Formally,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r>
            <m:t>A</m:t>
          </m:r>
          <m:r>
            <m:t>u</m:t>
          </m:r>
          <m:r>
            <m:t>t</m:t>
          </m:r>
          <m:r>
            <m:t>h</m:t>
          </m:r>
          <m:r>
            <m:t>o</m:t>
          </m:r>
          <m:r>
            <m:t>r</m:t>
          </m:r>
          <m:r>
            <m:t>i</m:t>
          </m:r>
          <m:r>
            <m:t>s</m:t>
          </m:r>
          <m:r>
            <m:t>e</m:t>
          </m:r>
          <m:r>
            <m:t>d</m:t>
          </m:r>
          <m:r>
            <m:rPr>
              <m:sty m:val="p"/>
            </m:rPr>
            <m:t>(</m:t>
          </m:r>
          <m:r>
            <m:t>s</m:t>
          </m:r>
          <m:r>
            <m:rPr>
              <m:sty m:val="p"/>
            </m:rPr>
            <m:t>)</m:t>
          </m:r>
          <m:r>
            <m:rPr>
              <m:sty m:val="p"/>
            </m:rPr>
            <m:t>=</m:t>
          </m:r>
          <m:r>
            <m:t>T</m:t>
          </m:r>
          <m:r>
            <m:t>R</m:t>
          </m:r>
          <m:r>
            <m:t>U</m:t>
          </m:r>
          <m:r>
            <m:t>E</m:t>
          </m:r>
          <m:r>
            <m:rPr>
              <m:sty m:val="p"/>
            </m:rPr>
            <m:t>.</m:t>
          </m:r>
        </m:oMath>
      </m:oMathPara>
    </w:p>
    <w:p>
      <w:pPr>
        <w:pStyle w:val="FirstParagraph"/>
      </w:pPr>
      <w:r>
        <w:t xml:space="preserve">A sound framework should not grant access when one or more mandatory authorisation conditions are violated.</w:t>
      </w:r>
    </w:p>
    <w:p>
      <w:pPr>
        <w:pStyle w:val="Compact"/>
        <w:numPr>
          <w:ilvl w:val="0"/>
          <w:numId w:val="1070"/>
        </w:numPr>
      </w:pPr>
      <w:r>
        <w:rPr>
          <w:b/>
          <w:bCs/>
        </w:rPr>
        <w:t xml:space="preserve">Step 12 – Evaluate Denial Correctness.</w:t>
      </w:r>
    </w:p>
    <w:p>
      <w:pPr>
        <w:pStyle w:val="FirstParagraph"/>
      </w:pPr>
      <w:r>
        <w:t xml:space="preserve">The system evaluates whether invalid or unauthorised requests are correctly denied.</w:t>
      </w:r>
    </w:p>
    <w:p>
      <w:pPr>
        <w:pStyle w:val="BodyText"/>
      </w:pPr>
      <w:r>
        <w:t xml:space="preserve">The denial property can be represented as</w:t>
      </w:r>
    </w:p>
    <w:p>
      <w:pPr>
        <w:pStyle w:val="BodyText"/>
      </w:pPr>
      <m:oMathPara>
        <m:oMathParaPr>
          <m:jc m:val="center"/>
        </m:oMathParaPr>
        <m:oMath>
          <m:r>
            <m:t>A</m:t>
          </m:r>
          <m:r>
            <m:t>u</m:t>
          </m:r>
          <m:r>
            <m:t>t</m:t>
          </m:r>
          <m:r>
            <m:t>h</m:t>
          </m:r>
          <m:r>
            <m:t>o</m:t>
          </m:r>
          <m:r>
            <m:t>r</m:t>
          </m:r>
          <m:r>
            <m:t>i</m:t>
          </m:r>
          <m:r>
            <m:t>s</m:t>
          </m:r>
          <m:r>
            <m:t>e</m:t>
          </m:r>
          <m:r>
            <m:t>d</m:t>
          </m:r>
          <m:r>
            <m:rPr>
              <m:sty m:val="p"/>
            </m:rPr>
            <m:t>(</m:t>
          </m:r>
          <m:r>
            <m:t>s</m:t>
          </m:r>
          <m:r>
            <m:rPr>
              <m:sty m:val="p"/>
            </m:rPr>
            <m:t>)</m:t>
          </m:r>
          <m:r>
            <m:rPr>
              <m:sty m:val="p"/>
            </m:rPr>
            <m:t>=</m:t>
          </m:r>
          <m:r>
            <m:t>F</m:t>
          </m:r>
          <m:r>
            <m:t>A</m:t>
          </m:r>
          <m:r>
            <m:t>L</m:t>
          </m:r>
          <m:r>
            <m:t>S</m:t>
          </m:r>
          <m:r>
            <m:t>E</m:t>
          </m:r>
          <m:r>
            <m:rPr>
              <m:sty m:val="p"/>
            </m:rPr>
            <m:t>⇒</m:t>
          </m:r>
          <m:sSub>
            <m:e>
              <m:r>
                <m:t>D</m:t>
              </m:r>
            </m:e>
            <m:sub>
              <m:r>
                <m:t>o</m:t>
              </m:r>
              <m:r>
                <m:t>b</m:t>
              </m:r>
              <m:r>
                <m:t>s</m:t>
              </m:r>
            </m:sub>
          </m:sSub>
          <m:r>
            <m:rPr>
              <m:sty m:val="p"/>
            </m:rPr>
            <m:t>(</m:t>
          </m:r>
          <m:r>
            <m:t>s</m:t>
          </m:r>
          <m:r>
            <m:rPr>
              <m:sty m:val="p"/>
            </m:rPr>
            <m:t>)</m:t>
          </m:r>
          <m:r>
            <m:rPr>
              <m:sty m:val="p"/>
            </m:rPr>
            <m:t>≠</m:t>
          </m:r>
          <m:r>
            <m:t>A</m:t>
          </m:r>
          <m:r>
            <m:t>L</m:t>
          </m:r>
          <m:r>
            <m:t>L</m:t>
          </m:r>
          <m:r>
            <m:t>O</m:t>
          </m:r>
          <m:r>
            <m:t>W</m:t>
          </m:r>
          <m:r>
            <m:rPr>
              <m:sty m:val="p"/>
            </m:rPr>
            <m:t>.</m:t>
          </m:r>
        </m:oMath>
      </m:oMathPara>
    </w:p>
    <w:p>
      <w:pPr>
        <w:pStyle w:val="FirstParagraph"/>
      </w:pPr>
      <w:r>
        <w:t xml:space="preserve">This evaluation is particularly important for negative and adversarial scenarios because successful operation under valid conditions alone cannot demonstrate that unauthorised access is reliably prevented.</w:t>
      </w:r>
    </w:p>
    <w:p>
      <w:pPr>
        <w:pStyle w:val="Compact"/>
        <w:numPr>
          <w:ilvl w:val="0"/>
          <w:numId w:val="1071"/>
        </w:numPr>
      </w:pPr>
      <w:r>
        <w:rPr>
          <w:b/>
          <w:bCs/>
        </w:rPr>
        <w:t xml:space="preserve">Step 13 – Evaluate Threshold Correctness.</w:t>
      </w:r>
    </w:p>
    <w:p>
      <w:pPr>
        <w:pStyle w:val="FirstParagraph"/>
      </w:pPr>
      <w:r>
        <w:t xml:space="preserve">The system evaluates whether multi-party authorisation is activated only when the required threshold condition is satisfied.</w:t>
      </w:r>
    </w:p>
    <w:p>
      <w:pPr>
        <w:pStyle w:val="BodyText"/>
      </w:pPr>
      <w:r>
        <w:t xml:space="preserve">The expected threshold property is</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evaluation should also verify that invalid, duplicate, or unauthorised approvals do not contribute to</w:t>
      </w:r>
      <w:r>
        <w:t xml:space="preserve"> </w:t>
      </w:r>
      <w:r>
        <w:rPr>
          <w:i/>
          <w:iCs/>
        </w:rPr>
        <w:t xml:space="preserve">A</w:t>
      </w:r>
      <w:r>
        <w:rPr>
          <w:vertAlign w:val="subscript"/>
        </w:rPr>
        <w:t xml:space="preserve">v</w:t>
      </w:r>
      <w:r>
        <w:t xml:space="preserve">. This ensures that the threshold cannot be artificially satisfied by repeated or illegitimate approval submissions.</w:t>
      </w:r>
    </w:p>
    <w:p>
      <w:pPr>
        <w:pStyle w:val="Compact"/>
        <w:numPr>
          <w:ilvl w:val="0"/>
          <w:numId w:val="1072"/>
        </w:numPr>
      </w:pPr>
      <w:r>
        <w:rPr>
          <w:b/>
          <w:bCs/>
        </w:rPr>
        <w:t xml:space="preserve">Step 14 – Evaluate Policy and Scope Enforcement.</w:t>
      </w:r>
    </w:p>
    <w:p>
      <w:pPr>
        <w:pStyle w:val="FirstParagraph"/>
      </w:pPr>
      <w:r>
        <w:t xml:space="preserve">The system evaluates whether every granted request satisfies the consent-defined policy and data-scope constraints.</w:t>
      </w:r>
    </w:p>
    <w:p>
      <w:pPr>
        <w:pStyle w:val="BodyText"/>
      </w:pPr>
      <w:r>
        <w:t xml:space="preserve">In particular, the scope enforcement property is</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S</m:t>
              </m:r>
            </m:e>
            <m:sub>
              <m:r>
                <m:t>R</m:t>
              </m:r>
            </m:sub>
          </m:sSub>
          <m:r>
            <m:rPr>
              <m:sty m:val="p"/>
            </m:rPr>
            <m:t>⊆</m:t>
          </m:r>
          <m:sSub>
            <m:e>
              <m:r>
                <m:t>S</m:t>
              </m:r>
            </m:e>
            <m:sub>
              <m:r>
                <m:t>C</m:t>
              </m:r>
            </m:sub>
          </m:sSub>
          <m:r>
            <m:rPr>
              <m:sty m:val="p"/>
            </m:rPr>
            <m:t>.</m:t>
          </m:r>
        </m:oMath>
      </m:oMathPara>
    </w:p>
    <w:p>
      <w:pPr>
        <w:pStyle w:val="FirstParagraph"/>
      </w:pPr>
      <w:r>
        <w:t xml:space="preserve">The evaluation should verify that a participant cannot obtain healthcare resources outside the scope authorised by the patient’s consent, even when the participant possesses a valid identity and authority credential.</w:t>
      </w:r>
    </w:p>
    <w:p>
      <w:pPr>
        <w:pStyle w:val="BodyText"/>
      </w:pPr>
      <w:r>
        <w:t xml:space="preserve">Purpose compatibility is evaluated similarly: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P</m:t>
              </m:r>
            </m:e>
            <m:sub>
              <m:r>
                <m:t>R</m:t>
              </m:r>
            </m:sub>
          </m:sSub>
          <m:r>
            <m:rPr>
              <m:sty m:val="p"/>
            </m:rPr>
            <m:t>⊨</m:t>
          </m:r>
          <m:sSub>
            <m:e>
              <m:r>
                <m:t>P</m:t>
              </m:r>
            </m:e>
            <m:sub>
              <m:r>
                <m:t>C</m:t>
              </m:r>
            </m:sub>
          </m:sSub>
          <m:r>
            <m:rPr>
              <m:sty m:val="p"/>
            </m:rPr>
            <m:t>.</m:t>
          </m:r>
        </m:oMath>
      </m:oMathPara>
    </w:p>
    <w:p>
      <w:pPr>
        <w:pStyle w:val="Compact"/>
        <w:numPr>
          <w:ilvl w:val="0"/>
          <w:numId w:val="1073"/>
        </w:numPr>
      </w:pPr>
      <w:r>
        <w:rPr>
          <w:b/>
          <w:bCs/>
        </w:rPr>
        <w:t xml:space="preserve">Step 15 – Evaluate Audit Consistency.</w:t>
      </w:r>
    </w:p>
    <w:p>
      <w:pPr>
        <w:pStyle w:val="FirstParagraph"/>
      </w:pPr>
      <w:r>
        <w:t xml:space="preserve">The system evaluates whether the recorded audit evidence is consistent with the actual authorisation decision and the underlying verification events.</w:t>
      </w:r>
    </w:p>
    <w:p>
      <w:pPr>
        <w:pStyle w:val="BodyText"/>
      </w:pPr>
      <w:r>
        <w:t xml:space="preserve">For an access event</w:t>
      </w:r>
      <w:r>
        <w:t xml:space="preserve"> </w:t>
      </w:r>
      <w:r>
        <w:rPr>
          <w:i/>
          <w:iCs/>
        </w:rPr>
        <w:t xml:space="preserve">e</w:t>
      </w:r>
      <w:r>
        <w:t xml:space="preserve">, the audit record should provide sufficient evidence to establish a relationship between the request, requester, consent, policy evaluation, authorisation result, and timestamp.</w:t>
      </w:r>
    </w:p>
    <w:p>
      <w:pPr>
        <w:pStyle w:val="BodyText"/>
      </w:pPr>
      <w:r>
        <w:t xml:space="preserve">Therefore,</w:t>
      </w:r>
    </w:p>
    <w:p>
      <w:pPr>
        <w:pStyle w:val="BodyText"/>
      </w:pPr>
      <m:oMathPara>
        <m:oMathParaPr>
          <m:jc m:val="center"/>
        </m:oMathParaPr>
        <m:oMath>
          <m:r>
            <m:t>A</m:t>
          </m:r>
          <m:r>
            <m:t>u</m:t>
          </m:r>
          <m:r>
            <m:t>d</m:t>
          </m:r>
          <m:r>
            <m:t>i</m:t>
          </m:r>
          <m:r>
            <m:t>t</m:t>
          </m:r>
          <m:r>
            <m:rPr>
              <m:sty m:val="p"/>
            </m:rPr>
            <m:t>(</m:t>
          </m:r>
          <m:r>
            <m:t>e</m:t>
          </m:r>
          <m:r>
            <m:rPr>
              <m:sty m:val="p"/>
            </m:rPr>
            <m:t>)</m:t>
          </m:r>
          <m:r>
            <m:rPr>
              <m:sty m:val="p"/>
            </m:rPr>
            <m:t>⊨</m:t>
          </m:r>
          <m:r>
            <m:t>D</m:t>
          </m:r>
          <m:r>
            <m:t>e</m:t>
          </m:r>
          <m:r>
            <m:t>c</m:t>
          </m:r>
          <m:r>
            <m:t>i</m:t>
          </m:r>
          <m:r>
            <m:t>s</m:t>
          </m:r>
          <m:r>
            <m:t>i</m:t>
          </m:r>
          <m:r>
            <m:t>o</m:t>
          </m:r>
          <m:r>
            <m:t>n</m:t>
          </m:r>
          <m:r>
            <m:rPr>
              <m:sty m:val="p"/>
            </m:rPr>
            <m:t>(</m:t>
          </m:r>
          <m:r>
            <m:t>e</m:t>
          </m:r>
          <m:r>
            <m:rPr>
              <m:sty m:val="p"/>
            </m:rPr>
            <m:t>)</m:t>
          </m:r>
          <m:r>
            <m:rPr>
              <m:sty m:val="p"/>
            </m:rPr>
            <m:t>.</m:t>
          </m:r>
        </m:oMath>
      </m:oMathPara>
    </w:p>
    <w:p>
      <w:pPr>
        <w:pStyle w:val="FirstParagraph"/>
      </w:pPr>
      <w:r>
        <w:t xml:space="preserve">An audit inconsistency occurs when the recorded evidence does not correspond to the actual system decision or when critical authorisation evidence is missing.</w:t>
      </w:r>
    </w:p>
    <w:p>
      <w:pPr>
        <w:pStyle w:val="Compact"/>
        <w:numPr>
          <w:ilvl w:val="0"/>
          <w:numId w:val="1074"/>
        </w:numPr>
      </w:pPr>
      <w:r>
        <w:rPr>
          <w:b/>
          <w:bCs/>
        </w:rPr>
        <w:t xml:space="preserve">Step 16 – Analyse Failures and Limitations.</w:t>
      </w:r>
    </w:p>
    <w:p>
      <w:pPr>
        <w:pStyle w:val="FirstParagraph"/>
      </w:pPr>
      <w:r>
        <w:t xml:space="preserve">Any failed scenario is analysed to determine the source and significance of the failure. The analysis distinguishes between implementation defects, policy-definition errors, integration problems, incomplete security controls, and limitations of the experimental environment.</w:t>
      </w:r>
    </w:p>
    <w:p>
      <w:pPr>
        <w:pStyle w:val="BodyText"/>
      </w:pPr>
      <w:r>
        <w:t xml:space="preserve">The purpose of this step is not to conceal unsuccessful cases but to determine whether observed failures represent violations of the intended security properties or limitations that should be addressed in future work.</w:t>
      </w:r>
    </w:p>
    <w:p>
      <w:pPr>
        <w:pStyle w:val="Compact"/>
        <w:numPr>
          <w:ilvl w:val="0"/>
          <w:numId w:val="1075"/>
        </w:numPr>
      </w:pPr>
      <w:r>
        <w:rPr>
          <w:b/>
          <w:bCs/>
        </w:rPr>
        <w:t xml:space="preserve">Step 17 – Consolidate the Validation Results.</w:t>
      </w:r>
    </w:p>
    <w:p>
      <w:pPr>
        <w:pStyle w:val="FirstParagraph"/>
      </w:pPr>
      <w:r>
        <w:t xml:space="preserve">Finally, the individual scenario results and property-level evaluations are consolidated into an overall validation result.</w:t>
      </w:r>
    </w:p>
    <w:p>
      <w:pPr>
        <w:pStyle w:val="BodyText"/>
      </w:pPr>
      <w:r>
        <w:t xml:space="preserve">The resulting evidence includes:</w:t>
      </w:r>
    </w:p>
    <w:p>
      <w:pPr>
        <w:pStyle w:val="BodyText"/>
      </w:pPr>
      <m:oMathPara>
        <m:oMathParaPr>
          <m:jc m:val="center"/>
        </m:oMathParaPr>
        <m:oMath>
          <m:r>
            <m:t>V</m:t>
          </m:r>
          <m:r>
            <m:rPr>
              <m:sty m:val="p"/>
            </m:rPr>
            <m:t>=</m:t>
          </m:r>
          <m:r>
            <m:rPr>
              <m:sty m:val="p"/>
            </m:rPr>
            <m:t>{</m:t>
          </m:r>
          <m:sSub>
            <m:e>
              <m:r>
                <m:t>R</m:t>
              </m:r>
            </m:e>
            <m:sub>
              <m:r>
                <m:t>s</m:t>
              </m:r>
              <m:r>
                <m:t>c</m:t>
              </m:r>
              <m:r>
                <m:t>e</m:t>
              </m:r>
              <m:r>
                <m:t>n</m:t>
              </m:r>
              <m:r>
                <m:t>a</m:t>
              </m:r>
              <m:r>
                <m:t>r</m:t>
              </m:r>
              <m:r>
                <m:t>i</m:t>
              </m:r>
              <m:r>
                <m:t>o</m:t>
              </m:r>
            </m:sub>
          </m:sSub>
          <m:r>
            <m:rPr>
              <m:sty m:val="p"/>
            </m:rPr>
            <m:t>,</m:t>
          </m:r>
          <m:sSub>
            <m:e>
              <m:r>
                <m:t>R</m:t>
              </m:r>
            </m:e>
            <m:sub>
              <m:r>
                <m:t>s</m:t>
              </m:r>
              <m:r>
                <m:t>o</m:t>
              </m:r>
              <m:r>
                <m:t>u</m:t>
              </m:r>
              <m:r>
                <m:t>n</m:t>
              </m:r>
              <m:r>
                <m:t>d</m:t>
              </m:r>
            </m:sub>
          </m:sSub>
          <m:r>
            <m:rPr>
              <m:sty m:val="p"/>
            </m:rPr>
            <m:t>,</m:t>
          </m:r>
          <m:sSub>
            <m:e>
              <m:r>
                <m:t>R</m:t>
              </m:r>
            </m:e>
            <m:sub>
              <m:r>
                <m:t>d</m:t>
              </m:r>
              <m:r>
                <m:t>e</m:t>
              </m:r>
              <m:r>
                <m:t>n</m:t>
              </m:r>
              <m:r>
                <m:t>y</m:t>
              </m:r>
            </m:sub>
          </m:sSub>
          <m:r>
            <m:rPr>
              <m:sty m:val="p"/>
            </m:rPr>
            <m:t>,</m:t>
          </m:r>
          <m:sSub>
            <m:e>
              <m:r>
                <m:t>R</m:t>
              </m:r>
            </m:e>
            <m:sub>
              <m:r>
                <m:t>t</m:t>
              </m:r>
              <m:r>
                <m:t>h</m:t>
              </m:r>
              <m:r>
                <m:t>r</m:t>
              </m:r>
              <m:r>
                <m:t>e</m:t>
              </m:r>
              <m:r>
                <m:t>s</m:t>
              </m:r>
              <m:r>
                <m:t>h</m:t>
              </m:r>
              <m:r>
                <m:t>o</m:t>
              </m:r>
              <m:r>
                <m:t>l</m:t>
              </m:r>
              <m:r>
                <m:t>d</m:t>
              </m:r>
            </m:sub>
          </m:sSub>
          <m:r>
            <m:rPr>
              <m:sty m:val="p"/>
            </m:rPr>
            <m:t>,</m:t>
          </m:r>
          <m:sSub>
            <m:e>
              <m:r>
                <m:t>R</m:t>
              </m:r>
            </m:e>
            <m:sub>
              <m:r>
                <m:t>p</m:t>
              </m:r>
              <m:r>
                <m:t>o</m:t>
              </m:r>
              <m:r>
                <m:t>l</m:t>
              </m:r>
              <m:r>
                <m:t>i</m:t>
              </m:r>
              <m:r>
                <m:t>c</m:t>
              </m:r>
              <m:r>
                <m:t>y</m:t>
              </m:r>
            </m:sub>
          </m:sSub>
          <m:r>
            <m:rPr>
              <m:sty m:val="p"/>
            </m:rPr>
            <m:t>,</m:t>
          </m:r>
          <m:sSub>
            <m:e>
              <m:r>
                <m:t>R</m:t>
              </m:r>
            </m:e>
            <m:sub>
              <m:r>
                <m:t>s</m:t>
              </m:r>
              <m:r>
                <m:t>c</m:t>
              </m:r>
              <m:r>
                <m:t>o</m:t>
              </m:r>
              <m:r>
                <m:t>p</m:t>
              </m:r>
              <m:r>
                <m:t>e</m:t>
              </m:r>
            </m:sub>
          </m:sSub>
          <m:r>
            <m:rPr>
              <m:sty m:val="p"/>
            </m:rPr>
            <m:t>,</m:t>
          </m:r>
          <m:sSub>
            <m:e>
              <m:r>
                <m:t>R</m:t>
              </m:r>
            </m:e>
            <m:sub>
              <m:r>
                <m:t>a</m:t>
              </m:r>
              <m:r>
                <m:t>u</m:t>
              </m:r>
              <m:r>
                <m:t>d</m:t>
              </m:r>
              <m:r>
                <m:t>i</m:t>
              </m:r>
              <m:r>
                <m:t>t</m:t>
              </m:r>
            </m:sub>
          </m:sSub>
          <m:r>
            <m:rPr>
              <m:sty m:val="p"/>
            </m:rPr>
            <m:t>}</m:t>
          </m:r>
          <m:r>
            <m:rPr>
              <m:sty m:val="p"/>
            </m:rPr>
            <m:t>.</m:t>
          </m:r>
        </m:oMath>
      </m:oMathPara>
    </w:p>
    <w:p>
      <w:pPr>
        <w:pStyle w:val="FirstParagraph"/>
      </w:pPr>
      <w:r>
        <w:t xml:space="preserve">The framework is considered empirically consistent with the specified authorisation model when the observed decisions satisfy the expected outcomes across the defined validation scenarios and no critical security property is violated.</w:t>
      </w:r>
    </w:p>
    <w:p>
      <w:pPr>
        <w:pStyle w:val="BodyText"/>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P</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r>
                  <m:t>F</m:t>
                </m:r>
                <m:r>
                  <m:rPr>
                    <m:sty m:val="p"/>
                  </m:rPr>
                  <m:t>(</m:t>
                </m:r>
                <m:r>
                  <m:t>s</m:t>
                </m:r>
                <m:r>
                  <m:rPr>
                    <m:sty m:val="p"/>
                  </m:rPr>
                  <m:t>)</m:t>
                </m:r>
                <m:r>
                  <m:rPr>
                    <m:sty m:val="p"/>
                  </m:rPr>
                  <m:t>→</m:t>
                </m:r>
                <m:sSub>
                  <m:e>
                    <m:r>
                      <m:t>D</m:t>
                    </m:r>
                  </m:e>
                  <m:sub>
                    <m:r>
                      <m:t>o</m:t>
                    </m:r>
                    <m:r>
                      <m:t>b</m:t>
                    </m:r>
                    <m:r>
                      <m:t>s</m:t>
                    </m:r>
                  </m:sub>
                </m:sSub>
                <m:r>
                  <m:rPr>
                    <m:sty m:val="p"/>
                  </m:rPr>
                  <m:t>→</m:t>
                </m:r>
                <m:sSub>
                  <m:e>
                    <m:r>
                      <m:t>E</m:t>
                    </m:r>
                  </m:e>
                  <m:sub>
                    <m:r>
                      <m:t>s</m:t>
                    </m:r>
                  </m:sub>
                </m:sSub>
              </m:e>
            </m:mr>
            <m:mr>
              <m:e>
                <m:r>
                  <m:rPr>
                    <m:sty m:val="p"/>
                  </m:rPr>
                  <m:t>→</m:t>
                </m:r>
                <m:sSub>
                  <m:e>
                    <m:r>
                      <m:t>D</m:t>
                    </m:r>
                  </m:e>
                  <m:sub>
                    <m:r>
                      <m:t>o</m:t>
                    </m:r>
                    <m:r>
                      <m:t>b</m:t>
                    </m:r>
                    <m:r>
                      <m:t>s</m:t>
                    </m:r>
                  </m:sub>
                </m:sSub>
                <m:limUpp>
                  <m:e>
                    <m:r>
                      <m:rPr>
                        <m:sty m:val="p"/>
                      </m:rPr>
                      <m:t>=</m:t>
                    </m:r>
                  </m:e>
                  <m:lim>
                    <m:r>
                      <m:rPr>
                        <m:sty m:val="p"/>
                      </m:rPr>
                      <m:t>?</m:t>
                    </m:r>
                  </m:lim>
                </m:limUpp>
                <m:sSub>
                  <m:e>
                    <m:r>
                      <m:t>D</m:t>
                    </m:r>
                  </m:e>
                  <m:sub>
                    <m:r>
                      <m:t>e</m:t>
                    </m:r>
                    <m:r>
                      <m:t>x</m:t>
                    </m:r>
                    <m:r>
                      <m:t>p</m:t>
                    </m:r>
                  </m:sub>
                </m:sSub>
                <m:r>
                  <m:rPr>
                    <m:sty m:val="p"/>
                  </m:rPr>
                  <m:t>→</m:t>
                </m:r>
                <m:r>
                  <m:t>P</m:t>
                </m:r>
                <m:r>
                  <m:t>r</m:t>
                </m:r>
                <m:r>
                  <m:t>o</m:t>
                </m:r>
                <m:r>
                  <m:t>p</m:t>
                </m:r>
                <m:r>
                  <m:t>e</m:t>
                </m:r>
                <m:r>
                  <m:t>r</m:t>
                </m:r>
                <m:r>
                  <m:t>t</m:t>
                </m:r>
                <m:r>
                  <m:t>y</m:t>
                </m:r>
                <m:r>
                  <m:t> </m:t>
                </m:r>
                <m:r>
                  <m:t>E</m:t>
                </m:r>
                <m:r>
                  <m:t>v</m:t>
                </m:r>
                <m:r>
                  <m:t>a</m:t>
                </m:r>
                <m:r>
                  <m:t>l</m:t>
                </m:r>
                <m:r>
                  <m:t>u</m:t>
                </m:r>
                <m:r>
                  <m:t>a</m:t>
                </m:r>
                <m:r>
                  <m:t>t</m:t>
                </m:r>
                <m:r>
                  <m:t>i</m:t>
                </m:r>
                <m:r>
                  <m:t>o</m:t>
                </m:r>
                <m:r>
                  <m:t>n</m:t>
                </m:r>
                <m:r>
                  <m:rPr>
                    <m:sty m:val="p"/>
                  </m:rPr>
                  <m:t>→</m:t>
                </m:r>
                <m:r>
                  <m:t>F</m:t>
                </m:r>
                <m:r>
                  <m:t>a</m:t>
                </m:r>
                <m:r>
                  <m:t>i</m:t>
                </m:r>
                <m:r>
                  <m:t>l</m:t>
                </m:r>
                <m:r>
                  <m:t>u</m:t>
                </m:r>
                <m:r>
                  <m:t>r</m:t>
                </m:r>
                <m:r>
                  <m:t>e</m:t>
                </m:r>
                <m:r>
                  <m:t> </m:t>
                </m:r>
                <m:r>
                  <m:t>A</m:t>
                </m:r>
                <m:r>
                  <m:t>n</m:t>
                </m:r>
                <m:r>
                  <m:t>a</m:t>
                </m:r>
                <m:r>
                  <m:t>l</m:t>
                </m:r>
                <m:r>
                  <m:t>y</m:t>
                </m:r>
                <m:r>
                  <m:t>s</m:t>
                </m:r>
                <m:r>
                  <m:t>i</m:t>
                </m:r>
                <m:r>
                  <m:t>s</m:t>
                </m:r>
                <m:r>
                  <m:rPr>
                    <m:sty m:val="p"/>
                  </m:rPr>
                  <m:t>→</m:t>
                </m:r>
                <m:r>
                  <m:t>V</m:t>
                </m:r>
                <m:r>
                  <m:t>a</m:t>
                </m:r>
                <m:r>
                  <m:t>l</m:t>
                </m:r>
                <m:r>
                  <m:t>i</m:t>
                </m:r>
                <m:r>
                  <m:t>d</m:t>
                </m:r>
                <m:r>
                  <m:t>a</m:t>
                </m:r>
                <m:r>
                  <m:t>t</m:t>
                </m:r>
                <m:r>
                  <m:t>i</m:t>
                </m:r>
                <m:r>
                  <m:t>o</m:t>
                </m:r>
                <m:r>
                  <m:t>n</m:t>
                </m:r>
                <m:r>
                  <m:t> </m:t>
                </m:r>
                <m:r>
                  <m:t>E</m:t>
                </m:r>
                <m:r>
                  <m:t>v</m:t>
                </m:r>
                <m:r>
                  <m:t>i</m:t>
                </m:r>
                <m:r>
                  <m:t>d</m:t>
                </m:r>
                <m:r>
                  <m:t>e</m:t>
                </m:r>
                <m:r>
                  <m:t>n</m:t>
                </m:r>
                <m:r>
                  <m:t>c</m:t>
                </m:r>
                <m:r>
                  <m:t>e</m:t>
                </m:r>
              </m:e>
            </m:mr>
          </m:m>
        </m:oMath>
      </m:oMathPara>
    </w:p>
    <w:p>
      <w:pPr>
        <w:pStyle w:val="FirstParagraph"/>
      </w:pPr>
      <w:r>
        <w:t xml:space="preserve">The fundamental scenario-level validation criterion is</w:t>
      </w:r>
    </w:p>
    <w:p>
      <w:pPr>
        <w:pStyle w:val="BodyText"/>
      </w:pPr>
      <m:oMathPara>
        <m:oMathParaPr>
          <m:jc m:val="center"/>
        </m:oMathParaPr>
        <m:oMath>
          <m:r>
            <m:t>P</m:t>
          </m:r>
          <m:r>
            <m:t>a</m:t>
          </m:r>
          <m:r>
            <m:t>s</m:t>
          </m:r>
          <m:r>
            <m:t>s</m:t>
          </m:r>
          <m:r>
            <m:rPr>
              <m:sty m:val="p"/>
            </m:rPr>
            <m:t>(</m:t>
          </m:r>
          <m:r>
            <m:t>s</m:t>
          </m:r>
          <m:r>
            <m:rPr>
              <m:sty m:val="p"/>
            </m:rPr>
            <m:t>)</m:t>
          </m:r>
          <m:r>
            <m:rPr>
              <m:sty m:val="p"/>
            </m:rPr>
            <m:t>⇔</m:t>
          </m:r>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oMath>
      </m:oMathPara>
    </w:p>
    <w:p>
      <w:pPr>
        <w:pStyle w:val="FirstParagraph"/>
      </w:pPr>
      <w:r>
        <w:t xml:space="preserve">while the framework-level validation can be expressed as:</w:t>
      </w:r>
    </w:p>
    <w:p>
      <w:pPr>
        <w:pStyle w:val="BodyText"/>
      </w:pPr>
      <m:oMathPara>
        <m:oMathParaPr>
          <m:jc m:val="center"/>
        </m:oMathParaPr>
        <m:oMath>
          <m:r>
            <m:t>V</m:t>
          </m:r>
          <m:r>
            <m:t>a</m:t>
          </m:r>
          <m:r>
            <m:t>l</m:t>
          </m:r>
          <m:r>
            <m:t>i</m:t>
          </m:r>
          <m:r>
            <m:t>d</m:t>
          </m:r>
          <m:r>
            <m:rPr>
              <m:sty m:val="p"/>
            </m:rPr>
            <m:t>(</m:t>
          </m:r>
          <m:r>
            <m:t>F</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oMath>
      </m:oMathPara>
    </w:p>
    <w:p>
      <w:pPr>
        <w:pStyle w:val="FirstParagraph"/>
      </w:pPr>
      <w:r>
        <w:t xml:space="preserve">This procedure establishes a distinction between</w:t>
      </w:r>
      <w:r>
        <w:t xml:space="preserve"> </w:t>
      </w:r>
      <w:r>
        <w:rPr>
          <w:i/>
          <w:iCs/>
        </w:rPr>
        <w:t xml:space="preserve">functional correctness</w:t>
      </w:r>
      <w:r>
        <w:t xml:space="preserve"> </w:t>
      </w:r>
      <w:r>
        <w:t xml:space="preserve">and</w:t>
      </w:r>
      <w:r>
        <w:t xml:space="preserve"> </w:t>
      </w:r>
      <w:r>
        <w:rPr>
          <w:i/>
          <w:iCs/>
        </w:rPr>
        <w:t xml:space="preserve">security correctness</w:t>
      </w:r>
      <w:r>
        <w:t xml:space="preserve">.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w:t>
      </w:r>
    </w:p>
    <w:p>
      <w:pPr>
        <w:pStyle w:val="BodyText"/>
      </w:pPr>
      <w:r>
        <w:t xml:space="preserve">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w:t>
      </w:r>
      <w:r>
        <w:t xml:space="preserve"> </w:t>
      </w:r>
      <w:r>
        <w:rPr>
          <w:i/>
          <w:iCs/>
        </w:rPr>
        <w:t xml:space="preserve">positive security property</w:t>
      </w:r>
      <w:r>
        <w:t xml:space="preserve"> </w:t>
      </w:r>
      <w:r>
        <w:t xml:space="preserve">of granting legitimate access and the</w:t>
      </w:r>
      <w:r>
        <w:t xml:space="preserve"> </w:t>
      </w:r>
      <w:r>
        <w:rPr>
          <w:i/>
          <w:iCs/>
        </w:rPr>
        <w:t xml:space="preserve">negative security property</w:t>
      </w:r>
      <w:r>
        <w:t xml:space="preserve"> </w:t>
      </w:r>
      <w:r>
        <w:t xml:space="preserve">of preventing illegitimate access.</w:t>
      </w:r>
    </w:p>
    <w:p>
      <w:pPr>
        <w:pStyle w:val="BodyText"/>
      </w:pPr>
      <w:r>
        <w:t xml:space="preserve">The validation procedure also provides traceability between the final access decision and its supporting evidence. For each scenario, the decision can be interpreted as:</w:t>
      </w:r>
    </w:p>
    <w:p>
      <w:pPr>
        <w:pStyle w:val="BodyText"/>
      </w:pPr>
      <m:oMathPara>
        <m:oMathParaPr>
          <m:jc m:val="center"/>
        </m:oMathParaPr>
        <m:oMath>
          <m:m>
            <m:mPr>
              <m:baseJc m:val="center"/>
              <m:plcHide m:val="on"/>
              <m:mcs>
                <m:mc>
                  <m:mcPr>
                    <m:count m:val="1"/>
                    <m:mcJc m:val="left"/>
                  </m:mcPr>
                </m:mc>
              </m:mcs>
            </m:mPr>
            <m:mr>
              <m:e>
                <m:r>
                  <m:t>D</m:t>
                </m:r>
                <m:r>
                  <m:t>e</m:t>
                </m:r>
                <m:r>
                  <m:t>c</m:t>
                </m:r>
                <m:r>
                  <m:t>i</m:t>
                </m:r>
                <m:r>
                  <m:t>s</m:t>
                </m:r>
                <m:r>
                  <m:t>i</m:t>
                </m:r>
                <m:r>
                  <m:t>o</m:t>
                </m:r>
                <m:r>
                  <m:t>n</m:t>
                </m:r>
                <m:r>
                  <m:rPr>
                    <m:sty m:val="p"/>
                  </m:rPr>
                  <m:t>(</m:t>
                </m:r>
                <m:r>
                  <m:t>s</m:t>
                </m:r>
                <m:r>
                  <m:rPr>
                    <m:sty m:val="p"/>
                  </m:rPr>
                  <m:t>)</m:t>
                </m:r>
                <m:r>
                  <m:rPr>
                    <m:sty m:val="p"/>
                  </m:rPr>
                  <m:t>=</m:t>
                </m:r>
                <m:r>
                  <m:t>f</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C</m:t>
                </m:r>
                <m:r>
                  <m:t>o</m:t>
                </m:r>
                <m:r>
                  <m:t>n</m:t>
                </m:r>
                <m:r>
                  <m:t>s</m:t>
                </m:r>
                <m:r>
                  <m:t>e</m:t>
                </m:r>
                <m:r>
                  <m:t>n</m:t>
                </m:r>
                <m:r>
                  <m:t>t</m:t>
                </m:r>
                <m:r>
                  <m:rPr>
                    <m:sty m:val="p"/>
                  </m:rPr>
                  <m:t>,</m:t>
                </m:r>
                <m:r>
                  <m:t>T</m:t>
                </m:r>
                <m:r>
                  <m:t>h</m:t>
                </m:r>
                <m:r>
                  <m:t>r</m:t>
                </m:r>
                <m:r>
                  <m:t>e</m:t>
                </m:r>
                <m:r>
                  <m:t>s</m:t>
                </m:r>
                <m:r>
                  <m:t>h</m:t>
                </m:r>
                <m:r>
                  <m:t>o</m:t>
                </m:r>
                <m:r>
                  <m:t>l</m:t>
                </m:r>
                <m:r>
                  <m:t>d</m:t>
                </m:r>
                <m:r>
                  <m:rPr>
                    <m:sty m:val="p"/>
                  </m:rPr>
                  <m:t>,</m:t>
                </m:r>
              </m:e>
            </m:mr>
            <m:mr>
              <m:e>
                <m:r>
                  <m:t>P</m:t>
                </m:r>
                <m:r>
                  <m:t>u</m:t>
                </m:r>
                <m:r>
                  <m:t>r</m:t>
                </m:r>
                <m:r>
                  <m:t>p</m:t>
                </m:r>
                <m:r>
                  <m:t>o</m:t>
                </m:r>
                <m:r>
                  <m:t>s</m:t>
                </m:r>
                <m:r>
                  <m:t>e</m:t>
                </m:r>
                <m:r>
                  <m:rPr>
                    <m:sty m:val="p"/>
                  </m:rPr>
                  <m:t>,</m:t>
                </m:r>
                <m:r>
                  <m:t>S</m:t>
                </m:r>
                <m:r>
                  <m:t>c</m:t>
                </m:r>
                <m:r>
                  <m:t>o</m:t>
                </m:r>
                <m:r>
                  <m:t>p</m:t>
                </m:r>
                <m:r>
                  <m:t>e</m:t>
                </m:r>
                <m:r>
                  <m:rPr>
                    <m:sty m:val="p"/>
                  </m:rPr>
                  <m:t>,</m:t>
                </m:r>
                <m:r>
                  <m:t>L</m:t>
                </m:r>
                <m:r>
                  <m:t>i</m:t>
                </m:r>
                <m:r>
                  <m:t>f</m:t>
                </m:r>
                <m:r>
                  <m:t>e</m:t>
                </m:r>
                <m:r>
                  <m:t>c</m:t>
                </m:r>
                <m:r>
                  <m:t>y</m:t>
                </m:r>
                <m:r>
                  <m:t>c</m:t>
                </m:r>
                <m:r>
                  <m:t>l</m:t>
                </m:r>
                <m:r>
                  <m:t>e</m:t>
                </m:r>
                <m:r>
                  <m:rPr>
                    <m:sty m:val="p"/>
                  </m:rPr>
                  <m:t>,</m:t>
                </m:r>
                <m:r>
                  <m:t>E</m:t>
                </m:r>
                <m:r>
                  <m:t>v</m:t>
                </m:r>
                <m:r>
                  <m:t>i</m:t>
                </m:r>
                <m:r>
                  <m:t>d</m:t>
                </m:r>
                <m:r>
                  <m:t>e</m:t>
                </m:r>
                <m:r>
                  <m:t>n</m:t>
                </m:r>
                <m:r>
                  <m:t>c</m:t>
                </m:r>
                <m:r>
                  <m:t>e</m:t>
                </m:r>
                <m:r>
                  <m:rPr>
                    <m:sty m:val="p"/>
                  </m:rPr>
                  <m:t>)</m:t>
                </m:r>
                <m:r>
                  <m:rPr>
                    <m:sty m:val="p"/>
                  </m:rPr>
                  <m:t>.</m:t>
                </m:r>
              </m:e>
            </m:mr>
          </m:m>
        </m:oMath>
      </m:oMathPara>
    </w:p>
    <w:p>
      <w:pPr>
        <w:pStyle w:val="FirstParagraph"/>
      </w:pPr>
      <w:r>
        <w:t xml:space="preserve">Consequently, validation does not merely determine whether the final output is</w:t>
      </w:r>
      <w:r>
        <w:t xml:space="preserve"> </w:t>
      </w:r>
      <w:r>
        <w:rPr>
          <w:i/>
          <w:iCs/>
        </w:rPr>
        <w:t xml:space="preserve">ALLOW</w:t>
      </w:r>
      <w:r>
        <w:t xml:space="preserve"> </w:t>
      </w:r>
      <w:r>
        <w:t xml:space="preserve">or</w:t>
      </w:r>
      <w:r>
        <w:t xml:space="preserve"> </w:t>
      </w:r>
      <w:r>
        <w:rPr>
          <w:i/>
          <w:iCs/>
        </w:rPr>
        <w:t xml:space="preserve">DENY</w:t>
      </w:r>
      <w:r>
        <w:t xml:space="preserve">; it also determines whether the underlying evidence is consistent with the decision. This is particularly important for a trust-aware framework because a correct decision without sufficient supporting evidence cannot provide strong assurance regarding how the decision was reached.</w:t>
      </w:r>
    </w:p>
    <w:p>
      <w:pPr>
        <w:pStyle w:val="BodyText"/>
      </w:pPr>
      <w:r>
        <w:t xml:space="preserve">The relationship between the six algorithms can therefore be represented as</w:t>
      </w:r>
    </w:p>
    <w:p>
      <w:pPr>
        <w:pStyle w:val="BodyText"/>
      </w:pPr>
      <w:r>
        <w:t xml:space="preserve">Algorithm 1: Create Consent</w:t>
      </w:r>
    </w:p>
    <w:p>
      <w:pPr>
        <w:pStyle w:val="BodyText"/>
      </w:pPr>
      <w:r>
        <w:t xml:space="preserve">Algorithm 2: Verify Identity and Authority</w:t>
      </w:r>
    </w:p>
    <w:p>
      <w:pPr>
        <w:pStyle w:val="BodyText"/>
      </w:pPr>
      <w:r>
        <w:t xml:space="preserve">Algorithm 3: Establish Multi-Party Authorisation</w:t>
      </w:r>
    </w:p>
    <w:p>
      <w:pPr>
        <w:pStyle w:val="BodyText"/>
      </w:pPr>
      <w:r>
        <w:t xml:space="preserve">Algorithm 4: Evaluate Access Request</w:t>
      </w:r>
    </w:p>
    <w:p>
      <w:pPr>
        <w:pStyle w:val="BodyText"/>
      </w:pPr>
      <w:r>
        <w:t xml:space="preserve">Algorithm 5: Validate Temporal and Lifecycle State</w:t>
      </w:r>
    </w:p>
    <w:p>
      <w:pPr>
        <w:pStyle w:val="BodyText"/>
      </w:pPr>
      <w:r>
        <w:t xml:space="preserve">Algorithm 6: Validate the Complete Framework</w:t>
      </w:r>
    </w:p>
    <w:p>
      <w:pPr>
        <w:pStyle w:val="BodyText"/>
      </w:pPr>
      <w:r>
        <w:t xml:space="preserve">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w:t>
      </w:r>
    </w:p>
    <w:p>
      <w:pPr>
        <w:pStyle w:val="BodyText"/>
      </w:pPr>
      <m:oMathPara>
        <m:oMathParaPr>
          <m:jc m:val="center"/>
        </m:oMathParaPr>
        <m:oMath>
          <m:m>
            <m:mPr>
              <m:baseJc m:val="center"/>
              <m:plcHide m:val="on"/>
              <m:mcs>
                <m:mc>
                  <m:mcPr>
                    <m:count m:val="1"/>
                    <m:mcJc m:val="left"/>
                  </m:mcPr>
                </m:mc>
              </m:mcs>
            </m:mPr>
            <m:mr>
              <m:e>
                <m:r>
                  <m:t>D</m:t>
                </m:r>
                <m:r>
                  <m:t>e</m:t>
                </m:r>
                <m:r>
                  <m:t>s</m:t>
                </m:r>
                <m:r>
                  <m:t>i</m:t>
                </m:r>
                <m:r>
                  <m:t>g</m:t>
                </m:r>
                <m:r>
                  <m:t>n</m:t>
                </m:r>
                <m:r>
                  <m:rPr>
                    <m:sty m:val="p"/>
                  </m:rPr>
                  <m:t>→</m:t>
                </m:r>
                <m:r>
                  <m:t>I</m:t>
                </m:r>
                <m:r>
                  <m:t>m</m:t>
                </m:r>
                <m:r>
                  <m:t>p</m:t>
                </m:r>
                <m:r>
                  <m:t>l</m:t>
                </m:r>
                <m:r>
                  <m:t>e</m:t>
                </m:r>
                <m:r>
                  <m:t>m</m:t>
                </m:r>
                <m:r>
                  <m:t>e</m:t>
                </m:r>
                <m:r>
                  <m:t>n</m:t>
                </m:r>
                <m:r>
                  <m:t>t</m:t>
                </m:r>
                <m:r>
                  <m:t>a</m:t>
                </m:r>
                <m:r>
                  <m:t>t</m:t>
                </m:r>
                <m:r>
                  <m:t>i</m:t>
                </m:r>
                <m:r>
                  <m:t>o</m:t>
                </m:r>
                <m:r>
                  <m:t>n</m:t>
                </m:r>
                <m:r>
                  <m:rPr>
                    <m:sty m:val="p"/>
                  </m:rPr>
                  <m:t>→</m:t>
                </m:r>
                <m:r>
                  <m:t>E</m:t>
                </m:r>
                <m:r>
                  <m:t>x</m:t>
                </m:r>
                <m:r>
                  <m:t>e</m:t>
                </m:r>
                <m:r>
                  <m:t>c</m:t>
                </m:r>
                <m:r>
                  <m:t>u</m:t>
                </m:r>
                <m:r>
                  <m:t>t</m:t>
                </m:r>
                <m:r>
                  <m:t>i</m:t>
                </m:r>
                <m:r>
                  <m:t>o</m:t>
                </m:r>
                <m:r>
                  <m:t>n</m:t>
                </m:r>
              </m:e>
            </m:mr>
            <m:mr>
              <m:e>
                <m:r>
                  <m:rPr>
                    <m:sty m:val="p"/>
                  </m:rPr>
                  <m:t>→</m:t>
                </m:r>
                <m:r>
                  <m:t>O</m:t>
                </m:r>
                <m:r>
                  <m:t>b</m:t>
                </m:r>
                <m:r>
                  <m:t>s</m:t>
                </m:r>
                <m:r>
                  <m:t>e</m:t>
                </m:r>
                <m:r>
                  <m:t>r</m:t>
                </m:r>
                <m:r>
                  <m:t>v</m:t>
                </m:r>
                <m:r>
                  <m:t>a</m:t>
                </m:r>
                <m:r>
                  <m:t>t</m:t>
                </m:r>
                <m:r>
                  <m:t>i</m:t>
                </m:r>
                <m:r>
                  <m:t>o</m:t>
                </m:r>
                <m:r>
                  <m:t>n</m:t>
                </m:r>
                <m:r>
                  <m:rPr>
                    <m:sty m:val="p"/>
                  </m:rPr>
                  <m:t>→</m:t>
                </m:r>
                <m:r>
                  <m:t>V</m:t>
                </m:r>
                <m:r>
                  <m:t>e</m:t>
                </m:r>
                <m:r>
                  <m:t>r</m:t>
                </m:r>
                <m:r>
                  <m:t>i</m:t>
                </m:r>
                <m:r>
                  <m:t>f</m:t>
                </m:r>
                <m:r>
                  <m:t>i</m:t>
                </m:r>
                <m:r>
                  <m:t>c</m:t>
                </m:r>
                <m:r>
                  <m:t>a</m:t>
                </m:r>
                <m:r>
                  <m:t>t</m:t>
                </m:r>
                <m:r>
                  <m:t>i</m:t>
                </m:r>
                <m:r>
                  <m:t>o</m:t>
                </m:r>
                <m:r>
                  <m:t>n</m:t>
                </m:r>
                <m:r>
                  <m:rPr>
                    <m:sty m:val="p"/>
                  </m:rPr>
                  <m:t>→</m:t>
                </m:r>
                <m:r>
                  <m:t>V</m:t>
                </m:r>
                <m:r>
                  <m:t>a</m:t>
                </m:r>
                <m:r>
                  <m:t>l</m:t>
                </m:r>
                <m:r>
                  <m:t>i</m:t>
                </m:r>
                <m:r>
                  <m:t>d</m:t>
                </m:r>
                <m:r>
                  <m:t>a</m:t>
                </m:r>
                <m:r>
                  <m:t>t</m:t>
                </m:r>
                <m:r>
                  <m:t>i</m:t>
                </m:r>
                <m:r>
                  <m:t>o</m:t>
                </m:r>
                <m:r>
                  <m:t>n</m:t>
                </m:r>
              </m:e>
            </m:mr>
          </m:m>
        </m:oMath>
      </m:oMathPara>
    </w:p>
    <w:p>
      <w:pPr>
        <w:pStyle w:val="FirstParagraph"/>
      </w:pPr>
      <w:r>
        <w:t xml:space="preserve">The resulting validation methodology provides empirical evidence that the proposed authorisation model is not merely conceptually defined but is operationally enforceable and testable under legitimate, invalid, and adversarial conditions.</w:t>
      </w:r>
    </w:p>
    <w:bookmarkEnd w:id="131"/>
    <w:bookmarkStart w:id="132" w:name="Xb697f75e4cb43d67a9074b27c380a0731d6d029"/>
    <w:p>
      <w:pPr>
        <w:pStyle w:val="Heading3"/>
      </w:pPr>
      <w:r>
        <w:rPr>
          <w:rStyle w:val="OrangeFix"/>
        </w:rPr>
        <w:t xml:space="preserve">6.6.3 Algorithm 6: Formal and Empirical Authorisation Validation</w:t>
      </w:r>
    </w:p>
    <w:p>
      <w:pPr>
        <w:pStyle w:val="Algorithm"/>
      </w:pPr>
      <w:r>
        <w:rPr>
          <w:b/>
          <w:bCs/>
        </w:rPr>
        <w:t xml:space="preserve">Algorithm 6</w:t>
      </w:r>
      <w:r>
        <w:t xml:space="preserve"> </w:t>
      </w:r>
      <w:r>
        <w:t xml:space="preserve">Formal and Empirical Authorisation Validation</w:t>
      </w:r>
      <w:r>
        <w:br/>
      </w:r>
      <w:r>
        <w:rPr>
          <w:b/>
          <w:bCs/>
        </w:rPr>
        <w:t xml:space="preserve">Require:</w:t>
      </w:r>
      <w:r>
        <w:t xml:space="preserve"> </w:t>
      </w:r>
      <w:r>
        <w:t xml:space="preserve">Framework implementation</w:t>
      </w:r>
      <w:r>
        <w:t xml:space="preserve"> </w:t>
      </w:r>
      <m:oMath>
        <m:r>
          <m:t>F</m:t>
        </m:r>
      </m:oMath>
      <w:r>
        <w:t xml:space="preserve">, validation scenarios</w:t>
      </w:r>
      <w:r>
        <w:t xml:space="preserve"> </w:t>
      </w:r>
      <m:oMath>
        <m:r>
          <m:t>S</m:t>
        </m:r>
      </m:oMath>
      <w:r>
        <w:t xml:space="preserve">, security properties</w:t>
      </w:r>
      <w:r>
        <w:t xml:space="preserve"> </w:t>
      </w:r>
      <m:oMath>
        <m:r>
          <m:t>P</m:t>
        </m:r>
      </m:oMath>
      <w:r>
        <w:br/>
      </w:r>
      <w:r>
        <w:rPr>
          <w:b/>
          <w:bCs/>
        </w:rPr>
        <w:t xml:space="preserve">Ensure:</w:t>
      </w:r>
      <w:r>
        <w:t xml:space="preserve"> </w:t>
      </w:r>
      <w:r>
        <w:t xml:space="preserve">Validation evidence and evaluation results</w:t>
      </w:r>
      <w:r>
        <w:br/>
      </w:r>
      <w:r>
        <w:t xml:space="preserve">1: Define expected authorisation properties</w:t>
      </w:r>
      <w:r>
        <w:t xml:space="preserve"> </w:t>
      </w:r>
      <m:oMath>
        <m:r>
          <m:t>P</m:t>
        </m:r>
      </m:oMath>
      <w:r>
        <w:br/>
      </w:r>
      <w:r>
        <w:t xml:space="preserve">2: Define valid scenarios</w:t>
      </w:r>
      <w:r>
        <w:t xml:space="preserve"> </w:t>
      </w:r>
      <m:oMath>
        <m:sSub>
          <m:e>
            <m:r>
              <m:t>S</m:t>
            </m:r>
          </m:e>
          <m:sub>
            <m:r>
              <m:t>v</m:t>
            </m:r>
            <m:r>
              <m:t>a</m:t>
            </m:r>
            <m:r>
              <m:t>l</m:t>
            </m:r>
            <m:r>
              <m:t>i</m:t>
            </m:r>
            <m:r>
              <m:t>d</m:t>
            </m:r>
          </m:sub>
        </m:sSub>
      </m:oMath>
      <w:r>
        <w:br/>
      </w:r>
      <w:r>
        <w:t xml:space="preserve">3: Define negative scenarios</w:t>
      </w:r>
      <w:r>
        <w:t xml:space="preserve"> </w:t>
      </w:r>
      <m:oMath>
        <m:sSub>
          <m:e>
            <m:r>
              <m:t>S</m:t>
            </m:r>
          </m:e>
          <m:sub>
            <m:r>
              <m:t>n</m:t>
            </m:r>
            <m:r>
              <m:t>e</m:t>
            </m:r>
            <m:r>
              <m:t>g</m:t>
            </m:r>
            <m:r>
              <m:t>a</m:t>
            </m:r>
            <m:r>
              <m:t>t</m:t>
            </m:r>
            <m:r>
              <m:t>i</m:t>
            </m:r>
            <m:r>
              <m:t>v</m:t>
            </m:r>
            <m:r>
              <m:t>e</m:t>
            </m:r>
          </m:sub>
        </m:sSub>
      </m:oMath>
      <w:r>
        <w:br/>
      </w:r>
      <w:r>
        <w:t xml:space="preserve">4: Define adversarial scenarios</w:t>
      </w:r>
      <w:r>
        <w:t xml:space="preserve"> </w:t>
      </w:r>
      <m:oMath>
        <m:sSub>
          <m:e>
            <m:r>
              <m:t>S</m:t>
            </m:r>
          </m:e>
          <m:sub>
            <m:r>
              <m:t>a</m:t>
            </m:r>
            <m:r>
              <m:t>d</m:t>
            </m:r>
            <m:r>
              <m:t>v</m:t>
            </m:r>
          </m:sub>
        </m:sSub>
      </m:oMath>
      <w:r>
        <w:br/>
      </w:r>
      <w:r>
        <w:t xml:space="preserve">5:</w:t>
      </w:r>
      <w:r>
        <w:t xml:space="preserve"> </w:t>
      </w:r>
      <w:r>
        <w:rPr>
          <w:b/>
          <w:bCs/>
        </w:rPr>
        <w:t xml:space="preserve">for</w:t>
      </w:r>
      <w:r>
        <w:t xml:space="preserve"> </w:t>
      </w:r>
      <w:r>
        <w:t xml:space="preserve">each scenario</w:t>
      </w:r>
      <w:r>
        <w:t xml:space="preserve"> </w:t>
      </w:r>
      <m:oMath>
        <m:r>
          <m:t>s</m:t>
        </m:r>
      </m:oMath>
      <w:r>
        <w:t xml:space="preserve"> </w:t>
      </w:r>
      <w:r>
        <w:t xml:space="preserve">in</w:t>
      </w:r>
      <w:r>
        <w:t xml:space="preserve"> </w:t>
      </w:r>
      <m:oMath>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oMath>
      <w:r>
        <w:t xml:space="preserve"> </w:t>
      </w:r>
      <w:r>
        <w:rPr>
          <w:b/>
          <w:bCs/>
        </w:rPr>
        <w:t xml:space="preserve">do</w:t>
      </w:r>
      <w:r>
        <w:br/>
      </w:r>
      <w:r>
        <w:t xml:space="preserve">    6: Execute</w:t>
      </w:r>
      <w:r>
        <w:t xml:space="preserve"> </w:t>
      </w:r>
      <m:oMath>
        <m:r>
          <m:t>s</m:t>
        </m:r>
      </m:oMath>
      <w:r>
        <w:t xml:space="preserve"> </w:t>
      </w:r>
      <w:r>
        <w:t xml:space="preserve">using framework</w:t>
      </w:r>
      <w:r>
        <w:t xml:space="preserve"> </w:t>
      </w:r>
      <m:oMath>
        <m:r>
          <m:t>F</m:t>
        </m:r>
      </m:oMath>
      <w:r>
        <w:br/>
      </w:r>
      <w:r>
        <w:t xml:space="preserve">    7: Collect authorisation decision</w:t>
      </w:r>
      <w:r>
        <w:br/>
      </w:r>
      <w:r>
        <w:t xml:space="preserve">    8: Collect identity, approval, policy, and audit evidence</w:t>
      </w:r>
      <w:r>
        <w:br/>
      </w:r>
      <w:r>
        <w:t xml:space="preserve">    9: Compare observed decision with expected decision</w:t>
      </w:r>
      <w:r>
        <w:br/>
      </w:r>
      <w:r>
        <w:t xml:space="preserve">    10: Record pass or failure result</w:t>
      </w:r>
      <w:r>
        <w:br/>
      </w:r>
      <w:r>
        <w:t xml:space="preserve">11:</w:t>
      </w:r>
      <w:r>
        <w:t xml:space="preserve"> </w:t>
      </w:r>
      <w:r>
        <w:rPr>
          <w:b/>
          <w:bCs/>
        </w:rPr>
        <w:t xml:space="preserve">end for</w:t>
      </w:r>
      <w:r>
        <w:br/>
      </w:r>
      <w:r>
        <w:t xml:space="preserve">12: Evaluate soundness property</w:t>
      </w:r>
      <w:r>
        <w:br/>
      </w:r>
      <w:r>
        <w:t xml:space="preserve">13: Evaluate denial property</w:t>
      </w:r>
      <w:r>
        <w:br/>
      </w:r>
      <w:r>
        <w:t xml:space="preserve">14: Evaluate threshold correctness</w:t>
      </w:r>
      <w:r>
        <w:br/>
      </w:r>
      <w:r>
        <w:t xml:space="preserve">15: Evaluate policy-scope enforcement</w:t>
      </w:r>
      <w:r>
        <w:br/>
      </w:r>
      <w:r>
        <w:t xml:space="preserve">16: Evaluate audit consistency</w:t>
      </w:r>
      <w:r>
        <w:br/>
      </w:r>
      <w:r>
        <w:t xml:space="preserve">17: Analyse failures and limitations</w:t>
      </w:r>
      <w:r>
        <w:br/>
      </w:r>
      <w:r>
        <w:t xml:space="preserve">18:</w:t>
      </w:r>
      <w:r>
        <w:t xml:space="preserve"> </w:t>
      </w:r>
      <w:r>
        <w:rPr>
          <w:b/>
          <w:bCs/>
        </w:rPr>
        <w:t xml:space="preserve">return</w:t>
      </w:r>
      <w:r>
        <w:t xml:space="preserve"> </w:t>
      </w:r>
      <w:r>
        <w:t xml:space="preserve">Validation results</w:t>
      </w:r>
    </w:p>
    <w:p>
      <w:pPr>
        <w:pStyle w:val="OrangeDeletePara"/>
      </w:pPr>
      <w:r>
        <w:rPr>
          <w:rStyle w:val="OrangeDelete"/>
        </w:rPr>
        <w:t xml:space="preserve">6.6.3 Algorithm 6: Formal and Empirical Authorisation Validation (heading moved above the algorithm)</w:t>
      </w:r>
    </w:p>
    <w:p>
      <w:pPr>
        <w:pStyle w:val="BodyText"/>
      </w:pPr>
      <w: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w:t>
      </w:r>
    </w:p>
    <w:p>
      <w:pPr>
        <w:pStyle w:val="BodyText"/>
      </w:pPr>
      <w:r>
        <w:t xml:space="preserve">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bookmarkEnd w:id="132"/>
    <w:bookmarkEnd w:id="133"/>
    <w:bookmarkStart w:id="134" w:name="algorithms-and-the-research-objectives"/>
    <w:p>
      <w:pPr>
        <w:pStyle w:val="Heading2"/>
      </w:pPr>
      <w:r>
        <w:t xml:space="preserve">6.7 Algorithms and the Research Objectives</w:t>
      </w:r>
    </w:p>
    <w:p>
      <w:pPr>
        <w:pStyle w:val="FirstParagraph"/>
      </w:pPr>
      <w: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w:t>
      </w:r>
    </w:p>
    <w:p>
      <w:pPr>
        <w:pStyle w:val="BodyText"/>
      </w:pPr>
      <w:r>
        <w:t xml:space="preserve">The final two algorithms extend this foundational mechanism. Algorithm 5 introduces temporal and lifecycle validity, while Algorithm 6 provides formal and empirical assurance of the complete framework. This structure reflects the staged research design in which</w:t>
      </w:r>
      <w:r>
        <w:t xml:space="preserve"> </w:t>
      </w:r>
      <w:r>
        <w:rPr>
          <w:rStyle w:val="OrangeFix"/>
        </w:rPr>
        <w:t xml:space="preserve">the</w:t>
      </w:r>
      <w:r>
        <w:t xml:space="preserve"> </w:t>
      </w:r>
      <w:r>
        <w:t xml:space="preserve">current stage establishes the foundational authorisation mechanisms and CA3 investigates their dynamic validity, security assurance, and comprehensive practical effectiveness.</w:t>
      </w:r>
    </w:p>
    <w:p>
      <w:pPr>
        <w:pStyle w:val="BodyText"/>
      </w:pPr>
      <w:r>
        <w:t xml:space="preserve">The overall trust-oriented authorisation process can therefore be summarised as Trustworthy Access with 1) Identity and Authority Trust, 2) Collective Authorisation, 3) Policy Compliance, 4) Temporal and Lifecycle Trust.</w:t>
      </w:r>
      <w:r>
        <w:t xml:space="preserve"> </w:t>
      </w:r>
      <w:r>
        <w:rPr>
          <w:rStyle w:val="OrangeDelete"/>
        </w:rPr>
        <w:t xml:space="preserve">For the current stage implementation,</w:t>
      </w:r>
      <w:r>
        <w:rPr>
          <w:rStyle w:val="OrangeFix"/>
        </w:rPr>
        <w:t xml:space="preserve">For the current-stage implementation,</w:t>
      </w:r>
      <w:r>
        <w:t xml:space="preserve"> </w:t>
      </w:r>
      <w:r>
        <w:t xml:space="preserve">the operational decision is based on Eq. (6).</w:t>
      </w:r>
    </w:p>
    <w:p>
      <w:pPr>
        <w:pStyle w:val="BodyText"/>
      </w:pPr>
      <w:r>
        <w:t xml:space="preserve">The CA3 extension incorporates temporal and lifecycle conditions, as in Eq. (24).</w:t>
      </w:r>
    </w:p>
    <w:p>
      <w:pPr>
        <w:pStyle w:val="BodyText"/>
      </w:pPr>
      <w: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bookmarkEnd w:id="134"/>
    <w:bookmarkEnd w:id="135"/>
    <w:bookmarkStart w:id="167" w:name="halah-system-and-workflow"/>
    <w:p>
      <w:pPr>
        <w:pStyle w:val="Heading1"/>
      </w:pPr>
      <w:r>
        <w:t xml:space="preserve">7 HALAH System and Workflow</w:t>
      </w:r>
    </w:p>
    <w:p>
      <w:pPr>
        <w:pStyle w:val="FirstParagraph"/>
      </w:pPr>
      <w:r>
        <w:t xml:space="preserve">The HALAH implementation provides a role-based patient consent management environment that operationalises the proposed multi-party healthcare data-sharing framework. The subsystem is organised around four principal actors and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cryptographically activated, continuously checked for validity, and subsequently used to control access to specific electronic medical record (EMR) modules.</w:t>
      </w:r>
    </w:p>
    <w:p>
      <w:pPr>
        <w:pStyle w:val="BodyText"/>
      </w:pPr>
      <w:r>
        <w:t xml:space="preserve">The overall workflow</w:t>
      </w:r>
      <w:r>
        <w:t xml:space="preserve"> </w:t>
      </w:r>
      <w:r>
        <w:rPr>
          <w:rStyle w:val="OrangeDelete"/>
        </w:rPr>
        <w:t xml:space="preserve">implemented by</w:t>
      </w:r>
      <w:r>
        <w:rPr>
          <w:rStyle w:val="OrangeFix"/>
        </w:rPr>
        <w:t xml:space="preserve">of</w:t>
      </w:r>
      <w:r>
        <w:t xml:space="preserve"> </w:t>
      </w:r>
      <w:r>
        <w:t xml:space="preserve">the implementation is therefore consistent with the proposed authorisation model as</w:t>
      </w:r>
    </w:p>
    <w:p>
      <w:pPr>
        <w:pStyle w:val="BodyText"/>
      </w:pPr>
      <m:oMathPara>
        <m:oMathParaPr>
          <m:jc m:val="center"/>
        </m:oMathParaPr>
        <m:oMath>
          <m:m>
            <m:mPr>
              <m:baseJc m:val="center"/>
              <m:plcHide m:val="on"/>
              <m:mcs>
                <m:mc>
                  <m:mcPr>
                    <m:count m:val="1"/>
                    <m:mcJc m:val="left"/>
                  </m:mcPr>
                </m:mc>
              </m:mcs>
            </m:mPr>
            <m:mr>
              <m:e>
                <m:r>
                  <m:rPr>
                    <m:nor/>
                  </m:rPr>
                  <m:t>Create Consent</m:t>
                </m:r>
                <m:r>
                  <m:rPr>
                    <m:sty m:val="p"/>
                  </m:rPr>
                  <m:t>→</m:t>
                </m:r>
                <m:r>
                  <m:rPr>
                    <m:nor/>
                  </m:rPr>
                  <m:t>Guardian Approval</m:t>
                </m:r>
                <m:r>
                  <m:rPr>
                    <m:sty m:val="p"/>
                  </m:rPr>
                  <m:t>→</m:t>
                </m:r>
                <m:r>
                  <m:rPr>
                    <m:nor/>
                  </m:rPr>
                  <m:t>Multi-signature Validation</m:t>
                </m:r>
              </m:e>
            </m:mr>
            <m:mr>
              <m:e>
                <m:r>
                  <m:rPr>
                    <m:sty m:val="p"/>
                  </m:rPr>
                  <m:t>→</m:t>
                </m:r>
                <m:r>
                  <m:rPr>
                    <m:nor/>
                  </m:rPr>
                  <m:t>Consent Activation</m:t>
                </m:r>
                <m:r>
                  <m:rPr>
                    <m:sty m:val="p"/>
                  </m:rPr>
                  <m:t>→</m:t>
                </m:r>
                <m:r>
                  <m:rPr>
                    <m:nor/>
                  </m:rPr>
                  <m:t>Doctor Access</m:t>
                </m:r>
                <m:r>
                  <m:rPr>
                    <m:sty m:val="p"/>
                  </m:rPr>
                  <m:t>→</m:t>
                </m:r>
                <m:r>
                  <m:rPr>
                    <m:nor/>
                  </m:rPr>
                  <m:t>Audit</m:t>
                </m:r>
              </m:e>
            </m:mr>
          </m:m>
        </m:oMath>
      </m:oMathPara>
    </w:p>
    <w:p>
      <w:pPr>
        <w:pStyle w:val="FirstParagraph"/>
      </w:pPr>
      <w:r>
        <w:t xml:space="preserve">This sequence provides an end-to-end demonstration of how the conceptual consent model is translated into an operational healthcare data-sharing process.</w:t>
      </w:r>
    </w:p>
    <w:bookmarkStart w:id="136" w:name="halah-system"/>
    <w:p>
      <w:pPr>
        <w:pStyle w:val="Heading2"/>
      </w:pPr>
      <w:r>
        <w:t xml:space="preserve">7.1 HALAH System</w:t>
      </w:r>
    </w:p>
    <w:p>
      <w:pPr>
        <w:pStyle w:val="FirstParagraph"/>
      </w:pPr>
      <w:r>
        <w:t xml:space="preserve">The main HALAH subsystem presents the system as a</w:t>
      </w:r>
      <w:r>
        <w:t xml:space="preserve"> </w:t>
      </w:r>
      <w:r>
        <w:rPr>
          <w:b/>
          <w:bCs/>
        </w:rPr>
        <w:t xml:space="preserve">Patient Consent Management Platform for History Access by Authorised Healthcare Providers</w:t>
      </w:r>
      <w:r>
        <w:t xml:space="preserve">. The subsystem provides a role-oriented environment in which different participants interact with the same consent lifecycle according to their respective authorisation responsibilities.</w:t>
      </w:r>
    </w:p>
    <w:p>
      <w:pPr>
        <w:pStyle w:val="BodyText"/>
      </w:pPr>
      <w: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and audit recording.</w:t>
      </w:r>
    </w:p>
    <w:p>
      <w:pPr>
        <w:pStyle w:val="BodyText"/>
      </w:pPr>
      <w:r>
        <w:t xml:space="preserve">This design corresponds to the overall HALAH architecture, in which</w:t>
      </w:r>
      <w:r>
        <w:t xml:space="preserve"> </w:t>
      </w:r>
      <w:r>
        <w:rPr>
          <w:b/>
          <w:bCs/>
        </w:rPr>
        <w:t xml:space="preserve">decentralised identifiers (DIDs)</w:t>
      </w:r>
      <w:r>
        <w:t xml:space="preserve"> </w:t>
      </w:r>
      <w:r>
        <w:t xml:space="preserve">provide identity pointers, the consent object defines the authorisation conditions, cryptographic signatures provide evidence of approval, and the blockchain-based ledger provides lifecycle traceability.</w:t>
      </w:r>
    </w:p>
    <w:p>
      <w:pPr>
        <w:pStyle w:val="BodyText"/>
      </w:pPr>
      <w:r>
        <w:t xml:space="preserve">The subsystem therefore serves as the entry point for demonstrating the complete authorisation process rather than functioning merely as a conventional patient-record application.</w:t>
      </w:r>
    </w:p>
    <w:bookmarkEnd w:id="136"/>
    <w:bookmarkStart w:id="140" w:name="X858cfcdf50eeab536ac64fcc0cad8eb3398a81c"/>
    <w:p>
      <w:pPr>
        <w:pStyle w:val="Heading2"/>
      </w:pPr>
      <w:r>
        <w:t xml:space="preserve">7.2 Create Smart Consent Contract: Patient Subsystem</w:t>
      </w:r>
    </w:p>
    <w:p>
      <w:pPr>
        <w:pStyle w:val="FirstParagraph"/>
      </w:pPr>
      <w:r>
        <w:t xml:space="preserve">The first functional subsystem is the</w:t>
      </w:r>
      <w:r>
        <w:t xml:space="preserve"> </w:t>
      </w:r>
      <w:r>
        <w:rPr>
          <w:b/>
          <w:bCs/>
        </w:rPr>
        <w:t xml:space="preserve">Create Smart Consent Contract</w:t>
      </w:r>
      <w:r>
        <w:t xml:space="preserve"> </w:t>
      </w:r>
      <w:r>
        <w:t xml:space="preserve">module. This module represents the patient-side initiation of a consent transaction and corresponds directly to the construction of the proposed consent object.</w:t>
      </w:r>
    </w:p>
    <w:p>
      <w:pPr>
        <w:pStyle w:val="BodyText"/>
      </w:pPr>
      <w:r>
        <w:t xml:space="preserve">The subsystem requires the patient to specify the</w:t>
      </w:r>
      <w:r>
        <w:t xml:space="preserve"> </w:t>
      </w:r>
      <w:r>
        <w:rPr>
          <w:b/>
          <w:bCs/>
        </w:rPr>
        <w:t xml:space="preserve">Patient DID</w:t>
      </w:r>
      <w:r>
        <w:t xml:space="preserve">,</w:t>
      </w:r>
      <w:r>
        <w:t xml:space="preserve"> </w:t>
      </w:r>
      <w:r>
        <w:rPr>
          <w:b/>
          <w:bCs/>
        </w:rPr>
        <w:t xml:space="preserve">Authorised Doctor DID</w:t>
      </w:r>
      <w:r>
        <w:t xml:space="preserve">,</w:t>
      </w:r>
      <w:r>
        <w:t xml:space="preserve"> </w:t>
      </w:r>
      <w:r>
        <w:rPr>
          <w:b/>
          <w:bCs/>
        </w:rPr>
        <w:t xml:space="preserve">Data Access Scope</w:t>
      </w:r>
      <w:r>
        <w:t xml:space="preserve">,</w:t>
      </w:r>
      <w:r>
        <w:t xml:space="preserve"> </w:t>
      </w:r>
      <w:r>
        <w:rPr>
          <w:b/>
          <w:bCs/>
        </w:rPr>
        <w:t xml:space="preserve">Designated Guardian DIDs</w:t>
      </w:r>
      <w:r>
        <w:t xml:space="preserve">, and the</w:t>
      </w:r>
      <w:r>
        <w:t xml:space="preserve"> </w:t>
      </w:r>
      <w:r>
        <w:rPr>
          <w:b/>
          <w:bCs/>
        </w:rPr>
        <w:t xml:space="preserve">temporal validity of the consent</w:t>
      </w:r>
      <w:r>
        <w:t xml:space="preserve">. These fields collectively operationalise the proposed consent representation:</w:t>
      </w:r>
    </w:p>
    <w:p>
      <w:pPr>
        <w:pStyle w:val="BodyText"/>
      </w:pPr>
      <m:oMathPara>
        <m:oMathParaPr>
          <m:jc m:val="center"/>
        </m:oMathParaPr>
        <m:oMath>
          <m:r>
            <m:t>C</m:t>
          </m:r>
          <m:r>
            <m:rPr>
              <m:sty m:val="p"/>
            </m:rPr>
            <m:t>=</m:t>
          </m:r>
          <m:d>
            <m:dPr>
              <m:begChr m:val="("/>
              <m:sepChr m:val=""/>
              <m:endChr m:val=")"/>
              <m:grow/>
            </m:dPr>
            <m:e>
              <m:r>
                <m:t>I</m:t>
              </m:r>
              <m:r>
                <m:rPr>
                  <m:sty m:val="p"/>
                </m:rPr>
                <m:t>,</m:t>
              </m:r>
              <m:r>
                <m:t>A</m:t>
              </m:r>
              <m:r>
                <m:rPr>
                  <m:sty m:val="p"/>
                </m:rPr>
                <m:t>,</m:t>
              </m:r>
              <m:r>
                <m:t>P</m:t>
              </m:r>
              <m:r>
                <m:rPr>
                  <m:sty m:val="p"/>
                </m:rPr>
                <m:t>,</m:t>
              </m:r>
              <m:r>
                <m:t>T</m:t>
              </m:r>
              <m:r>
                <m:rPr>
                  <m:sty m:val="p"/>
                </m:rPr>
                <m:t>,</m:t>
              </m:r>
              <m:r>
                <m:t>L</m:t>
              </m:r>
              <m:r>
                <m:rPr>
                  <m:sty m:val="p"/>
                </m:rPr>
                <m:t>,</m:t>
              </m:r>
              <m:r>
                <m:t>E</m:t>
              </m:r>
            </m:e>
          </m:d>
        </m:oMath>
      </m:oMathPara>
    </w:p>
    <w:p>
      <w:pPr>
        <w:pStyle w:val="FirstParagraph"/>
      </w:pPr>
      <w:r>
        <w:t xml:space="preserve">where the identity of the patient is represented through a DID, the authorised actor is explicitly specified, the permitted data scope is constrained to selected EMR modules, and the temporal fields define when the authorisation becomes valid and when it expires.</w:t>
      </w:r>
    </w:p>
    <w:p>
      <w:pPr>
        <w:pStyle w:val="CaptionedFigure"/>
      </w:pPr>
      <w:r>
        <w:drawing>
          <wp:inline>
            <wp:extent cx="5465445" cy="2746127"/>
            <wp:effectExtent b="0" l="0" r="0" t="0"/>
            <wp:docPr descr="Figure 7.1: HALAH patient subsystem – Create Smart Consent Contract" title="" id="138" name="Picture"/>
            <a:graphic>
              <a:graphicData uri="http://schemas.openxmlformats.org/drawingml/2006/picture">
                <pic:pic>
                  <pic:nvPicPr>
                    <pic:cNvPr descr="halah_media/media/image1.png" id="139" name="Picture"/>
                    <pic:cNvPicPr>
                      <a:picLocks noChangeArrowheads="1" noChangeAspect="1"/>
                    </pic:cNvPicPr>
                  </pic:nvPicPr>
                  <pic:blipFill>
                    <a:blip r:embed="rId137"/>
                    <a:stretch>
                      <a:fillRect/>
                    </a:stretch>
                  </pic:blipFill>
                  <pic:spPr bwMode="auto">
                    <a:xfrm>
                      <a:off x="0" y="0"/>
                      <a:ext cx="5465445" cy="2746127"/>
                    </a:xfrm>
                    <a:prstGeom prst="rect">
                      <a:avLst/>
                    </a:prstGeom>
                    <a:noFill/>
                    <a:ln w="9525">
                      <a:noFill/>
                      <a:headEnd/>
                      <a:tailEnd/>
                    </a:ln>
                  </pic:spPr>
                </pic:pic>
              </a:graphicData>
            </a:graphic>
          </wp:inline>
        </w:drawing>
      </w:r>
    </w:p>
    <w:p>
      <w:pPr>
        <w:pStyle w:val="ImageCaption"/>
      </w:pPr>
      <w:r>
        <w:t xml:space="preserve">Figure 7.1: HALAH patient subsystem – Create Smart Consent Contract</w:t>
      </w:r>
    </w:p>
    <w:p>
      <w:pPr>
        <w:pStyle w:val="BodyText"/>
      </w:pPr>
      <w:r>
        <w:t xml:space="preserve">As shown in the figure above, the</w:t>
      </w:r>
      <w:r>
        <w:t xml:space="preserve"> </w:t>
      </w:r>
      <w:r>
        <w:rPr>
          <w:b/>
          <w:bCs/>
        </w:rPr>
        <w:t xml:space="preserve">Patient DID</w:t>
      </w:r>
      <w:r>
        <w:t xml:space="preserve"> </w:t>
      </w:r>
      <w:r>
        <w:t xml:space="preserve">provides the identity pointer for the data subject, while the</w:t>
      </w:r>
      <w:r>
        <w:t xml:space="preserve"> </w:t>
      </w:r>
      <w:r>
        <w:rPr>
          <w:b/>
          <w:bCs/>
        </w:rPr>
        <w:t xml:space="preserve">Authorised Doctor DID</w:t>
      </w:r>
      <w:r>
        <w:t xml:space="preserve"> </w:t>
      </w:r>
      <w:r>
        <w:t xml:space="preserve">limits the intended healthcare recipient. This is important because the implementation does not implement consent as a general permission to access a patient's medical information. Instead, the authorisation is bound to a specific identity and therefore supports</w:t>
      </w:r>
      <w:r>
        <w:t xml:space="preserve"> </w:t>
      </w:r>
      <w:r>
        <w:rPr>
          <w:b/>
          <w:bCs/>
        </w:rPr>
        <w:t xml:space="preserve">subject-specific and actor-specific access control</w:t>
      </w:r>
      <w:r>
        <w:t xml:space="preserve">.</w:t>
      </w:r>
    </w:p>
    <w:p>
      <w:pPr>
        <w:pStyle w:val="BodyText"/>
      </w:pPr>
      <w:r>
        <w:t xml:space="preserve">The</w:t>
      </w:r>
      <w:r>
        <w:t xml:space="preserve"> </w:t>
      </w:r>
      <w:r>
        <w:rPr>
          <w:b/>
          <w:bCs/>
        </w:rPr>
        <w:t xml:space="preserve">Data Access Scope</w:t>
      </w:r>
      <w:r>
        <w:t xml:space="preserve"> </w:t>
      </w:r>
      <w:r>
        <w:t xml:space="preserve">is particularly important to the proposed framework. Instead of granting access to the complete EMR, the patient can select particular modules, such as medication or procedure information. This implements the principle of</w:t>
      </w:r>
      <w:r>
        <w:t xml:space="preserve"> </w:t>
      </w:r>
      <w:r>
        <w:rPr>
          <w:b/>
          <w:bCs/>
        </w:rPr>
        <w:t xml:space="preserve">purpose- and scope-limited consent</w:t>
      </w:r>
      <w:r>
        <w:t xml:space="preserve"> </w:t>
      </w:r>
      <w:r>
        <w:t xml:space="preserve">and corresponds to the</w:t>
      </w:r>
      <w:r>
        <w:t xml:space="preserve"> </w:t>
      </w:r>
      <m:oMath>
        <m:r>
          <m:t>P</m:t>
        </m:r>
      </m:oMath>
      <w:r>
        <w:t xml:space="preserve"> </w:t>
      </w:r>
      <w:r>
        <w:t xml:space="preserve">component of the consent object.</w:t>
      </w:r>
    </w:p>
    <w:p>
      <w:pPr>
        <w:pStyle w:val="BodyText"/>
      </w:pPr>
      <w:r>
        <w:t xml:space="preserve">The</w:t>
      </w:r>
      <w:r>
        <w:t xml:space="preserve"> </w:t>
      </w:r>
      <w:r>
        <w:rPr>
          <w:b/>
          <w:bCs/>
        </w:rPr>
        <w:t xml:space="preserve">Designated Guardian DIDs</w:t>
      </w:r>
      <w:r>
        <w:t xml:space="preserve"> </w:t>
      </w:r>
      <w:r>
        <w:t xml:space="preserve">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pStyle w:val="BodyText"/>
      </w:pPr>
      <w:r>
        <w:t xml:space="preserve">Finally, the</w:t>
      </w:r>
      <w:r>
        <w:t xml:space="preserve"> </w:t>
      </w:r>
      <w:r>
        <w:rPr>
          <w:b/>
          <w:bCs/>
        </w:rPr>
        <w:t xml:space="preserve">Start Time</w:t>
      </w:r>
      <w:r>
        <w:t xml:space="preserve"> </w:t>
      </w:r>
      <w:r>
        <w:t xml:space="preserve">and</w:t>
      </w:r>
      <w:r>
        <w:t xml:space="preserve"> </w:t>
      </w:r>
      <w:r>
        <w:rPr>
          <w:b/>
          <w:bCs/>
        </w:rPr>
        <w:t xml:space="preserve">Expiry Time</w:t>
      </w:r>
      <w:r>
        <w:t xml:space="preserve"> </w:t>
      </w:r>
      <w:r>
        <w:t xml:space="preserve">implement temporal constraints on the consent. Consequently, authorisation is not represented as a permanent permission. Instead, the consent has a defined lifecycle and can subsequently be evaluated by the Consent Engine according to its temporal validity.</w:t>
      </w:r>
    </w:p>
    <w:p>
      <w:pPr>
        <w:pStyle w:val="BodyText"/>
      </w:pPr>
      <w:r>
        <w:t xml:space="preserve">From a system perspective, this module therefore corresponds primarily to</w:t>
      </w:r>
      <w:r>
        <w:t xml:space="preserve"> </w:t>
      </w:r>
      <w:r>
        <w:rPr>
          <w:b/>
          <w:bCs/>
        </w:rPr>
        <w:t xml:space="preserve">Consent Object Construction and Patient Initiation</w:t>
      </w:r>
      <w:r>
        <w:t xml:space="preserve">.</w:t>
      </w:r>
    </w:p>
    <w:bookmarkEnd w:id="140"/>
    <w:bookmarkStart w:id="144" w:name="guardian-cryptographic-approval"/>
    <w:p>
      <w:pPr>
        <w:pStyle w:val="Heading2"/>
      </w:pPr>
      <w:r>
        <w:t xml:space="preserve">7.3 Guardian Cryptographic Approval</w:t>
      </w:r>
    </w:p>
    <w:p>
      <w:pPr>
        <w:pStyle w:val="FirstParagraph"/>
      </w:pPr>
      <w:r>
        <w:t xml:space="preserve">The second part is the</w:t>
      </w:r>
      <w:r>
        <w:t xml:space="preserve"> </w:t>
      </w:r>
      <w:r>
        <w:rPr>
          <w:b/>
          <w:bCs/>
        </w:rPr>
        <w:t xml:space="preserve">Guardian Cryptographic Approval</w:t>
      </w:r>
      <w:r>
        <w:t xml:space="preserve">. As shown in the figure below,</w:t>
      </w:r>
      <w:r>
        <w:t xml:space="preserve"> </w:t>
      </w:r>
      <w:r>
        <w:rPr>
          <w:rStyle w:val="OrangeFix"/>
        </w:rPr>
        <w:t xml:space="preserve">it</w:t>
      </w:r>
      <w:r>
        <w:t xml:space="preserve"> </w:t>
      </w:r>
      <w:r>
        <w:t xml:space="preserve">operationalises the multi-party authorisation component of the proposed framework.</w:t>
      </w:r>
    </w:p>
    <w:p>
      <w:pPr>
        <w:pStyle w:val="CaptionedFigure"/>
      </w:pPr>
      <w:r>
        <w:drawing>
          <wp:inline>
            <wp:extent cx="5465445" cy="2225799"/>
            <wp:effectExtent b="0" l="0" r="0" t="0"/>
            <wp:docPr descr="Figure 7.2: HALAH guardian subsystem – Guardian Cryptographic Approval" title="" id="142" name="Picture"/>
            <a:graphic>
              <a:graphicData uri="http://schemas.openxmlformats.org/drawingml/2006/picture">
                <pic:pic>
                  <pic:nvPicPr>
                    <pic:cNvPr descr="halah_media/media/image2.png" id="143" name="Picture"/>
                    <pic:cNvPicPr>
                      <a:picLocks noChangeArrowheads="1" noChangeAspect="1"/>
                    </pic:cNvPicPr>
                  </pic:nvPicPr>
                  <pic:blipFill>
                    <a:blip r:embed="rId141"/>
                    <a:stretch>
                      <a:fillRect/>
                    </a:stretch>
                  </pic:blipFill>
                  <pic:spPr bwMode="auto">
                    <a:xfrm>
                      <a:off x="0" y="0"/>
                      <a:ext cx="5465445" cy="2225799"/>
                    </a:xfrm>
                    <a:prstGeom prst="rect">
                      <a:avLst/>
                    </a:prstGeom>
                    <a:noFill/>
                    <a:ln w="9525">
                      <a:noFill/>
                      <a:headEnd/>
                      <a:tailEnd/>
                    </a:ln>
                  </pic:spPr>
                </pic:pic>
              </a:graphicData>
            </a:graphic>
          </wp:inline>
        </w:drawing>
      </w:r>
    </w:p>
    <w:p>
      <w:pPr>
        <w:pStyle w:val="ImageCaption"/>
      </w:pPr>
      <w:r>
        <w:t xml:space="preserve">Figure 7.2: HALAH guardian subsystem – Guardian Cryptographic Approval</w:t>
      </w:r>
    </w:p>
    <w:p>
      <w:pPr>
        <w:pStyle w:val="BodyText"/>
      </w:pPr>
      <w:r>
        <w:t xml:space="preserve">The guardian first enters the target</w:t>
      </w:r>
      <w:r>
        <w:t xml:space="preserve"> </w:t>
      </w:r>
      <w:r>
        <w:rPr>
          <w:b/>
          <w:bCs/>
        </w:rPr>
        <w:t xml:space="preserve">Consent ID</w:t>
      </w:r>
      <w:r>
        <w:t xml:space="preserve">, after which the system retrieves the corresponding active transaction and displays the associated patient DID. The guardian then selects and verifies their own Guardian DID identity.</w:t>
      </w:r>
    </w:p>
    <w:p>
      <w:pPr>
        <w:pStyle w:val="BodyText"/>
      </w:pPr>
      <w:r>
        <w:t xml:space="preserve">The subsystem subsequently reports:</w:t>
      </w:r>
    </w:p>
    <w:p>
      <w:pPr>
        <w:pStyle w:val="BodyText"/>
      </w:pPr>
      <w:r>
        <w:t xml:space="preserve">Identity verified. Multi-sig added: (2/2)</w:t>
      </w:r>
    </w:p>
    <w:p>
      <w:pPr>
        <w:pStyle w:val="BodyText"/>
      </w:pPr>
      <w:r>
        <w:t xml:space="preserve">This is an important implementation-level demonstration because the consent is not activated merely because the patient created it. Instead, the system requires the predefined guardian approval condition to be satisfied.</w:t>
      </w:r>
    </w:p>
    <w:p>
      <w:pPr>
        <w:pStyle w:val="BodyText"/>
      </w:pPr>
      <w:r>
        <w:t xml:space="preserve">The implementation therefore implements the logical authorisation rule:</w:t>
      </w:r>
    </w:p>
    <w:p>
      <w:pPr>
        <w:pStyle w:val="BodyText"/>
      </w:pPr>
      <m:oMathPara>
        <m:oMathParaPr>
          <m:jc m:val="center"/>
        </m:oMathParaPr>
        <m:oMath>
          <m:r>
            <m:t>D</m:t>
          </m:r>
          <m:r>
            <m:t>e</m:t>
          </m:r>
          <m:r>
            <m:t>c</m:t>
          </m:r>
          <m:r>
            <m:t>i</m:t>
          </m:r>
          <m:r>
            <m:t>s</m:t>
          </m:r>
          <m:r>
            <m:t>i</m:t>
          </m:r>
          <m:r>
            <m:t>o</m:t>
          </m:r>
          <m:r>
            <m:t>n</m:t>
          </m:r>
          <m:r>
            <m:rPr>
              <m:sty m:val="p"/>
            </m:rPr>
            <m:t>=</m:t>
          </m:r>
          <m:sSub>
            <m:e>
              <m:r>
                <m:t>V</m:t>
              </m:r>
            </m:e>
            <m:sub>
              <m:r>
                <m:t>I</m:t>
              </m:r>
            </m:sub>
          </m:sSub>
          <m:r>
            <m:rPr>
              <m:sty m:val="p"/>
            </m:rPr>
            <m:t>∧</m:t>
          </m:r>
          <m:sSub>
            <m:e>
              <m:r>
                <m:t>V</m:t>
              </m:r>
            </m:e>
            <m:sub>
              <m:r>
                <m:t>A</m:t>
              </m:r>
            </m:sub>
          </m:sSub>
          <m:r>
            <m:rPr>
              <m:sty m:val="p"/>
            </m:rPr>
            <m:t>∧</m:t>
          </m:r>
          <m:sSub>
            <m:e>
              <m:r>
                <m:t>V</m:t>
              </m:r>
            </m:e>
            <m:sub>
              <m:r>
                <m:t>P</m:t>
              </m:r>
            </m:sub>
          </m:sSub>
        </m:oMath>
      </m:oMathPara>
    </w:p>
    <w:p>
      <w:pPr>
        <w:pStyle w:val="FirstParagraph"/>
      </w:pPr>
      <w:r>
        <w:t xml:space="preserve">where identity verification, authorisation verification, and permission/scope verification must all be satisfied before access can be granted.</w:t>
      </w:r>
    </w:p>
    <w:p>
      <w:pPr>
        <w:pStyle w:val="BodyText"/>
      </w:pPr>
      <w:r>
        <w:t xml:space="preserve">For the demonstrated two-party guardian configuration, the approval process can also be represented as:</w:t>
      </w:r>
    </w:p>
    <w:p>
      <w:pPr>
        <w:pStyle w:val="BodyText"/>
      </w:pPr>
      <m:oMathPara>
        <m:oMathParaPr>
          <m:jc m:val="center"/>
        </m:oMathParaPr>
        <m:oMath>
          <m:nary>
            <m:naryPr>
              <m:chr m:val="∑"/>
              <m:limLoc m:val="undOvr"/>
              <m:subHide m:val="off"/>
              <m:supHide m:val="on"/>
            </m:naryPr>
            <m:sub>
              <m:r>
                <m:t>g</m:t>
              </m:r>
              <m:r>
                <m:rPr>
                  <m:sty m:val="p"/>
                </m:rPr>
                <m:t>∈</m:t>
              </m:r>
              <m:r>
                <m:t>G</m:t>
              </m:r>
            </m:sub>
            <m:sup>
              <m:r>
                <m:t>​</m:t>
              </m:r>
            </m:sup>
            <m:e>
              <m:r>
                <m:t>S</m:t>
              </m:r>
            </m:e>
          </m:nary>
          <m:r>
            <m:t>i</m:t>
          </m:r>
          <m:r>
            <m:t>g</m:t>
          </m:r>
          <m:r>
            <m:t>n</m:t>
          </m:r>
          <m:d>
            <m:dPr>
              <m:begChr m:val="("/>
              <m:sepChr m:val=""/>
              <m:endChr m:val=")"/>
              <m:grow/>
            </m:dPr>
            <m:e>
              <m:r>
                <m:t>g</m:t>
              </m:r>
              <m:r>
                <m:rPr>
                  <m:sty m:val="p"/>
                </m:rPr>
                <m:t>,</m:t>
              </m:r>
              <m:r>
                <m:t>C</m:t>
              </m:r>
            </m:e>
          </m:d>
          <m:r>
            <m:rPr>
              <m:sty m:val="p"/>
            </m:rPr>
            <m:t>≥</m:t>
          </m:r>
          <m:r>
            <m:t>2</m:t>
          </m:r>
        </m:oMath>
      </m:oMathPara>
    </w:p>
    <w:p>
      <w:pPr>
        <w:pStyle w:val="FirstParagraph"/>
      </w:pPr>
      <w:r>
        <w:t xml:space="preserve">where</w:t>
      </w:r>
      <w:r>
        <w:t xml:space="preserve"> </w:t>
      </w:r>
      <m:oMath>
        <m:r>
          <m:t>G</m:t>
        </m:r>
      </m:oMath>
      <w:r>
        <w:t xml:space="preserve"> </w:t>
      </w:r>
      <w:r>
        <w:t xml:space="preserve">represents the designated guardians and two valid signatures are required for activation. Once the required signatures have been obtained, the subsystem displays</w:t>
      </w:r>
      <w:r>
        <w:t xml:space="preserve"> </w:t>
      </w:r>
      <w:r>
        <w:rPr>
          <w:b/>
          <w:bCs/>
        </w:rPr>
        <w:t xml:space="preserve">SBT MINTED SUCCESS</w:t>
      </w:r>
      <w:r>
        <w:t xml:space="preserve"> </w:t>
      </w:r>
      <w:r>
        <w:t xml:space="preserve">together with the Soulbound Token identifier and the status as Consent Fully Activated. This provides a visible representation of the transition from a</w:t>
      </w:r>
      <w:r>
        <w:t xml:space="preserve"> </w:t>
      </w:r>
      <w:r>
        <w:rPr>
          <w:b/>
          <w:bCs/>
        </w:rPr>
        <w:t xml:space="preserve">pending consent transaction</w:t>
      </w:r>
      <w:r>
        <w:t xml:space="preserve"> </w:t>
      </w:r>
      <w:r>
        <w:t xml:space="preserve">to an</w:t>
      </w:r>
      <w:r>
        <w:t xml:space="preserve"> </w:t>
      </w:r>
      <w:r>
        <w:rPr>
          <w:b/>
          <w:bCs/>
        </w:rPr>
        <w:t xml:space="preserve">activated consent state</w:t>
      </w:r>
      <w:r>
        <w:t xml:space="preserve">. The SBT therefore functions in the implementation as a persistent cryptographic representation of the completed consent authorisation rather than as a transferable asset.</w:t>
      </w:r>
    </w:p>
    <w:p>
      <w:pPr>
        <w:pStyle w:val="BodyText"/>
      </w:pPr>
      <w:r>
        <w:t xml:space="preserve">The guardian subsystem consequently corresponds to</w:t>
      </w:r>
      <w:r>
        <w:t xml:space="preserve"> </w:t>
      </w:r>
      <w:r>
        <w:rPr>
          <w:b/>
          <w:bCs/>
        </w:rPr>
        <w:t xml:space="preserve">Multi-Party Approval, Cryptographic Verification and Consent Activation</w:t>
      </w:r>
      <w:r>
        <w:t xml:space="preserve"> </w:t>
      </w:r>
      <w:r>
        <w:t xml:space="preserve">in the proposed architecture.</w:t>
      </w:r>
    </w:p>
    <w:bookmarkEnd w:id="144"/>
    <w:bookmarkStart w:id="151" w:name="secure-patient-data-access-for-doctor"/>
    <w:p>
      <w:pPr>
        <w:pStyle w:val="Heading2"/>
      </w:pPr>
      <w:r>
        <w:t xml:space="preserve">7.4 Secure Patient Data Access for Doctor</w:t>
      </w:r>
    </w:p>
    <w:p>
      <w:pPr>
        <w:pStyle w:val="FirstParagraph"/>
      </w:pPr>
      <w:r>
        <w:t xml:space="preserve">The third module is the</w:t>
      </w:r>
      <w:r>
        <w:t xml:space="preserve"> </w:t>
      </w:r>
      <w:r>
        <w:rPr>
          <w:b/>
          <w:bCs/>
        </w:rPr>
        <w:t xml:space="preserve">Secure Patient Data Access</w:t>
      </w:r>
      <w:r>
        <w:t xml:space="preserve"> </w:t>
      </w:r>
      <w:r>
        <w:t xml:space="preserve">module and represents the healthcare-provider side of the authorisation process.</w:t>
      </w:r>
    </w:p>
    <w:p>
      <w:pPr>
        <w:pStyle w:val="BodyText"/>
      </w:pPr>
      <w:r>
        <w:t xml:space="preserve">The doctor enters an authorised Consent ID, after which the system retrieves and displays the associated consent information. The subsystem shows the patient DID, Consent ID, purpose, and current consent state:</w:t>
      </w:r>
    </w:p>
    <w:p>
      <w:pPr>
        <w:pStyle w:val="BodyText"/>
      </w:pPr>
      <m:oMathPara>
        <m:oMathParaPr>
          <m:jc m:val="center"/>
        </m:oMathParaPr>
        <m:oMath>
          <m:r>
            <m:t>S</m:t>
          </m:r>
          <m:r>
            <m:t>t</m:t>
          </m:r>
          <m:r>
            <m:t>a</m:t>
          </m:r>
          <m:r>
            <m:t>t</m:t>
          </m:r>
          <m:r>
            <m:t>e</m:t>
          </m:r>
          <m:r>
            <m:rPr>
              <m:sty m:val="p"/>
            </m:rPr>
            <m:t>=</m:t>
          </m:r>
          <m:r>
            <m:t>A</m:t>
          </m:r>
          <m:r>
            <m:t>C</m:t>
          </m:r>
          <m:r>
            <m:t>T</m:t>
          </m:r>
          <m:r>
            <m:t>I</m:t>
          </m:r>
          <m:r>
            <m:t>V</m:t>
          </m:r>
          <m:r>
            <m:t>E</m:t>
          </m:r>
        </m:oMath>
      </m:oMathPara>
    </w:p>
    <w:p>
      <w:pPr>
        <w:pStyle w:val="FirstParagraph"/>
      </w:pPr>
      <w:r>
        <w:t xml:space="preserve">This is important because the doctor does not directly access patient data based solely on possession of a Consent ID. The system first evaluates whether the underlying authorisation remains valid.</w:t>
      </w:r>
    </w:p>
    <w:p>
      <w:pPr>
        <w:pStyle w:val="CaptionedFigure"/>
      </w:pPr>
      <w:r>
        <w:drawing>
          <wp:inline>
            <wp:extent cx="5465445" cy="3388081"/>
            <wp:effectExtent b="0" l="0" r="0" t="0"/>
            <wp:docPr descr="Figure 7.3: HALAH doctor subsystem – consent information, state and authorised data scope" title="" id="146" name="Picture"/>
            <a:graphic>
              <a:graphicData uri="http://schemas.openxmlformats.org/drawingml/2006/picture">
                <pic:pic>
                  <pic:nvPicPr>
                    <pic:cNvPr descr="halah_media/media/image3.png" id="147" name="Picture"/>
                    <pic:cNvPicPr>
                      <a:picLocks noChangeArrowheads="1" noChangeAspect="1"/>
                    </pic:cNvPicPr>
                  </pic:nvPicPr>
                  <pic:blipFill>
                    <a:blip r:embed="rId145"/>
                    <a:stretch>
                      <a:fillRect/>
                    </a:stretch>
                  </pic:blipFill>
                  <pic:spPr bwMode="auto">
                    <a:xfrm>
                      <a:off x="0" y="0"/>
                      <a:ext cx="5465445" cy="3388081"/>
                    </a:xfrm>
                    <a:prstGeom prst="rect">
                      <a:avLst/>
                    </a:prstGeom>
                    <a:noFill/>
                    <a:ln w="9525">
                      <a:noFill/>
                      <a:headEnd/>
                      <a:tailEnd/>
                    </a:ln>
                  </pic:spPr>
                </pic:pic>
              </a:graphicData>
            </a:graphic>
          </wp:inline>
        </w:drawing>
      </w:r>
    </w:p>
    <w:p>
      <w:pPr>
        <w:pStyle w:val="ImageCaption"/>
      </w:pPr>
      <w:r>
        <w:t xml:space="preserve">Figure 7.3: HALAH doctor subsystem – consent information, state and authorised data scope</w:t>
      </w:r>
    </w:p>
    <w:p>
      <w:pPr>
        <w:pStyle w:val="BodyText"/>
      </w:pPr>
      <w:r>
        <w:t xml:space="preserve">The subsystem then presents the</w:t>
      </w:r>
      <w:r>
        <w:t xml:space="preserve"> </w:t>
      </w:r>
      <w:r>
        <w:rPr>
          <w:b/>
          <w:bCs/>
        </w:rPr>
        <w:t xml:space="preserve">Authorised Data Scope</w:t>
      </w:r>
      <w:r>
        <w:t xml:space="preserve">, showing that only the EMR modules specified in the original consent are available. In the demonstrated transaction, the authorised modules are:</w:t>
      </w:r>
    </w:p>
    <w:p>
      <w:pPr>
        <w:pStyle w:val="BodyText"/>
      </w:pPr>
      <m:oMathPara>
        <m:oMathParaPr>
          <m:jc m:val="center"/>
        </m:oMathParaPr>
        <m:oMath>
          <m:r>
            <m:t>S</m:t>
          </m:r>
          <m:r>
            <m:t>c</m:t>
          </m:r>
          <m:r>
            <m:t>o</m:t>
          </m:r>
          <m:r>
            <m:t>p</m:t>
          </m:r>
          <m:r>
            <m:t>e</m:t>
          </m:r>
          <m:r>
            <m:rPr>
              <m:sty m:val="p"/>
            </m:rPr>
            <m:t>=</m:t>
          </m:r>
          <m:d>
            <m:dPr>
              <m:begChr m:val="{"/>
              <m:sepChr m:val=""/>
              <m:endChr m:val="}"/>
              <m:grow/>
            </m:dPr>
            <m:e>
              <m:r>
                <m:rPr>
                  <m:nor/>
                </m:rPr>
                <m:t>Medication</m:t>
              </m:r>
              <m:r>
                <m:rPr>
                  <m:sty m:val="p"/>
                </m:rPr>
                <m:t>,</m:t>
              </m:r>
              <m:r>
                <m:rPr>
                  <m:nor/>
                </m:rPr>
                <m:t>Procedure</m:t>
              </m:r>
            </m:e>
          </m:d>
        </m:oMath>
      </m:oMathPara>
    </w:p>
    <w:p>
      <w:pPr>
        <w:pStyle w:val="FirstParagraph"/>
      </w:pPr>
      <w:r>
        <w:t xml:space="preserve">The doctor must subsequently select the modules to request. The system displays the requested modules and performs cryptographic verification before granting access.</w:t>
      </w:r>
    </w:p>
    <w:p>
      <w:pPr>
        <w:pStyle w:val="BodyText"/>
      </w:pPr>
      <w:r>
        <w:t xml:space="preserve">The message shows Cryptographic Verification Successful — Access Granted.</w:t>
      </w:r>
    </w:p>
    <w:p>
      <w:pPr>
        <w:pStyle w:val="BodyText"/>
      </w:pPr>
      <w:r>
        <w:rPr>
          <w:rStyle w:val="OrangeFix"/>
        </w:rPr>
        <w:t xml:space="preserve">This</w:t>
      </w:r>
      <w:r>
        <w:t xml:space="preserve"> </w:t>
      </w:r>
      <w:r>
        <w:t xml:space="preserve">demonstrates the transition from</w:t>
      </w:r>
      <w:r>
        <w:t xml:space="preserve"> </w:t>
      </w:r>
      <w:r>
        <w:rPr>
          <w:b/>
          <w:bCs/>
        </w:rPr>
        <w:t xml:space="preserve">consent verification</w:t>
      </w:r>
      <w:r>
        <w:t xml:space="preserve"> </w:t>
      </w:r>
      <w:r>
        <w:t xml:space="preserve">to</w:t>
      </w:r>
      <w:r>
        <w:t xml:space="preserve"> </w:t>
      </w:r>
      <w:r>
        <w:rPr>
          <w:b/>
          <w:bCs/>
        </w:rPr>
        <w:t xml:space="preserve">data-access authorisation</w:t>
      </w:r>
      <w:r>
        <w:t xml:space="preserve">.</w:t>
      </w:r>
    </w:p>
    <w:p>
      <w:pPr>
        <w:pStyle w:val="CaptionedFigure"/>
      </w:pPr>
      <w:r>
        <w:drawing>
          <wp:inline>
            <wp:extent cx="5465445" cy="3048937"/>
            <wp:effectExtent b="0" l="0" r="0" t="0"/>
            <wp:docPr descr="Figure 7.4: HALAH doctor subsystem – requested modules, access decision and authorised medical records" title="" id="149" name="Picture"/>
            <a:graphic>
              <a:graphicData uri="http://schemas.openxmlformats.org/drawingml/2006/picture">
                <pic:pic>
                  <pic:nvPicPr>
                    <pic:cNvPr descr="halah_media/media/image4.png" id="150" name="Picture"/>
                    <pic:cNvPicPr>
                      <a:picLocks noChangeArrowheads="1" noChangeAspect="1"/>
                    </pic:cNvPicPr>
                  </pic:nvPicPr>
                  <pic:blipFill>
                    <a:blip r:embed="rId148"/>
                    <a:stretch>
                      <a:fillRect/>
                    </a:stretch>
                  </pic:blipFill>
                  <pic:spPr bwMode="auto">
                    <a:xfrm>
                      <a:off x="0" y="0"/>
                      <a:ext cx="5465445" cy="3048937"/>
                    </a:xfrm>
                    <a:prstGeom prst="rect">
                      <a:avLst/>
                    </a:prstGeom>
                    <a:noFill/>
                    <a:ln w="9525">
                      <a:noFill/>
                      <a:headEnd/>
                      <a:tailEnd/>
                    </a:ln>
                  </pic:spPr>
                </pic:pic>
              </a:graphicData>
            </a:graphic>
          </wp:inline>
        </w:drawing>
      </w:r>
    </w:p>
    <w:p>
      <w:pPr>
        <w:pStyle w:val="ImageCaption"/>
      </w:pPr>
      <w:r>
        <w:t xml:space="preserve">Figure 7.4: HALAH doctor subsystem – requested modules, access decision and authorised medical records</w:t>
      </w:r>
    </w:p>
    <w:p>
      <w:pPr>
        <w:pStyle w:val="BodyText"/>
      </w:pPr>
      <w:r>
        <w:t xml:space="preserve">This distinction is central to the HALAH design. Consent and data access are not treated as identical events. Instead,</w:t>
      </w:r>
      <w:r>
        <w:t xml:space="preserve"> </w:t>
      </w:r>
      <w:r>
        <w:rPr>
          <w:rStyle w:val="OrangeDelete"/>
        </w:rPr>
        <w:t xml:space="preserve">it goes the flow</w:t>
      </w:r>
      <w:r>
        <w:rPr>
          <w:rStyle w:val="OrangeFix"/>
        </w:rPr>
        <w:t xml:space="preserve">the flow goes</w:t>
      </w:r>
      <w:r>
        <w:t xml:space="preserve"> </w:t>
      </w:r>
      <w:r>
        <w:t xml:space="preserve">as below</w:t>
      </w:r>
    </w:p>
    <w:p>
      <w:pPr>
        <w:pStyle w:val="BodyText"/>
      </w:pPr>
      <m:oMathPara>
        <m:oMathParaPr>
          <m:jc m:val="center"/>
        </m:oMathParaPr>
        <m:oMath>
          <m:r>
            <m:t>C</m:t>
          </m:r>
          <m:r>
            <m:t>o</m:t>
          </m:r>
          <m:r>
            <m:t>n</m:t>
          </m:r>
          <m:r>
            <m:t>s</m:t>
          </m:r>
          <m:r>
            <m:t>e</m:t>
          </m:r>
          <m:r>
            <m:t>n</m:t>
          </m:r>
          <m:r>
            <m:t>t</m:t>
          </m:r>
          <m:r>
            <m:rPr>
              <m:sty m:val="p"/>
            </m:rPr>
            <m:t>→</m:t>
          </m:r>
          <m:r>
            <m:t>V</m:t>
          </m:r>
          <m:r>
            <m:t>e</m:t>
          </m:r>
          <m:r>
            <m:t>r</m:t>
          </m:r>
          <m:r>
            <m:t>i</m:t>
          </m:r>
          <m:r>
            <m:t>f</m:t>
          </m:r>
          <m:r>
            <m:t>i</m:t>
          </m:r>
          <m:r>
            <m:t>c</m:t>
          </m:r>
          <m:r>
            <m:t>a</m:t>
          </m:r>
          <m:r>
            <m:t>t</m:t>
          </m:r>
          <m:r>
            <m:t>i</m:t>
          </m:r>
          <m:r>
            <m:t>o</m:t>
          </m:r>
          <m:r>
            <m:t>n</m:t>
          </m:r>
          <m:r>
            <m:rPr>
              <m:sty m:val="p"/>
            </m:rPr>
            <m:t>→</m:t>
          </m:r>
          <m:r>
            <m:t>A</m:t>
          </m:r>
          <m:r>
            <m:t>c</m:t>
          </m:r>
          <m:r>
            <m:t>c</m:t>
          </m:r>
          <m:r>
            <m:t>e</m:t>
          </m:r>
          <m:r>
            <m:t>s</m:t>
          </m:r>
          <m:r>
            <m:t>s</m:t>
          </m:r>
          <m:r>
            <m:t>D</m:t>
          </m:r>
          <m:r>
            <m:t>e</m:t>
          </m:r>
          <m:r>
            <m:t>c</m:t>
          </m:r>
          <m:r>
            <m:t>i</m:t>
          </m:r>
          <m:r>
            <m:t>s</m:t>
          </m:r>
          <m:r>
            <m:t>i</m:t>
          </m:r>
          <m:r>
            <m:t>o</m:t>
          </m:r>
          <m:r>
            <m:t>n</m:t>
          </m:r>
        </m:oMath>
      </m:oMathPara>
    </w:p>
    <w:p>
      <w:pPr>
        <w:pStyle w:val="FirstParagraph"/>
      </w:pPr>
      <w:r>
        <w:t xml:space="preserve">The doctor is therefore authorised only when the requested resources are consistent with the consent object and the consent remains active.</w:t>
      </w:r>
    </w:p>
    <w:p>
      <w:pPr>
        <w:pStyle w:val="BodyText"/>
      </w:pPr>
      <w:r>
        <w:t xml:space="preserve">The final</w:t>
      </w:r>
      <w:r>
        <w:t xml:space="preserve"> </w:t>
      </w:r>
      <w:r>
        <w:rPr>
          <w:b/>
          <w:bCs/>
        </w:rPr>
        <w:t xml:space="preserve">Authorised Medical Records</w:t>
      </w:r>
      <w:r>
        <w:t xml:space="preserve"> </w:t>
      </w:r>
      <w:r>
        <w:t xml:space="preserve">section presents the actual data modules available to the doctor. Because the subsystem separates MEDICATION and PROCEDURE modules, it provides a direct visual demonstration of</w:t>
      </w:r>
      <w:r>
        <w:t xml:space="preserve"> </w:t>
      </w:r>
      <w:r>
        <w:rPr>
          <w:b/>
          <w:bCs/>
        </w:rPr>
        <w:t xml:space="preserve">fine-grained EMR access control</w:t>
      </w:r>
      <w:r>
        <w:t xml:space="preserve">.</w:t>
      </w:r>
    </w:p>
    <w:p>
      <w:pPr>
        <w:pStyle w:val="BodyText"/>
      </w:pPr>
      <w:r>
        <w:t xml:space="preserve">Thus, the doctor subsystem corresponds to</w:t>
      </w:r>
      <w:r>
        <w:t xml:space="preserve"> </w:t>
      </w:r>
      <w:r>
        <w:rPr>
          <w:b/>
          <w:bCs/>
        </w:rPr>
        <w:t xml:space="preserve">Consent-State Validation, Scope Enforcement and Authorised Data Access</w:t>
      </w:r>
      <w:r>
        <w:t xml:space="preserve">.</w:t>
      </w:r>
    </w:p>
    <w:bookmarkEnd w:id="151"/>
    <w:bookmarkStart w:id="155" w:name="X57c96dacccf675fd0ab00cb69daa4402dc4878a"/>
    <w:p>
      <w:pPr>
        <w:pStyle w:val="Heading2"/>
      </w:pPr>
      <w:r>
        <w:t xml:space="preserve">7.5 Blockchain Audit &amp; Consent Lifecycle for Auditor</w:t>
      </w:r>
    </w:p>
    <w:p>
      <w:pPr>
        <w:pStyle w:val="FirstParagraph"/>
      </w:pPr>
      <w:r>
        <w:t xml:space="preserve">The fourth major module is the</w:t>
      </w:r>
      <w:r>
        <w:t xml:space="preserve"> </w:t>
      </w:r>
      <w:r>
        <w:rPr>
          <w:b/>
          <w:bCs/>
        </w:rPr>
        <w:t xml:space="preserve">Blockchain Audit &amp; Consent Lifecycle</w:t>
      </w:r>
      <w:r>
        <w:t xml:space="preserve"> </w:t>
      </w:r>
      <w:r>
        <w:t xml:space="preserve">module. This subsystem provides an independent view of the complete consent process and corresponds to the auditability and accountability component of the HALAH framework.</w:t>
      </w:r>
    </w:p>
    <w:p>
      <w:pPr>
        <w:pStyle w:val="CaptionedFigure"/>
      </w:pPr>
      <w:r>
        <w:drawing>
          <wp:inline>
            <wp:extent cx="5465445" cy="2905354"/>
            <wp:effectExtent b="0" l="0" r="0" t="0"/>
            <wp:docPr descr="Figure 7.5: HALAH auditor subsystem – Blockchain Audit &amp; Consent Lifecycle" title="" id="153" name="Picture"/>
            <a:graphic>
              <a:graphicData uri="http://schemas.openxmlformats.org/drawingml/2006/picture">
                <pic:pic>
                  <pic:nvPicPr>
                    <pic:cNvPr descr="halah_media/media/image5.png" id="154" name="Picture"/>
                    <pic:cNvPicPr>
                      <a:picLocks noChangeArrowheads="1" noChangeAspect="1"/>
                    </pic:cNvPicPr>
                  </pic:nvPicPr>
                  <pic:blipFill>
                    <a:blip r:embed="rId152"/>
                    <a:stretch>
                      <a:fillRect/>
                    </a:stretch>
                  </pic:blipFill>
                  <pic:spPr bwMode="auto">
                    <a:xfrm>
                      <a:off x="0" y="0"/>
                      <a:ext cx="5465445" cy="2905354"/>
                    </a:xfrm>
                    <a:prstGeom prst="rect">
                      <a:avLst/>
                    </a:prstGeom>
                    <a:noFill/>
                    <a:ln w="9525">
                      <a:noFill/>
                      <a:headEnd/>
                      <a:tailEnd/>
                    </a:ln>
                  </pic:spPr>
                </pic:pic>
              </a:graphicData>
            </a:graphic>
          </wp:inline>
        </w:drawing>
      </w:r>
    </w:p>
    <w:p>
      <w:pPr>
        <w:pStyle w:val="ImageCaption"/>
      </w:pPr>
      <w:r>
        <w:t xml:space="preserve">Figure 7.5: HALAH auditor subsystem – Blockchain Audit &amp; Consent Lifecycle</w:t>
      </w:r>
    </w:p>
    <w:p>
      <w:pPr>
        <w:pStyle w:val="BodyText"/>
      </w:pPr>
      <w:r>
        <w:t xml:space="preserve">As shown in the figure above, the system first provides aggregate indicators including:</w:t>
      </w:r>
    </w:p>
    <w:p>
      <w:pPr>
        <w:pStyle w:val="BodyText"/>
      </w:pPr>
      <m:oMathPara>
        <m:oMathParaPr>
          <m:jc m:val="center"/>
        </m:oMathParaPr>
        <m:oMath>
          <m:m>
            <m:mPr>
              <m:baseJc m:val="center"/>
              <m:plcHide m:val="on"/>
              <m:mcs>
                <m:mc>
                  <m:mcPr>
                    <m:count m:val="1"/>
                    <m:mcJc m:val="left"/>
                  </m:mcPr>
                </m:mc>
              </m:mcs>
            </m:mPr>
            <m:mr>
              <m:e>
                <m:r>
                  <m:rPr>
                    <m:nor/>
                  </m:rPr>
                  <m:t>Total Events</m:t>
                </m:r>
                <m:r>
                  <m:rPr>
                    <m:sty m:val="p"/>
                  </m:rPr>
                  <m:t>=</m:t>
                </m:r>
                <m:r>
                  <m:t>21</m:t>
                </m:r>
              </m:e>
            </m:mr>
            <m:mr>
              <m:e>
                <m:r>
                  <m:rPr>
                    <m:nor/>
                  </m:rPr>
                  <m:t>Consent Events</m:t>
                </m:r>
                <m:r>
                  <m:rPr>
                    <m:sty m:val="p"/>
                  </m:rPr>
                  <m:t>=</m:t>
                </m:r>
                <m:r>
                  <m:t>3</m:t>
                </m:r>
              </m:e>
            </m:mr>
            <m:mr>
              <m:e>
                <m:r>
                  <m:rPr>
                    <m:nor/>
                  </m:rPr>
                  <m:t>Access Requests</m:t>
                </m:r>
                <m:r>
                  <m:rPr>
                    <m:sty m:val="p"/>
                  </m:rPr>
                  <m:t>=</m:t>
                </m:r>
                <m:r>
                  <m:t>3</m:t>
                </m:r>
              </m:e>
            </m:mr>
          </m:m>
        </m:oMath>
      </m:oMathPara>
    </w:p>
    <w:p>
      <w:pPr>
        <w:pStyle w:val="FirstParagraph"/>
      </w:pPr>
      <w:r>
        <w:t xml:space="preserve">and:</w:t>
      </w:r>
    </w:p>
    <w:p>
      <w:pPr>
        <w:pStyle w:val="BodyText"/>
      </w:pPr>
      <m:oMathPara>
        <m:oMathParaPr>
          <m:jc m:val="center"/>
        </m:oMathParaPr>
        <m:oMath>
          <m:r>
            <m:rPr>
              <m:nor/>
            </m:rPr>
            <m:t>Blockchain Integrity</m:t>
          </m:r>
          <m:r>
            <m:rPr>
              <m:sty m:val="p"/>
            </m:rPr>
            <m:t>=</m:t>
          </m:r>
          <m:r>
            <m:rPr>
              <m:nor/>
            </m:rPr>
            <m:t>VERIFIED</m:t>
          </m:r>
        </m:oMath>
      </m:oMathPara>
    </w:p>
    <w:p>
      <w:pPr>
        <w:pStyle w:val="FirstParagraph"/>
      </w:pPr>
      <w:r>
        <w:t xml:space="preserve">These indicators give the auditor an immediate overview of the recorded system activity and the integrity status of the underlying ledger.</w:t>
      </w:r>
    </w:p>
    <w:p>
      <w:pPr>
        <w:pStyle w:val="BodyText"/>
      </w:pPr>
      <w:r>
        <w:t xml:space="preserve">More importantly, the</w:t>
      </w:r>
      <w:r>
        <w:t xml:space="preserve"> </w:t>
      </w:r>
      <w:r>
        <w:rPr>
          <w:b/>
          <w:bCs/>
        </w:rPr>
        <w:t xml:space="preserve">Consent Lifecycle</w:t>
      </w:r>
      <w:r>
        <w:t xml:space="preserve"> </w:t>
      </w:r>
      <w:r>
        <w:t xml:space="preserve">section reconstructs the sequence of events associated with a particular consent. The displayed records include:</w:t>
      </w:r>
      <w:r>
        <w:t xml:space="preserve"> </w:t>
      </w:r>
      <m:oMath>
        <m:r>
          <m:t>C</m:t>
        </m:r>
        <m:r>
          <m:t>R</m:t>
        </m:r>
        <m:r>
          <m:t>E</m:t>
        </m:r>
        <m:r>
          <m:t>A</m:t>
        </m:r>
        <m:r>
          <m:t>T</m:t>
        </m:r>
        <m:r>
          <m:t>E</m:t>
        </m:r>
        <m:r>
          <m:rPr>
            <m:nor/>
          </m:rPr>
          <m:t>_</m:t>
        </m:r>
        <m:r>
          <m:t>C</m:t>
        </m:r>
        <m:r>
          <m:t>O</m:t>
        </m:r>
        <m:r>
          <m:t>N</m:t>
        </m:r>
        <m:r>
          <m:t>S</m:t>
        </m:r>
        <m:r>
          <m:t>E</m:t>
        </m:r>
        <m:r>
          <m:t>N</m:t>
        </m:r>
        <m:r>
          <m:t>T</m:t>
        </m:r>
      </m:oMath>
    </w:p>
    <w:p>
      <w:pPr>
        <w:pStyle w:val="BodyText"/>
      </w:pPr>
      <w:r>
        <w:t xml:space="preserve">performed by the patient, followed by:</w:t>
      </w:r>
      <w:r>
        <w:t xml:space="preserve"> </w:t>
      </w:r>
      <m:oMath>
        <m:r>
          <m:t>S</m:t>
        </m:r>
        <m:r>
          <m:t>I</m:t>
        </m:r>
        <m:r>
          <m:t>G</m:t>
        </m:r>
        <m:r>
          <m:t>N</m:t>
        </m:r>
        <m:r>
          <m:rPr>
            <m:nor/>
          </m:rPr>
          <m:t>_</m:t>
        </m:r>
        <m:r>
          <m:t>C</m:t>
        </m:r>
        <m:r>
          <m:t>O</m:t>
        </m:r>
        <m:r>
          <m:t>N</m:t>
        </m:r>
        <m:r>
          <m:t>S</m:t>
        </m:r>
        <m:r>
          <m:t>E</m:t>
        </m:r>
        <m:r>
          <m:t>N</m:t>
        </m:r>
        <m:r>
          <m:t>T</m:t>
        </m:r>
      </m:oMath>
    </w:p>
    <w:p>
      <w:pPr>
        <w:pStyle w:val="BodyText"/>
      </w:pPr>
      <w:r>
        <w:t xml:space="preserve">performed by the guardians, followed by:</w:t>
      </w:r>
      <w:r>
        <w:t xml:space="preserve"> </w:t>
      </w:r>
      <m:oMath>
        <m:r>
          <m:t>M</m:t>
        </m:r>
        <m:r>
          <m:t>I</m:t>
        </m:r>
        <m:r>
          <m:t>N</m:t>
        </m:r>
        <m:r>
          <m:t>T</m:t>
        </m:r>
        <m:r>
          <m:rPr>
            <m:nor/>
          </m:rPr>
          <m:t>_</m:t>
        </m:r>
        <m:r>
          <m:t>S</m:t>
        </m:r>
        <m:r>
          <m:t>B</m:t>
        </m:r>
        <m:r>
          <m:t>T</m:t>
        </m:r>
      </m:oMath>
    </w:p>
    <w:p>
      <w:pPr>
        <w:pStyle w:val="BodyText"/>
      </w:pPr>
      <w:r>
        <w:t xml:space="preserve">performed by the smart contract.</w:t>
      </w:r>
    </w:p>
    <w:p>
      <w:pPr>
        <w:pStyle w:val="BodyText"/>
      </w:pPr>
      <w:r>
        <w:t xml:space="preserve">The subsequent system events:</w:t>
      </w:r>
      <w:r>
        <w:t xml:space="preserve"> </w:t>
      </w:r>
      <m:oMath>
        <m:r>
          <m:t>S</m:t>
        </m:r>
        <m:r>
          <m:t>T</m:t>
        </m:r>
        <m:r>
          <m:t>A</m:t>
        </m:r>
        <m:r>
          <m:t>T</m:t>
        </m:r>
        <m:r>
          <m:t>E</m:t>
        </m:r>
        <m:r>
          <m:rPr>
            <m:nor/>
          </m:rPr>
          <m:t>_</m:t>
        </m:r>
        <m:r>
          <m:t>C</m:t>
        </m:r>
        <m:r>
          <m:t>H</m:t>
        </m:r>
        <m:r>
          <m:t>E</m:t>
        </m:r>
        <m:r>
          <m:t>C</m:t>
        </m:r>
        <m:r>
          <m:t>K</m:t>
        </m:r>
      </m:oMath>
    </w:p>
    <w:p>
      <w:pPr>
        <w:pStyle w:val="BodyText"/>
      </w:pPr>
      <w:r>
        <w:t xml:space="preserve">demonstrate that the Consent Engine continuously evaluates the state of the authorisation. Finally, the doctor generates:</w:t>
      </w:r>
      <w:r>
        <w:t xml:space="preserve"> </w:t>
      </w:r>
      <m:oMath>
        <m:r>
          <m:t>D</m:t>
        </m:r>
        <m:r>
          <m:t>A</m:t>
        </m:r>
        <m:r>
          <m:t>T</m:t>
        </m:r>
        <m:r>
          <m:t>A</m:t>
        </m:r>
        <m:r>
          <m:rPr>
            <m:nor/>
          </m:rPr>
          <m:t>_</m:t>
        </m:r>
        <m:r>
          <m:t>A</m:t>
        </m:r>
        <m:r>
          <m:t>C</m:t>
        </m:r>
        <m:r>
          <m:t>C</m:t>
        </m:r>
        <m:r>
          <m:t>E</m:t>
        </m:r>
        <m:r>
          <m:t>S</m:t>
        </m:r>
        <m:r>
          <m:t>S</m:t>
        </m:r>
      </m:oMath>
    </w:p>
    <w:p>
      <w:pPr>
        <w:pStyle w:val="BodyText"/>
      </w:pPr>
      <w:r>
        <w:t xml:space="preserve">with the result:</w:t>
      </w:r>
      <w:r>
        <w:t xml:space="preserve"> </w:t>
      </w:r>
      <m:oMath>
        <m:r>
          <m:t>G</m:t>
        </m:r>
        <m:r>
          <m:t>R</m:t>
        </m:r>
        <m:r>
          <m:t>A</m:t>
        </m:r>
        <m:r>
          <m:t>N</m:t>
        </m:r>
        <m:r>
          <m:t>T</m:t>
        </m:r>
        <m:r>
          <m:t>E</m:t>
        </m:r>
        <m:r>
          <m:t>D</m:t>
        </m:r>
      </m:oMath>
      <w:r>
        <w:rPr>
          <w:rStyle w:val="OrangeFix"/>
        </w:rPr>
        <w:t xml:space="preserve">.</w:t>
      </w:r>
    </w:p>
    <w:p>
      <w:pPr>
        <w:pStyle w:val="BodyText"/>
      </w:pPr>
      <w:r>
        <w:t xml:space="preserve">This produces an explicit chain of evidence as</w:t>
      </w:r>
    </w:p>
    <w:p>
      <w:pPr>
        <w:pStyle w:val="BodyText"/>
      </w:pPr>
      <m:oMathPara>
        <m:oMathParaPr>
          <m:jc m:val="center"/>
        </m:oMathParaPr>
        <m:oMath>
          <m:m>
            <m:mPr>
              <m:baseJc m:val="center"/>
              <m:plcHide m:val="on"/>
              <m:mcs>
                <m:mc>
                  <m:mcPr>
                    <m:count m:val="1"/>
                    <m:mcJc m:val="left"/>
                  </m:mcPr>
                </m:mc>
              </m:mcs>
            </m:mPr>
            <m:mr>
              <m:e>
                <m:r>
                  <m:t>P</m:t>
                </m:r>
                <m:r>
                  <m:t>a</m:t>
                </m:r>
                <m:r>
                  <m:t>t</m:t>
                </m:r>
                <m:r>
                  <m:t>i</m:t>
                </m:r>
                <m:r>
                  <m:t>e</m:t>
                </m:r>
                <m:r>
                  <m:t>n</m:t>
                </m:r>
                <m:r>
                  <m:t>t</m:t>
                </m:r>
                <m:r>
                  <m:rPr>
                    <m:sty m:val="p"/>
                  </m:rPr>
                  <m:t>→</m:t>
                </m:r>
                <m:r>
                  <m:t>G</m:t>
                </m:r>
                <m:r>
                  <m:t>u</m:t>
                </m:r>
                <m:r>
                  <m:t>a</m:t>
                </m:r>
                <m:r>
                  <m:t>r</m:t>
                </m:r>
                <m:r>
                  <m:t>d</m:t>
                </m:r>
                <m:r>
                  <m:t>i</m:t>
                </m:r>
                <m:r>
                  <m:t>a</m:t>
                </m:r>
                <m:sSub>
                  <m:e>
                    <m:r>
                      <m:t>n</m:t>
                    </m:r>
                  </m:e>
                  <m:sub>
                    <m:r>
                      <m:t>A</m:t>
                    </m:r>
                  </m:sub>
                </m:sSub>
                <m:r>
                  <m:rPr>
                    <m:sty m:val="p"/>
                  </m:rPr>
                  <m:t>→</m:t>
                </m:r>
                <m:r>
                  <m:t>G</m:t>
                </m:r>
                <m:r>
                  <m:t>u</m:t>
                </m:r>
                <m:r>
                  <m:t>a</m:t>
                </m:r>
                <m:r>
                  <m:t>r</m:t>
                </m:r>
                <m:r>
                  <m:t>d</m:t>
                </m:r>
                <m:r>
                  <m:t>i</m:t>
                </m:r>
                <m:r>
                  <m:t>a</m:t>
                </m:r>
                <m:sSub>
                  <m:e>
                    <m:r>
                      <m:t>n</m:t>
                    </m:r>
                  </m:e>
                  <m:sub>
                    <m:r>
                      <m:t>B</m:t>
                    </m:r>
                  </m:sub>
                </m:sSub>
              </m:e>
            </m:mr>
            <m:mr>
              <m:e>
                <m:r>
                  <m:rPr>
                    <m:sty m:val="p"/>
                  </m:rPr>
                  <m:t>→</m:t>
                </m:r>
                <m:r>
                  <m:t>S</m:t>
                </m:r>
                <m:r>
                  <m:t>m</m:t>
                </m:r>
                <m:r>
                  <m:t>a</m:t>
                </m:r>
                <m:r>
                  <m:t>r</m:t>
                </m:r>
                <m:r>
                  <m:t>t</m:t>
                </m:r>
                <m:r>
                  <m:t>C</m:t>
                </m:r>
                <m:r>
                  <m:t>o</m:t>
                </m:r>
                <m:r>
                  <m:t>n</m:t>
                </m:r>
                <m:r>
                  <m:t>t</m:t>
                </m:r>
                <m:r>
                  <m:t>r</m:t>
                </m:r>
                <m:r>
                  <m:t>a</m:t>
                </m:r>
                <m:r>
                  <m:t>c</m:t>
                </m:r>
                <m:r>
                  <m:t>t</m:t>
                </m:r>
                <m:r>
                  <m:rPr>
                    <m:sty m:val="p"/>
                  </m:rPr>
                  <m:t>→</m:t>
                </m:r>
                <m:r>
                  <m:t>C</m:t>
                </m:r>
                <m:r>
                  <m:t>o</m:t>
                </m:r>
                <m:r>
                  <m:t>n</m:t>
                </m:r>
                <m:r>
                  <m:t>s</m:t>
                </m:r>
                <m:r>
                  <m:t>e</m:t>
                </m:r>
                <m:r>
                  <m:t>n</m:t>
                </m:r>
                <m:r>
                  <m:t>t</m:t>
                </m:r>
                <m:r>
                  <m:t>E</m:t>
                </m:r>
                <m:r>
                  <m:t>n</m:t>
                </m:r>
                <m:r>
                  <m:t>g</m:t>
                </m:r>
                <m:r>
                  <m:t>i</m:t>
                </m:r>
                <m:r>
                  <m:t>n</m:t>
                </m:r>
                <m:r>
                  <m:t>e</m:t>
                </m:r>
                <m:r>
                  <m:rPr>
                    <m:sty m:val="p"/>
                  </m:rPr>
                  <m:t>→</m:t>
                </m:r>
                <m:r>
                  <m:t>D</m:t>
                </m:r>
                <m:r>
                  <m:t>o</m:t>
                </m:r>
                <m:r>
                  <m:t>c</m:t>
                </m:r>
                <m:r>
                  <m:t>t</m:t>
                </m:r>
                <m:r>
                  <m:t>o</m:t>
                </m:r>
                <m:r>
                  <m:t>r</m:t>
                </m:r>
              </m:e>
            </m:mr>
          </m:m>
        </m:oMath>
      </m:oMathPara>
    </w:p>
    <w:p>
      <w:pPr>
        <w:pStyle w:val="FirstParagraph"/>
      </w:pPr>
      <w:r>
        <w:t xml:space="preserve">The audit subsystem therefore allows an auditor to reconstruct not only</w:t>
      </w:r>
      <w:r>
        <w:t xml:space="preserve"> </w:t>
      </w:r>
      <w:r>
        <w:rPr>
          <w:b/>
          <w:bCs/>
        </w:rPr>
        <w:t xml:space="preserve">who accessed the data</w:t>
      </w:r>
      <w:r>
        <w:t xml:space="preserve">, but also</w:t>
      </w:r>
      <w:r>
        <w:t xml:space="preserve"> </w:t>
      </w:r>
      <w:r>
        <w:rPr>
          <w:b/>
          <w:bCs/>
        </w:rPr>
        <w:t xml:space="preserve">why that access was permitted</w:t>
      </w:r>
      <w:r>
        <w:t xml:space="preserve">, because the access event can be associated with the preceding consent creation, guardian approvals, consent activation, and state checks.</w:t>
      </w:r>
    </w:p>
    <w:p>
      <w:pPr>
        <w:pStyle w:val="BodyText"/>
      </w:pPr>
      <w:r>
        <w:t xml:space="preserve">This corresponds to the proposed requirement for</w:t>
      </w:r>
      <w:r>
        <w:t xml:space="preserve"> </w:t>
      </w:r>
      <w:r>
        <w:rPr>
          <w:b/>
          <w:bCs/>
        </w:rPr>
        <w:t xml:space="preserve">traceability, accountability and non-repudiable consent evidence</w:t>
      </w:r>
      <w:r>
        <w:t xml:space="preserve">.</w:t>
      </w:r>
    </w:p>
    <w:bookmarkEnd w:id="155"/>
    <w:bookmarkStart w:id="156" w:name="detailed-audit-records"/>
    <w:p>
      <w:pPr>
        <w:pStyle w:val="Heading2"/>
      </w:pPr>
      <w:r>
        <w:t xml:space="preserve">7.6 Detailed Audit Records</w:t>
      </w:r>
    </w:p>
    <w:p>
      <w:pPr>
        <w:pStyle w:val="FirstParagraph"/>
      </w:pPr>
      <w:r>
        <w:t xml:space="preserve">The</w:t>
      </w:r>
      <w:r>
        <w:t xml:space="preserve"> </w:t>
      </w:r>
      <w:r>
        <w:rPr>
          <w:b/>
          <w:bCs/>
        </w:rPr>
        <w:t xml:space="preserve">Detailed Audit Records</w:t>
      </w:r>
      <w:r>
        <w:t xml:space="preserve"> </w:t>
      </w:r>
      <w:r>
        <w:t xml:space="preserve">component provides a lower-level view of the events represented in the lifecycle subsystem.</w:t>
      </w:r>
    </w:p>
    <w:p>
      <w:pPr>
        <w:pStyle w:val="BodyText"/>
      </w:pPr>
      <w: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and consent context.</w:t>
      </w:r>
    </w:p>
    <w:p>
      <w:pPr>
        <w:pStyle w:val="BodyText"/>
      </w:pPr>
      <w: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pStyle w:val="BodyText"/>
      </w:pPr>
      <w:r>
        <w:t xml:space="preserve">The subsystem therefore implements the distinction between</w:t>
      </w:r>
      <w:r>
        <w:t xml:space="preserve"> </w:t>
      </w:r>
      <w:r>
        <w:rPr>
          <w:b/>
          <w:bCs/>
        </w:rPr>
        <w:t xml:space="preserve">operational access information</w:t>
      </w:r>
      <w:r>
        <w:t xml:space="preserve"> </w:t>
      </w:r>
      <w:r>
        <w:t xml:space="preserve">and</w:t>
      </w:r>
      <w:r>
        <w:t xml:space="preserve"> </w:t>
      </w:r>
      <w:r>
        <w:rPr>
          <w:b/>
          <w:bCs/>
        </w:rPr>
        <w:t xml:space="preserve">forensic/audit information</w:t>
      </w:r>
      <w:r>
        <w:t xml:space="preserve">.</w:t>
      </w:r>
    </w:p>
    <w:p>
      <w:pPr>
        <w:pStyle w:val="OrangeDeletePara"/>
      </w:pPr>
      <w:r>
        <w:rPr>
          <w:rStyle w:val="OrangeDelete"/>
          <w:b/>
          <w:bCs/>
        </w:rPr>
        <w:t xml:space="preserve">CA 3 Discussion</w:t>
      </w:r>
    </w:p>
    <w:bookmarkEnd w:id="156"/>
    <w:bookmarkStart w:id="157" w:name="complete-blockchain-audit-ledger"/>
    <w:p>
      <w:pPr>
        <w:pStyle w:val="Heading2"/>
      </w:pPr>
      <w:r>
        <w:t xml:space="preserve">7.7 Complete Blockchain Audit Ledger</w:t>
      </w:r>
    </w:p>
    <w:p>
      <w:pPr>
        <w:pStyle w:val="FirstParagraph"/>
      </w:pPr>
      <w:r>
        <w:t xml:space="preserve">The</w:t>
      </w:r>
      <w:r>
        <w:t xml:space="preserve"> </w:t>
      </w:r>
      <w:r>
        <w:rPr>
          <w:b/>
          <w:bCs/>
        </w:rPr>
        <w:t xml:space="preserve">Complete Blockchain Audit Ledger</w:t>
      </w:r>
      <w:r>
        <w:t xml:space="preserve"> </w:t>
      </w:r>
      <w:r>
        <w:t xml:space="preserve">provides the most comprehensive representation of the recorded consent history.</w:t>
      </w:r>
    </w:p>
    <w:p>
      <w:pPr>
        <w:pStyle w:val="BodyText"/>
      </w:pPr>
      <w:r>
        <w:t xml:space="preserve">This component demonstrates that the audit mechanism is not limited to successful data-access events. Instead, the system records the broader lifecycle of the consent, including creation, signatures, state validation, smart-contract actions and data-access decisions.</w:t>
      </w:r>
    </w:p>
    <w:p>
      <w:pPr>
        <w:pStyle w:val="BodyText"/>
      </w:pPr>
      <w:r>
        <w:t xml:space="preserve">Consequently, the ledger provides the evidentiary foundation for evaluating several properties of the proposed framework:</w:t>
      </w:r>
    </w:p>
    <w:p>
      <w:pPr>
        <w:pStyle w:val="BodyText"/>
      </w:pPr>
      <m:oMathPara>
        <m:oMathParaPr>
          <m:jc m:val="center"/>
        </m:oMathParaPr>
        <m:oMath>
          <m:r>
            <m:rPr>
              <m:nor/>
            </m:rPr>
            <m:t>Accountability</m:t>
          </m:r>
          <m:r>
            <m:rPr>
              <m:sty m:val="p"/>
            </m:rPr>
            <m:t>+</m:t>
          </m:r>
          <m:r>
            <m:rPr>
              <m:nor/>
            </m:rPr>
            <m:t>Traceability</m:t>
          </m:r>
          <m:r>
            <m:rPr>
              <m:sty m:val="p"/>
            </m:rPr>
            <m:t>+</m:t>
          </m:r>
          <m:r>
            <m:rPr>
              <m:nor/>
            </m:rPr>
            <m:t>Integrity</m:t>
          </m:r>
          <m:r>
            <m:rPr>
              <m:sty m:val="p"/>
            </m:rPr>
            <m:t>+</m:t>
          </m:r>
          <m:r>
            <m:rPr>
              <m:nor/>
            </m:rPr>
            <m:t>Non-repudiation</m:t>
          </m:r>
        </m:oMath>
      </m:oMathPara>
    </w:p>
    <w:p>
      <w:pPr>
        <w:pStyle w:val="FirstParagraph"/>
      </w:pPr>
      <w:r>
        <w:t xml:space="preserve">The complete ledger also provides a mechanism for independently examining whether the observed access event is consistent with the original consent conditions.</w:t>
      </w:r>
    </w:p>
    <w:p>
      <w:pPr>
        <w:pStyle w:val="BodyText"/>
      </w:pPr>
      <w:r>
        <w:t xml:space="preserve">For example, the demonstrated sequence shows that the doctor receives a GRANTED result only after the consent has reached the ACTIVE state. This provides an implementation-level demonstration that access decisions are linked to the consent lifecycle rather than being independent application events.</w:t>
      </w:r>
    </w:p>
    <w:bookmarkEnd w:id="157"/>
    <w:bookmarkStart w:id="158" w:name="Xae142eb24e81642c0aa2124fc4bee8c550545ec"/>
    <w:p>
      <w:pPr>
        <w:pStyle w:val="Heading2"/>
      </w:pPr>
      <w:r>
        <w:t xml:space="preserve">7.8 Correspondence Between Subsystems and the HALAH Framework</w:t>
      </w:r>
    </w:p>
    <w:p>
      <w:pPr>
        <w:pStyle w:val="FirstParagraph"/>
      </w:pPr>
      <w:r>
        <w:t xml:space="preserve">The four subsystems collectively implement the principal stages of the proposed framework:</w:t>
      </w:r>
    </w:p>
    <w:p>
      <w:pPr>
        <w:pStyle w:val="TableCaption"/>
      </w:pPr>
      <w:r>
        <w:t xml:space="preserve">Table 7.1: Correspondence Between Subsystems and the HALAH Framework</w:t>
      </w:r>
    </w:p>
    <w:tbl>
      <w:tblPr>
        <w:tblStyle w:val="Table"/>
        <w:tblW w:type="pct" w:w="5000"/>
        <w:tblLayout w:type="fixed"/>
        <w:tblLook w:firstRow="1" w:lastRow="0" w:firstColumn="0" w:lastColumn="0" w:noHBand="0" w:noVBand="0" w:val="0020"/>
        <w:tblCaption w:val="Table 7.1: Correspondence Between Subsystems and the HALAH Framework"/>
      </w:tblPr>
      <w:tblGrid>
        <w:gridCol w:w="1947"/>
        <w:gridCol w:w="2661"/>
        <w:gridCol w:w="331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HALAH Framework Component</w:t>
            </w:r>
          </w:p>
        </w:tc>
        <w:tc>
          <w:tcPr>
            <w:tcBorders>
              <w:bottom w:val="single" w:sz="8" w:space="0" w:color="000000"/>
            </w:tcBorders>
            <w:shd w:val="clear" w:color="auto" w:fill="E7E6E6"/>
            <w:vAlign w:val="center"/>
          </w:tcPr>
          <w:p>
            <w:pPr>
              <w:pStyle w:val="Compact"/>
              <w:jc w:val="left"/>
            </w:pPr>
            <w:r>
              <w:rPr>
                <w:b/>
                <w:bCs/>
              </w:rPr>
              <w:t xml:space="preserve">Implementation Subsystem</w:t>
            </w:r>
          </w:p>
        </w:tc>
        <w:tc>
          <w:tcPr>
            <w:tcBorders>
              <w:bottom w:val="single" w:sz="8" w:space="0" w:color="000000"/>
            </w:tcBorders>
            <w:shd w:val="clear" w:color="auto" w:fill="E7E6E6"/>
            <w:vAlign w:val="center"/>
          </w:tcPr>
          <w:p>
            <w:pPr>
              <w:pStyle w:val="Compact"/>
              <w:jc w:val="left"/>
            </w:pPr>
            <w:r>
              <w:rPr>
                <w:b/>
                <w:bCs/>
              </w:rPr>
              <w:t xml:space="preserve">Main Function</w:t>
            </w:r>
          </w:p>
        </w:tc>
      </w:tr>
      <w:tr>
        <w:trPr>
          <w:cantSplit/>
        </w:trPr>
        <w:tc>
          <w:tcPr/>
          <w:p>
            <w:pPr>
              <w:pStyle w:val="Compact"/>
              <w:jc w:val="left"/>
            </w:pPr>
            <w:r>
              <w:t xml:space="preserve">Consent Object Construction</w:t>
            </w:r>
          </w:p>
        </w:tc>
        <w:tc>
          <w:tcPr/>
          <w:p>
            <w:pPr>
              <w:pStyle w:val="Compact"/>
              <w:jc w:val="left"/>
            </w:pPr>
            <w:r>
              <w:rPr>
                <w:b/>
                <w:bCs/>
              </w:rPr>
              <w:t xml:space="preserve">Create Smart Consent Contract</w:t>
            </w:r>
          </w:p>
        </w:tc>
        <w:tc>
          <w:tcPr/>
          <w:p>
            <w:pPr>
              <w:pStyle w:val="Compact"/>
              <w:jc w:val="left"/>
            </w:pPr>
            <w:r>
              <w:t xml:space="preserve">Defines patient, authorised doctor, data scope, guardians and temporal validity</w:t>
            </w:r>
          </w:p>
        </w:tc>
      </w:tr>
      <w:tr>
        <w:trPr>
          <w:cantSplit/>
        </w:trPr>
        <w:tc>
          <w:tcPr/>
          <w:p>
            <w:pPr>
              <w:pStyle w:val="Compact"/>
              <w:jc w:val="left"/>
            </w:pPr>
            <w:r>
              <w:t xml:space="preserve">Identity &amp; Authorisation</w:t>
            </w:r>
          </w:p>
        </w:tc>
        <w:tc>
          <w:tcPr/>
          <w:p>
            <w:pPr>
              <w:pStyle w:val="Compact"/>
              <w:jc w:val="left"/>
            </w:pPr>
            <w:r>
              <w:rPr>
                <w:b/>
                <w:bCs/>
              </w:rPr>
              <w:t xml:space="preserve">Guardian Cryptographic Approval</w:t>
            </w:r>
          </w:p>
        </w:tc>
        <w:tc>
          <w:tcPr/>
          <w:p>
            <w:pPr>
              <w:pStyle w:val="Compact"/>
              <w:jc w:val="left"/>
            </w:pPr>
            <w:r>
              <w:t xml:space="preserve">Verifies guardian identities and records required signatures</w:t>
            </w:r>
          </w:p>
        </w:tc>
      </w:tr>
      <w:tr>
        <w:trPr>
          <w:cantSplit/>
        </w:trPr>
        <w:tc>
          <w:tcPr/>
          <w:p>
            <w:pPr>
              <w:pStyle w:val="Compact"/>
              <w:jc w:val="left"/>
            </w:pPr>
            <w:r>
              <w:rPr>
                <w:rStyle w:val="OrangeDelete"/>
              </w:rPr>
              <w:t xml:space="preserve">Multi-party</w:t>
            </w:r>
            <w:r>
              <w:rPr>
                <w:rStyle w:val="OrangeFix"/>
              </w:rPr>
              <w:t xml:space="preserve">Multi-Party</w:t>
            </w:r>
            <w:r>
              <w:t xml:space="preserve"> </w:t>
            </w:r>
            <w:r>
              <w:t xml:space="preserve">Consent</w:t>
            </w:r>
          </w:p>
        </w:tc>
        <w:tc>
          <w:tcPr/>
          <w:p>
            <w:pPr>
              <w:pStyle w:val="Compact"/>
              <w:jc w:val="left"/>
            </w:pPr>
            <w:r>
              <w:rPr>
                <w:b/>
                <w:bCs/>
              </w:rPr>
              <w:t xml:space="preserve">Guardian Cryptographic Approval</w:t>
            </w:r>
          </w:p>
        </w:tc>
        <w:tc>
          <w:tcPr/>
          <w:p>
            <w:pPr>
              <w:pStyle w:val="Compact"/>
              <w:jc w:val="left"/>
            </w:pPr>
            <w:r>
              <w:t xml:space="preserve">Implements the 2-of-2 approval condition</w:t>
            </w:r>
          </w:p>
        </w:tc>
      </w:tr>
      <w:tr>
        <w:trPr>
          <w:cantSplit/>
        </w:trPr>
        <w:tc>
          <w:tcPr/>
          <w:p>
            <w:pPr>
              <w:pStyle w:val="Compact"/>
              <w:jc w:val="left"/>
            </w:pPr>
            <w:r>
              <w:t xml:space="preserve">Consent Activation</w:t>
            </w:r>
          </w:p>
        </w:tc>
        <w:tc>
          <w:tcPr/>
          <w:p>
            <w:pPr>
              <w:pStyle w:val="Compact"/>
              <w:jc w:val="left"/>
            </w:pPr>
            <w:r>
              <w:rPr>
                <w:b/>
                <w:bCs/>
              </w:rPr>
              <w:t xml:space="preserve">Guardian Cryptographic Approval</w:t>
            </w:r>
          </w:p>
        </w:tc>
        <w:tc>
          <w:tcPr/>
          <w:p>
            <w:pPr>
              <w:pStyle w:val="Compact"/>
              <w:jc w:val="left"/>
            </w:pPr>
            <w:r>
              <w:t xml:space="preserve">Generates the SBT and changes consent to fully activated</w:t>
            </w:r>
          </w:p>
        </w:tc>
      </w:tr>
      <w:tr>
        <w:trPr>
          <w:cantSplit/>
        </w:trPr>
        <w:tc>
          <w:tcPr/>
          <w:p>
            <w:pPr>
              <w:pStyle w:val="Compact"/>
              <w:jc w:val="left"/>
            </w:pPr>
            <w:r>
              <w:t xml:space="preserve">Consent-State Management</w:t>
            </w:r>
          </w:p>
        </w:tc>
        <w:tc>
          <w:tcPr/>
          <w:p>
            <w:pPr>
              <w:pStyle w:val="Compact"/>
              <w:jc w:val="left"/>
            </w:pPr>
            <w:r>
              <w:rPr>
                <w:b/>
                <w:bCs/>
              </w:rPr>
              <w:t xml:space="preserve">Secure Patient Data Access</w:t>
            </w:r>
          </w:p>
        </w:tc>
        <w:tc>
          <w:tcPr/>
          <w:p>
            <w:pPr>
              <w:pStyle w:val="Compact"/>
              <w:jc w:val="left"/>
            </w:pPr>
            <w:r>
              <w:t xml:space="preserve">Checks whether the consent is ACTIVE</w:t>
            </w:r>
          </w:p>
        </w:tc>
      </w:tr>
      <w:tr>
        <w:trPr>
          <w:cantSplit/>
        </w:trPr>
        <w:tc>
          <w:tcPr/>
          <w:p>
            <w:pPr>
              <w:pStyle w:val="Compact"/>
              <w:jc w:val="left"/>
            </w:pPr>
            <w:r>
              <w:t xml:space="preserve">Scope Enforcement</w:t>
            </w:r>
          </w:p>
        </w:tc>
        <w:tc>
          <w:tcPr/>
          <w:p>
            <w:pPr>
              <w:pStyle w:val="Compact"/>
              <w:jc w:val="left"/>
            </w:pPr>
            <w:r>
              <w:rPr>
                <w:b/>
                <w:bCs/>
              </w:rPr>
              <w:t xml:space="preserve">Secure Patient Data Access</w:t>
            </w:r>
          </w:p>
        </w:tc>
        <w:tc>
          <w:tcPr/>
          <w:p>
            <w:pPr>
              <w:pStyle w:val="Compact"/>
              <w:jc w:val="left"/>
            </w:pPr>
            <w:r>
              <w:t xml:space="preserve">Restricts access to authorised EMR modules</w:t>
            </w:r>
          </w:p>
        </w:tc>
      </w:tr>
      <w:tr>
        <w:trPr>
          <w:cantSplit/>
        </w:trPr>
        <w:tc>
          <w:tcPr/>
          <w:p>
            <w:pPr>
              <w:pStyle w:val="Compact"/>
              <w:jc w:val="left"/>
            </w:pPr>
            <w:r>
              <w:t xml:space="preserve">Cryptographic Access Control</w:t>
            </w:r>
          </w:p>
        </w:tc>
        <w:tc>
          <w:tcPr/>
          <w:p>
            <w:pPr>
              <w:pStyle w:val="Compact"/>
              <w:jc w:val="left"/>
            </w:pPr>
            <w:r>
              <w:rPr>
                <w:b/>
                <w:bCs/>
              </w:rPr>
              <w:t xml:space="preserve">Secure Patient Data Access</w:t>
            </w:r>
          </w:p>
        </w:tc>
        <w:tc>
          <w:tcPr/>
          <w:p>
            <w:pPr>
              <w:pStyle w:val="Compact"/>
              <w:jc w:val="left"/>
            </w:pPr>
            <w:r>
              <w:t xml:space="preserve">Verifies the access request before granting data</w:t>
            </w:r>
          </w:p>
        </w:tc>
      </w:tr>
      <w:tr>
        <w:trPr>
          <w:cantSplit/>
        </w:trPr>
        <w:tc>
          <w:tcPr/>
          <w:p>
            <w:pPr>
              <w:pStyle w:val="Compact"/>
              <w:jc w:val="left"/>
            </w:pPr>
            <w:r>
              <w:t xml:space="preserve">Healthcare Data Access</w:t>
            </w:r>
          </w:p>
        </w:tc>
        <w:tc>
          <w:tcPr/>
          <w:p>
            <w:pPr>
              <w:pStyle w:val="Compact"/>
              <w:jc w:val="left"/>
            </w:pPr>
            <w:r>
              <w:rPr>
                <w:b/>
                <w:bCs/>
              </w:rPr>
              <w:t xml:space="preserve">Secure Patient Data Access</w:t>
            </w:r>
          </w:p>
        </w:tc>
        <w:tc>
          <w:tcPr/>
          <w:p>
            <w:pPr>
              <w:pStyle w:val="Compact"/>
              <w:jc w:val="left"/>
            </w:pPr>
            <w:r>
              <w:t xml:space="preserve">Provides authorised Medication and Procedure records</w:t>
            </w:r>
          </w:p>
        </w:tc>
      </w:tr>
      <w:tr>
        <w:trPr>
          <w:cantSplit/>
        </w:trPr>
        <w:tc>
          <w:tcPr/>
          <w:p>
            <w:pPr>
              <w:pStyle w:val="Compact"/>
              <w:jc w:val="left"/>
            </w:pPr>
            <w:r>
              <w:t xml:space="preserve">Lifecycle Traceability</w:t>
            </w:r>
          </w:p>
        </w:tc>
        <w:tc>
          <w:tcPr/>
          <w:p>
            <w:pPr>
              <w:pStyle w:val="Compact"/>
              <w:jc w:val="left"/>
            </w:pPr>
            <w:r>
              <w:rPr>
                <w:b/>
                <w:bCs/>
              </w:rPr>
              <w:t xml:space="preserve">Blockchain Audit &amp; Consent Lifecycle</w:t>
            </w:r>
          </w:p>
        </w:tc>
        <w:tc>
          <w:tcPr/>
          <w:p>
            <w:pPr>
              <w:pStyle w:val="Compact"/>
              <w:jc w:val="left"/>
            </w:pPr>
            <w:r>
              <w:t xml:space="preserve">Reconstructs the chronological consent process</w:t>
            </w:r>
          </w:p>
        </w:tc>
      </w:tr>
      <w:tr>
        <w:trPr>
          <w:cantSplit/>
        </w:trPr>
        <w:tc>
          <w:tcPr/>
          <w:p>
            <w:pPr>
              <w:pStyle w:val="Compact"/>
              <w:jc w:val="left"/>
            </w:pPr>
            <w:r>
              <w:t xml:space="preserve">Accountability</w:t>
            </w:r>
          </w:p>
        </w:tc>
        <w:tc>
          <w:tcPr/>
          <w:p>
            <w:pPr>
              <w:pStyle w:val="Compact"/>
              <w:jc w:val="left"/>
            </w:pPr>
            <w:r>
              <w:rPr>
                <w:b/>
                <w:bCs/>
              </w:rPr>
              <w:t xml:space="preserve">Detailed Audit Records</w:t>
            </w:r>
          </w:p>
        </w:tc>
        <w:tc>
          <w:tcPr/>
          <w:p>
            <w:pPr>
              <w:pStyle w:val="Compact"/>
              <w:jc w:val="left"/>
            </w:pPr>
            <w:r>
              <w:t xml:space="preserve">Provides event-level evidence</w:t>
            </w:r>
          </w:p>
        </w:tc>
      </w:tr>
      <w:tr>
        <w:trPr>
          <w:cantSplit/>
        </w:trPr>
        <w:tc>
          <w:tcPr/>
          <w:p>
            <w:pPr>
              <w:pStyle w:val="Compact"/>
              <w:jc w:val="left"/>
            </w:pPr>
            <w:r>
              <w:t xml:space="preserve">Ledger Integrity</w:t>
            </w:r>
          </w:p>
        </w:tc>
        <w:tc>
          <w:tcPr/>
          <w:p>
            <w:pPr>
              <w:pStyle w:val="Compact"/>
              <w:jc w:val="left"/>
            </w:pPr>
            <w:r>
              <w:rPr>
                <w:b/>
                <w:bCs/>
              </w:rPr>
              <w:t xml:space="preserve">Complete Blockchain Audit Ledger</w:t>
            </w:r>
          </w:p>
        </w:tc>
        <w:tc>
          <w:tcPr/>
          <w:p>
            <w:pPr>
              <w:pStyle w:val="Compact"/>
              <w:jc w:val="left"/>
            </w:pPr>
            <w:r>
              <w:t xml:space="preserve">Provides the complete recorded transaction history</w:t>
            </w:r>
          </w:p>
        </w:tc>
      </w:tr>
    </w:tbl>
    <w:p>
      <w:pPr>
        <w:pStyle w:val="BodyText"/>
      </w:pPr>
      <w:r>
        <w:t xml:space="preserve">This mapping demonstrates that the implementation is not merely a collection of independent user-subsystem modules. Rather, the modules correspond to successive stages of the proposed authorisation protocol.</w:t>
      </w:r>
    </w:p>
    <w:bookmarkEnd w:id="158"/>
    <w:bookmarkStart w:id="159" w:name="overall-system-demonstration"/>
    <w:p>
      <w:pPr>
        <w:pStyle w:val="Heading2"/>
      </w:pPr>
      <w:r>
        <w:t xml:space="preserve">7.9 Overall System Demonstration</w:t>
      </w:r>
    </w:p>
    <w:p>
      <w:pPr>
        <w:pStyle w:val="FirstParagraph"/>
      </w:pPr>
      <w:r>
        <w:t xml:space="preserve">Taken together, the subsystems demonstrate an end-to-end implementation of the proposed HALAH authorisation workflow.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The authorised doctor subsequently submits an access request, which is evaluated against the patient's identity, consent state and authorised data scope. Only when these conditions are satisfied does the system provide access to the specified EMR modules. Finally, the complete sequence is recorded and exposed through the auditor subsystem.</w:t>
      </w:r>
    </w:p>
    <w:p>
      <w:pPr>
        <w:pStyle w:val="OrangeFixPara"/>
      </w:pPr>
      <m:oMathPara>
        <m:oMathParaPr>
          <m:jc m:val="center"/>
        </m:oMathParaPr>
        <m:oMath>
          <m:r>
            <w:rPr>
              <w:color w:val="E36C09"/>
            </w:rPr>
            <m:t>C</m:t>
          </m:r>
          <m:r>
            <m:rPr>
              <m:sty m:val="p"/>
            </m:rPr>
            <w:rPr>
              <w:color w:val="E36C09"/>
            </w:rPr>
            <m:t>→</m:t>
          </m:r>
          <m:r>
            <w:rPr>
              <w:color w:val="E36C09"/>
            </w:rPr>
            <m:t>M</m:t>
          </m:r>
          <m:r>
            <w:rPr>
              <w:color w:val="E36C09"/>
            </w:rPr>
            <m:t>S</m:t>
          </m:r>
          <m:r>
            <m:rPr>
              <m:sty m:val="p"/>
            </m:rPr>
            <w:rPr>
              <w:color w:val="E36C09"/>
            </w:rPr>
            <m:t>→</m:t>
          </m:r>
          <m:r>
            <w:rPr>
              <w:color w:val="E36C09"/>
            </w:rPr>
            <m:t>S</m:t>
          </m:r>
          <m:r>
            <w:rPr>
              <w:color w:val="E36C09"/>
            </w:rPr>
            <m:t>B</m:t>
          </m:r>
          <m:r>
            <w:rPr>
              <w:color w:val="E36C09"/>
            </w:rPr>
            <m:t>T</m:t>
          </m:r>
          <m:r>
            <m:rPr>
              <m:sty m:val="p"/>
            </m:rPr>
            <w:rPr>
              <w:color w:val="E36C09"/>
            </w:rPr>
            <m:t>→</m:t>
          </m:r>
          <m:r>
            <w:rPr>
              <w:color w:val="E36C09"/>
            </w:rPr>
            <m:t>S</m:t>
          </m:r>
          <m:r>
            <w:rPr>
              <w:color w:val="E36C09"/>
            </w:rPr>
            <m:t>t</m:t>
          </m:r>
          <m:r>
            <w:rPr>
              <w:color w:val="E36C09"/>
            </w:rPr>
            <m:t>a</m:t>
          </m:r>
          <m:r>
            <w:rPr>
              <w:color w:val="E36C09"/>
            </w:rPr>
            <m:t>t</m:t>
          </m:r>
          <m:r>
            <w:rPr>
              <w:color w:val="E36C09"/>
            </w:rPr>
            <m:t>e</m:t>
          </m:r>
          <m:r>
            <w:rPr>
              <w:color w:val="E36C09"/>
            </w:rPr>
            <m:t>C</m:t>
          </m:r>
          <m:r>
            <w:rPr>
              <w:color w:val="E36C09"/>
            </w:rPr>
            <m:t>h</m:t>
          </m:r>
          <m:r>
            <w:rPr>
              <w:color w:val="E36C09"/>
            </w:rPr>
            <m:t>e</m:t>
          </m:r>
          <m:r>
            <w:rPr>
              <w:color w:val="E36C09"/>
            </w:rPr>
            <m:t>c</m:t>
          </m:r>
          <m:r>
            <w:rPr>
              <w:color w:val="E36C09"/>
            </w:rPr>
            <m:t>k</m:t>
          </m:r>
          <m:r>
            <m:rPr>
              <m:sty m:val="p"/>
            </m:rPr>
            <w:rPr>
              <w:color w:val="E36C09"/>
            </w:rPr>
            <m:t>→</m:t>
          </m:r>
          <m:r>
            <w:rPr>
              <w:color w:val="E36C09"/>
            </w:rPr>
            <m:t>A</m:t>
          </m:r>
          <m:r>
            <w:rPr>
              <w:color w:val="E36C09"/>
            </w:rPr>
            <m:t>c</m:t>
          </m:r>
          <m:r>
            <w:rPr>
              <w:color w:val="E36C09"/>
            </w:rPr>
            <m:t>c</m:t>
          </m:r>
          <m:r>
            <w:rPr>
              <w:color w:val="E36C09"/>
            </w:rPr>
            <m:t>e</m:t>
          </m:r>
          <m:r>
            <w:rPr>
              <w:color w:val="E36C09"/>
            </w:rPr>
            <m:t>s</m:t>
          </m:r>
          <m:r>
            <w:rPr>
              <w:color w:val="E36C09"/>
            </w:rPr>
            <m:t>s</m:t>
          </m:r>
          <m:r>
            <w:rPr>
              <w:color w:val="E36C09"/>
            </w:rPr>
            <m:t>D</m:t>
          </m:r>
          <m:r>
            <w:rPr>
              <w:color w:val="E36C09"/>
            </w:rPr>
            <m:t>e</m:t>
          </m:r>
          <m:r>
            <w:rPr>
              <w:color w:val="E36C09"/>
            </w:rPr>
            <m:t>c</m:t>
          </m:r>
          <m:r>
            <w:rPr>
              <w:color w:val="E36C09"/>
            </w:rPr>
            <m:t>i</m:t>
          </m:r>
          <m:r>
            <w:rPr>
              <w:color w:val="E36C09"/>
            </w:rPr>
            <m:t>s</m:t>
          </m:r>
          <m:r>
            <w:rPr>
              <w:color w:val="E36C09"/>
            </w:rPr>
            <m:t>i</m:t>
          </m:r>
          <m:r>
            <w:rPr>
              <w:color w:val="E36C09"/>
            </w:rPr>
            <m:t>o</m:t>
          </m:r>
          <m:r>
            <w:rPr>
              <w:color w:val="E36C09"/>
            </w:rPr>
            <m:t>n</m:t>
          </m:r>
          <m:r>
            <m:rPr>
              <m:sty m:val="p"/>
            </m:rPr>
            <w:rPr>
              <w:color w:val="E36C09"/>
            </w:rPr>
            <m:t>→</m:t>
          </m:r>
          <m:r>
            <w:rPr>
              <w:color w:val="E36C09"/>
            </w:rPr>
            <m:t>E</m:t>
          </m:r>
          <m:r>
            <w:rPr>
              <w:color w:val="E36C09"/>
            </w:rPr>
            <m:t>M</m:t>
          </m:r>
          <m:r>
            <w:rPr>
              <w:color w:val="E36C09"/>
            </w:rPr>
            <m:t>R</m:t>
          </m:r>
          <m:r>
            <m:rPr>
              <m:sty m:val="p"/>
            </m:rPr>
            <w:rPr>
              <w:color w:val="E36C09"/>
            </w:rPr>
            <m:t>→</m:t>
          </m:r>
          <m:r>
            <w:rPr>
              <w:color w:val="E36C09"/>
            </w:rPr>
            <m:t>A</m:t>
          </m:r>
          <m:r>
            <w:rPr>
              <w:color w:val="E36C09"/>
            </w:rPr>
            <m:t>u</m:t>
          </m:r>
          <m:r>
            <w:rPr>
              <w:color w:val="E36C09"/>
            </w:rPr>
            <m:t>d</m:t>
          </m:r>
          <m:r>
            <w:rPr>
              <w:color w:val="E36C09"/>
            </w:rPr>
            <m:t>i</m:t>
          </m:r>
          <m:r>
            <w:rPr>
              <w:color w:val="E36C09"/>
            </w:rPr>
            <m:t>t</m:t>
          </m:r>
        </m:oMath>
      </m:oMathPara>
    </w:p>
    <w:p>
      <w:pPr>
        <w:pStyle w:val="FirstParagraph"/>
      </w:pPr>
      <w:r>
        <w:t xml:space="preserve">where</w:t>
      </w:r>
      <w:r>
        <w:t xml:space="preserve"> </w:t>
      </w:r>
      <m:oMath>
        <m:r>
          <m:t>C</m:t>
        </m:r>
      </m:oMath>
      <w:r>
        <w:t xml:space="preserve"> </w:t>
      </w:r>
      <w:r>
        <w:t xml:space="preserve">denotes consent creation,</w:t>
      </w:r>
      <w:r>
        <w:t xml:space="preserve"> </w:t>
      </w:r>
      <m:oMath>
        <m:r>
          <m:t>M</m:t>
        </m:r>
        <m:r>
          <m:t>S</m:t>
        </m:r>
      </m:oMath>
      <w:r>
        <w:t xml:space="preserve"> </w:t>
      </w:r>
      <w:r>
        <w:t xml:space="preserve">multi-signature approval,</w:t>
      </w:r>
      <w:r>
        <w:t xml:space="preserve"> </w:t>
      </w:r>
      <m:oMath>
        <m:r>
          <m:t>S</m:t>
        </m:r>
        <m:r>
          <m:t>B</m:t>
        </m:r>
        <m:r>
          <m:t>T</m:t>
        </m:r>
      </m:oMath>
      <w:r>
        <w:t xml:space="preserve"> </w:t>
      </w:r>
      <w:r>
        <w:t xml:space="preserve">consent activation,</w:t>
      </w:r>
      <w:r>
        <w:t xml:space="preserve"> </w:t>
      </w:r>
      <m:oMath>
        <m:r>
          <m:t>S</m:t>
        </m:r>
        <m:r>
          <m:t>t</m:t>
        </m:r>
        <m:r>
          <m:t>a</m:t>
        </m:r>
        <m:r>
          <m:t>t</m:t>
        </m:r>
        <m:r>
          <m:t>e</m:t>
        </m:r>
        <m:r>
          <m:t>C</m:t>
        </m:r>
        <m:r>
          <m:t>h</m:t>
        </m:r>
        <m:r>
          <m:t>e</m:t>
        </m:r>
        <m:r>
          <m:t>c</m:t>
        </m:r>
        <m:r>
          <m:t>k</m:t>
        </m:r>
      </m:oMath>
      <w:r>
        <w:t xml:space="preserve"> </w:t>
      </w:r>
      <w:r>
        <w:t xml:space="preserve">lifecycle validation,</w:t>
      </w:r>
      <w:r>
        <w:t xml:space="preserve"> </w:t>
      </w:r>
      <m:oMath>
        <m:r>
          <m:t>A</m:t>
        </m:r>
        <m:r>
          <m:t>c</m:t>
        </m:r>
        <m:r>
          <m:t>c</m:t>
        </m:r>
        <m:r>
          <m:t>e</m:t>
        </m:r>
        <m:r>
          <m:t>s</m:t>
        </m:r>
        <m:r>
          <m:t>s</m:t>
        </m:r>
        <m:r>
          <m:t>D</m:t>
        </m:r>
        <m:r>
          <m:t>e</m:t>
        </m:r>
        <m:r>
          <m:t>c</m:t>
        </m:r>
        <m:r>
          <m:t>i</m:t>
        </m:r>
        <m:r>
          <m:t>s</m:t>
        </m:r>
        <m:r>
          <m:t>i</m:t>
        </m:r>
        <m:r>
          <m:t>o</m:t>
        </m:r>
        <m:r>
          <m:t>n</m:t>
        </m:r>
      </m:oMath>
      <w:r>
        <w:t xml:space="preserve"> </w:t>
      </w:r>
      <w:r>
        <w:t xml:space="preserve">authorisation enforcement,</w:t>
      </w:r>
      <w:r>
        <w:t xml:space="preserve"> </w:t>
      </w:r>
      <m:oMath>
        <m:r>
          <m:t>E</m:t>
        </m:r>
        <m:r>
          <m:t>M</m:t>
        </m:r>
        <m:r>
          <m:t>R</m:t>
        </m:r>
      </m:oMath>
      <w:r>
        <w:t xml:space="preserve"> </w:t>
      </w:r>
      <w:r>
        <w:t xml:space="preserve">authorised medical-record access, and</w:t>
      </w:r>
      <w:r>
        <w:t xml:space="preserve"> </w:t>
      </w:r>
      <m:oMath>
        <m:r>
          <m:t>A</m:t>
        </m:r>
        <m:r>
          <m:t>u</m:t>
        </m:r>
        <m:r>
          <m:t>d</m:t>
        </m:r>
        <m:r>
          <m:t>i</m:t>
        </m:r>
        <m:r>
          <m:t>t</m:t>
        </m:r>
      </m:oMath>
      <w:r>
        <w:t xml:space="preserve"> </w:t>
      </w:r>
      <w:r>
        <w:t xml:space="preserve">immutable lifecycle recording.</w:t>
      </w:r>
    </w:p>
    <w:p>
      <w:pPr>
        <w:pStyle w:val="BodyText"/>
      </w:pPr>
      <w:r>
        <w:t xml:space="preserve">From a research-implementation perspective, the most significant feature of the presented subsystems is therefore the</w:t>
      </w:r>
      <w:r>
        <w:t xml:space="preserve"> </w:t>
      </w:r>
      <w:r>
        <w:rPr>
          <w:b/>
          <w:bCs/>
        </w:rPr>
        <w:t xml:space="preserve">continuity between consent specification, multi-party authorisation, access enforcement and audit evidence</w:t>
      </w:r>
      <w:r>
        <w:t xml:space="preserve">. The user subsystems provide a visible representation of this continuity, allowing the proposed HALAH model to be demonstrated as an operational authorisation workflow rather than only as a conceptual framework.</w:t>
      </w:r>
    </w:p>
    <w:bookmarkEnd w:id="159"/>
    <w:bookmarkStart w:id="163" w:name="X88b3d53607b792a9f4430f1be3c348b9a46cb27"/>
    <w:p>
      <w:pPr>
        <w:pStyle w:val="Heading2"/>
      </w:pPr>
      <w:r>
        <w:t xml:space="preserve">7.10 Implementation Mapping to the Source Code</w:t>
      </w:r>
    </w:p>
    <w:p>
      <w:pPr>
        <w:pStyle w:val="FirstParagraph"/>
      </w:pPr>
      <w:r>
        <w:t xml:space="preserve">Table 7.2 shows how the MVC layers of Chapter 5 are realised in the HALAH prototype (repository commit 0a960ca, 22 September 2026), so that the architectural claims can be checked directly against the source code.</w:t>
      </w:r>
    </w:p>
    <w:p>
      <w:pPr>
        <w:pStyle w:val="TableCaption"/>
      </w:pPr>
      <w:r>
        <w:t xml:space="preserve">Table 7.2: MVC layers and their HALAH implementation</w:t>
      </w:r>
    </w:p>
    <w:tbl>
      <w:tblPr>
        <w:tblStyle w:val="Table"/>
        <w:tblW w:type="pct" w:w="5000"/>
        <w:tblLayout w:type="fixed"/>
        <w:tblLook w:firstRow="1" w:lastRow="0" w:firstColumn="0" w:lastColumn="0" w:noHBand="0" w:noVBand="0" w:val="0020"/>
        <w:tblCaption w:val="Table 7.2: MVC layers and their HALAH implementation"/>
      </w:tblPr>
      <w:tblGrid>
        <w:gridCol w:w="1243"/>
        <w:gridCol w:w="3338"/>
        <w:gridCol w:w="3338"/>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Layer</w:t>
            </w:r>
          </w:p>
        </w:tc>
        <w:tc>
          <w:tcPr>
            <w:tcBorders>
              <w:bottom w:val="single" w:sz="8" w:space="0" w:color="000000"/>
            </w:tcBorders>
            <w:shd w:val="clear" w:color="auto" w:fill="E7E6E6"/>
            <w:vAlign w:val="center"/>
          </w:tcPr>
          <w:p>
            <w:pPr>
              <w:pStyle w:val="Compact"/>
              <w:jc w:val="left"/>
            </w:pPr>
            <w:r>
              <w:rPr>
                <w:b/>
                <w:bCs/>
              </w:rPr>
              <w:t xml:space="preserve">HALAH module(s)</w:t>
            </w:r>
          </w:p>
        </w:tc>
        <w:tc>
          <w:tcPr>
            <w:tcBorders>
              <w:bottom w:val="single" w:sz="8" w:space="0" w:color="000000"/>
            </w:tcBorders>
            <w:shd w:val="clear" w:color="auto" w:fill="E7E6E6"/>
            <w:vAlign w:val="center"/>
          </w:tcPr>
          <w:p>
            <w:pPr>
              <w:pStyle w:val="Compact"/>
              <w:jc w:val="left"/>
            </w:pPr>
            <w:r>
              <w:rPr>
                <w:b/>
                <w:bCs/>
              </w:rPr>
              <w:t xml:space="preserve">Responsibility</w:t>
            </w:r>
          </w:p>
        </w:tc>
      </w:tr>
      <w:tr>
        <w:trPr>
          <w:cantSplit/>
        </w:trPr>
        <w:tc>
          <w:tcPr/>
          <w:p>
            <w:pPr>
              <w:pStyle w:val="Compact"/>
              <w:jc w:val="left"/>
            </w:pPr>
            <w:r>
              <w:t xml:space="preserve">View</w:t>
            </w:r>
          </w:p>
        </w:tc>
        <w:tc>
          <w:tcPr/>
          <w:p>
            <w:pPr>
              <w:pStyle w:val="Compact"/>
              <w:jc w:val="left"/>
            </w:pPr>
            <w:r>
              <w:t xml:space="preserve">app.py (Patient, Guardian, Doctor and Auditor pages); halah_theme.py</w:t>
            </w:r>
          </w:p>
        </w:tc>
        <w:tc>
          <w:tcPr/>
          <w:p>
            <w:pPr>
              <w:pStyle w:val="Compact"/>
              <w:jc w:val="left"/>
            </w:pPr>
            <w:r>
              <w:t xml:space="preserve">Role-specific interaction; submits requests only</w:t>
            </w:r>
          </w:p>
        </w:tc>
      </w:tr>
      <w:tr>
        <w:trPr>
          <w:cantSplit/>
        </w:trPr>
        <w:tc>
          <w:tcPr/>
          <w:p>
            <w:pPr>
              <w:pStyle w:val="Compact"/>
              <w:jc w:val="left"/>
            </w:pPr>
            <w:r>
              <w:t xml:space="preserve">Controller</w:t>
            </w:r>
          </w:p>
        </w:tc>
        <w:tc>
          <w:tcPr/>
          <w:p>
            <w:pPr>
              <w:pStyle w:val="Compact"/>
              <w:jc w:val="left"/>
            </w:pPr>
            <w:r>
              <w:t xml:space="preserve">services/consent_service.py</w:t>
            </w:r>
          </w:p>
        </w:tc>
        <w:tc>
          <w:tcPr/>
          <w:p>
            <w:pPr>
              <w:pStyle w:val="Compact"/>
              <w:jc w:val="left"/>
            </w:pPr>
            <w:r>
              <w:t xml:space="preserve">Consent creation (Algorithm 1)</w:t>
            </w:r>
          </w:p>
        </w:tc>
      </w:tr>
      <w:tr>
        <w:trPr>
          <w:cantSplit/>
        </w:trPr>
        <w:tc>
          <w:tcPr/>
          <w:p>
            <w:pPr>
              <w:pStyle w:val="Compact"/>
              <w:jc w:val="left"/>
            </w:pPr>
            <w:r>
              <w:t xml:space="preserve">Controller</w:t>
            </w:r>
          </w:p>
        </w:tc>
        <w:tc>
          <w:tcPr/>
          <w:p>
            <w:pPr>
              <w:pStyle w:val="Compact"/>
              <w:jc w:val="left"/>
            </w:pPr>
            <w:r>
              <w:t xml:space="preserve">services/identity_service.py</w:t>
            </w:r>
          </w:p>
        </w:tc>
        <w:tc>
          <w:tcPr/>
          <w:p>
            <w:pPr>
              <w:pStyle w:val="Compact"/>
              <w:jc w:val="left"/>
            </w:pPr>
            <w:r>
              <w:t xml:space="preserve">DID check; EIP-712 approval signing and verification (Algorithm 2,</w:t>
            </w:r>
            <w:r>
              <w:t xml:space="preserve"> </w:t>
            </w:r>
            <m:oMath>
              <m:sSub>
                <m:e>
                  <m:r>
                    <m:t>V</m:t>
                  </m:r>
                </m:e>
                <m:sub>
                  <m:r>
                    <m:t>I</m:t>
                  </m:r>
                </m:sub>
              </m:sSub>
            </m:oMath>
            <w:r>
              <w:t xml:space="preserve">)</w:t>
            </w:r>
          </w:p>
        </w:tc>
      </w:tr>
      <w:tr>
        <w:trPr>
          <w:cantSplit/>
        </w:trPr>
        <w:tc>
          <w:tcPr/>
          <w:p>
            <w:pPr>
              <w:pStyle w:val="Compact"/>
              <w:jc w:val="left"/>
            </w:pPr>
            <w:r>
              <w:t xml:space="preserve">Controller</w:t>
            </w:r>
          </w:p>
        </w:tc>
        <w:tc>
          <w:tcPr/>
          <w:p>
            <w:pPr>
              <w:pStyle w:val="Compact"/>
              <w:jc w:val="left"/>
            </w:pPr>
            <w:r>
              <w:t xml:space="preserve">services/state_service.py</w:t>
            </w:r>
          </w:p>
        </w:tc>
        <w:tc>
          <w:tcPr/>
          <w:p>
            <w:pPr>
              <w:pStyle w:val="Compact"/>
              <w:jc w:val="left"/>
            </w:pPr>
            <w:r>
              <w:t xml:space="preserve">Consent state: PENDING_SIGNATURE, PENDING_TOKEN, NOT_STARTED, EXPIRED, REVOKED, ACTIVE (</w:t>
            </w:r>
            <m:oMath>
              <m:sSub>
                <m:e>
                  <m:r>
                    <m:t>V</m:t>
                  </m:r>
                </m:e>
                <m:sub>
                  <m:r>
                    <m:t>A</m:t>
                  </m:r>
                </m:sub>
              </m:sSub>
            </m:oMath>
            <w:r>
              <w:t xml:space="preserve">,</w:t>
            </w:r>
            <w:r>
              <w:t xml:space="preserve"> </w:t>
            </w:r>
            <m:oMath>
              <m:sSub>
                <m:e>
                  <m:r>
                    <m:t>V</m:t>
                  </m:r>
                </m:e>
                <m:sub>
                  <m:r>
                    <m:t>T</m:t>
                  </m:r>
                </m:sub>
              </m:sSub>
            </m:oMath>
            <w:r>
              <w:t xml:space="preserve">)</w:t>
            </w:r>
          </w:p>
        </w:tc>
      </w:tr>
      <w:tr>
        <w:trPr>
          <w:cantSplit/>
        </w:trPr>
        <w:tc>
          <w:tcPr/>
          <w:p>
            <w:pPr>
              <w:pStyle w:val="Compact"/>
              <w:jc w:val="left"/>
            </w:pPr>
            <w:r>
              <w:t xml:space="preserve">Controller</w:t>
            </w:r>
          </w:p>
        </w:tc>
        <w:tc>
          <w:tcPr/>
          <w:p>
            <w:pPr>
              <w:pStyle w:val="Compact"/>
              <w:jc w:val="left"/>
            </w:pPr>
            <w:r>
              <w:t xml:space="preserve">services/access_service.py</w:t>
            </w:r>
          </w:p>
        </w:tc>
        <w:tc>
          <w:tcPr/>
          <w:p>
            <w:pPr>
              <w:pStyle w:val="Compact"/>
              <w:jc w:val="left"/>
            </w:pPr>
            <w:r>
              <w:t xml:space="preserve">Scope check, release gate and decision matrix (Algorithm 4,</w:t>
            </w:r>
            <w:r>
              <w:t xml:space="preserve"> </w:t>
            </w:r>
            <m:oMath>
              <m:sSub>
                <m:e>
                  <m:r>
                    <m:t>V</m:t>
                  </m:r>
                </m:e>
                <m:sub>
                  <m:r>
                    <m:t>P</m:t>
                  </m:r>
                </m:sub>
              </m:sSub>
            </m:oMath>
            <w:r>
              <w:t xml:space="preserve">)</w:t>
            </w:r>
          </w:p>
        </w:tc>
      </w:tr>
      <w:tr>
        <w:trPr>
          <w:cantSplit/>
        </w:trPr>
        <w:tc>
          <w:tcPr/>
          <w:p>
            <w:pPr>
              <w:pStyle w:val="Compact"/>
              <w:jc w:val="left"/>
            </w:pPr>
            <w:r>
              <w:t xml:space="preserve">Controller</w:t>
            </w:r>
          </w:p>
        </w:tc>
        <w:tc>
          <w:tcPr/>
          <w:p>
            <w:pPr>
              <w:pStyle w:val="Compact"/>
              <w:jc w:val="left"/>
            </w:pPr>
            <w:r>
              <w:t xml:space="preserve">services/blockchain_service.py; services/anchor_service.py</w:t>
            </w:r>
          </w:p>
        </w:tc>
        <w:tc>
          <w:tcPr/>
          <w:p>
            <w:pPr>
              <w:pStyle w:val="Compact"/>
              <w:jc w:val="left"/>
            </w:pPr>
            <w:r>
              <w:t xml:space="preserve">SBT minting, revocation and on-chain anchoring (evidence</w:t>
            </w:r>
            <w:r>
              <w:t xml:space="preserve"> </w:t>
            </w:r>
            <m:oMath>
              <m:r>
                <m:t>E</m:t>
              </m:r>
            </m:oMath>
            <w:r>
              <w:t xml:space="preserve">)</w:t>
            </w:r>
          </w:p>
        </w:tc>
      </w:tr>
      <w:tr>
        <w:trPr>
          <w:cantSplit/>
        </w:trPr>
        <w:tc>
          <w:tcPr/>
          <w:p>
            <w:pPr>
              <w:pStyle w:val="Compact"/>
              <w:jc w:val="left"/>
            </w:pPr>
            <w:r>
              <w:t xml:space="preserve">Model</w:t>
            </w:r>
          </w:p>
        </w:tc>
        <w:tc>
          <w:tcPr/>
          <w:p>
            <w:pPr>
              <w:pStyle w:val="Compact"/>
              <w:jc w:val="left"/>
            </w:pPr>
            <w:r>
              <w:t xml:space="preserve">models/consent.py; models/access.py</w:t>
            </w:r>
          </w:p>
        </w:tc>
        <w:tc>
          <w:tcPr/>
          <w:p>
            <w:pPr>
              <w:pStyle w:val="Compact"/>
              <w:jc w:val="left"/>
            </w:pPr>
            <w:r>
              <w:t xml:space="preserve">Consent object</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and access request</w:t>
            </w:r>
            <w:r>
              <w:t xml:space="preserve"> </w:t>
            </w:r>
            <m:oMath>
              <m:r>
                <m:t>R</m:t>
              </m:r>
            </m:oMath>
          </w:p>
        </w:tc>
      </w:tr>
      <w:tr>
        <w:trPr>
          <w:cantSplit/>
        </w:trPr>
        <w:tc>
          <w:tcPr/>
          <w:p>
            <w:pPr>
              <w:pStyle w:val="Compact"/>
              <w:jc w:val="left"/>
            </w:pPr>
            <w:r>
              <w:t xml:space="preserve">Model</w:t>
            </w:r>
          </w:p>
        </w:tc>
        <w:tc>
          <w:tcPr/>
          <w:p>
            <w:pPr>
              <w:pStyle w:val="Compact"/>
              <w:jc w:val="left"/>
            </w:pPr>
            <w:r>
              <w:t xml:space="preserve">database/ (SQLite persistence, audit log, DID mapping)</w:t>
            </w:r>
          </w:p>
        </w:tc>
        <w:tc>
          <w:tcPr/>
          <w:p>
            <w:pPr>
              <w:pStyle w:val="Compact"/>
              <w:jc w:val="left"/>
            </w:pPr>
            <w:r>
              <w:t xml:space="preserve">Persistent consent, approval and audit state</w:t>
            </w:r>
          </w:p>
        </w:tc>
      </w:tr>
      <w:tr>
        <w:trPr>
          <w:cantSplit/>
        </w:trPr>
        <w:tc>
          <w:tcPr/>
          <w:p>
            <w:pPr>
              <w:pStyle w:val="Compact"/>
              <w:jc w:val="left"/>
            </w:pPr>
            <w:r>
              <w:t xml:space="preserve">Protected resource</w:t>
            </w:r>
          </w:p>
        </w:tc>
        <w:tc>
          <w:tcPr/>
          <w:p>
            <w:pPr>
              <w:pStyle w:val="Compact"/>
              <w:jc w:val="left"/>
            </w:pPr>
            <w:r>
              <w:t xml:space="preserve">data/synthea/*.csv via database/repository.py</w:t>
            </w:r>
          </w:p>
        </w:tc>
        <w:tc>
          <w:tcPr/>
          <w:p>
            <w:pPr>
              <w:pStyle w:val="Compact"/>
              <w:jc w:val="left"/>
            </w:pPr>
            <w:r>
              <w:t xml:space="preserve">Synthetic EMR modules [41], released only after authorisation</w:t>
            </w:r>
          </w:p>
        </w:tc>
      </w:tr>
      <w:tr>
        <w:trPr>
          <w:cantSplit/>
        </w:trPr>
        <w:tc>
          <w:tcPr/>
          <w:p>
            <w:pPr>
              <w:pStyle w:val="Compact"/>
              <w:jc w:val="left"/>
            </w:pPr>
            <w:r>
              <w:t xml:space="preserve">Smart contract</w:t>
            </w:r>
          </w:p>
        </w:tc>
        <w:tc>
          <w:tcPr/>
          <w:p>
            <w:pPr>
              <w:pStyle w:val="Compact"/>
              <w:jc w:val="left"/>
            </w:pPr>
            <w:r>
              <w:t xml:space="preserve">contracts/ConsentSBTv3.sol</w:t>
            </w:r>
          </w:p>
        </w:tc>
        <w:tc>
          <w:tcPr/>
          <w:p>
            <w:pPr>
              <w:pStyle w:val="Compact"/>
              <w:jc w:val="left"/>
            </w:pPr>
            <w:r>
              <w:t xml:space="preserve">Soulbound consent token; on-chain validity; ERC-5484 burn [43]</w:t>
            </w:r>
          </w:p>
        </w:tc>
      </w:tr>
    </w:tbl>
    <w:p>
      <w:pPr>
        <w:pStyle w:val="BodyText"/>
      </w:pPr>
      <w:r>
        <w:t xml:space="preserve">Figure 7.6 traces one consent through the four subsystems of the prototype and shows where each check is enforced and which events are written to the audit log.</w:t>
      </w:r>
    </w:p>
    <w:p>
      <w:pPr>
        <w:pStyle w:val="CaptionedFigure"/>
      </w:pPr>
      <w:r>
        <w:drawing>
          <wp:inline>
            <wp:extent cx="3922776" cy="7689606"/>
            <wp:effectExtent b="0" l="0" r="0" t="0"/>
            <wp:docPr descr="Figure 7.6: HALAH prototype workflow from consent creation to audited access decision" title="" id="161" name="Picture"/>
            <a:graphic>
              <a:graphicData uri="http://schemas.openxmlformats.org/drawingml/2006/picture">
                <pic:pic>
                  <pic:nvPicPr>
                    <pic:cNvPr descr="media_col/fig_halah.png" id="162" name="Picture"/>
                    <pic:cNvPicPr>
                      <a:picLocks noChangeArrowheads="1" noChangeAspect="1"/>
                    </pic:cNvPicPr>
                  </pic:nvPicPr>
                  <pic:blipFill>
                    <a:blip r:embed="rId160"/>
                    <a:stretch>
                      <a:fillRect/>
                    </a:stretch>
                  </pic:blipFill>
                  <pic:spPr bwMode="auto">
                    <a:xfrm>
                      <a:off x="0" y="0"/>
                      <a:ext cx="3922776" cy="7689606"/>
                    </a:xfrm>
                    <a:prstGeom prst="rect">
                      <a:avLst/>
                    </a:prstGeom>
                    <a:noFill/>
                    <a:ln w="9525">
                      <a:noFill/>
                      <a:headEnd/>
                      <a:tailEnd/>
                    </a:ln>
                  </pic:spPr>
                </pic:pic>
              </a:graphicData>
            </a:graphic>
          </wp:inline>
        </w:drawing>
      </w:r>
    </w:p>
    <w:p>
      <w:pPr>
        <w:pStyle w:val="ImageCaption"/>
      </w:pPr>
      <w:r>
        <w:t xml:space="preserve">Figure 7.6: HALAH prototype workflow from consent creation to audited access decision</w:t>
      </w:r>
    </w:p>
    <w:bookmarkEnd w:id="163"/>
    <w:bookmarkStart w:id="164" w:name="automated-test-evidence"/>
    <w:p>
      <w:pPr>
        <w:pStyle w:val="Heading2"/>
      </w:pPr>
      <w:r>
        <w:t xml:space="preserve">7.11 Automated Test Evidence</w:t>
      </w:r>
    </w:p>
    <w:p>
      <w:pPr>
        <w:pStyle w:val="FirstParagraph"/>
      </w:pPr>
      <w:r>
        <w:t xml:space="preserve">Table 7.3 summarises the automated tests of the prototype (pytest 9.1.1, Python 3.11, run on 28 September 2026): 16 tests passed, 2 were skipped and none failed.</w:t>
      </w:r>
    </w:p>
    <w:p>
      <w:pPr>
        <w:pStyle w:val="TableCaption"/>
      </w:pPr>
      <w:r>
        <w:t xml:space="preserve">Table 7.3: Automated test results of the HALAH prototype</w:t>
      </w:r>
    </w:p>
    <w:tbl>
      <w:tblPr>
        <w:tblStyle w:val="Table"/>
        <w:tblW w:type="pct" w:w="5000"/>
        <w:tblLayout w:type="fixed"/>
        <w:tblLook w:firstRow="1" w:lastRow="0" w:firstColumn="0" w:lastColumn="0" w:noHBand="0" w:noVBand="0" w:val="0020"/>
        <w:tblCaption w:val="Table 7.3: Automated test results of the HALAH prototype"/>
      </w:tblPr>
      <w:tblGrid>
        <w:gridCol w:w="674"/>
        <w:gridCol w:w="2022"/>
        <w:gridCol w:w="2864"/>
        <w:gridCol w:w="786"/>
        <w:gridCol w:w="157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ID</w:t>
            </w:r>
          </w:p>
        </w:tc>
        <w:tc>
          <w:tcPr>
            <w:tcBorders>
              <w:bottom w:val="single" w:sz="8" w:space="0" w:color="000000"/>
            </w:tcBorders>
            <w:shd w:val="clear" w:color="auto" w:fill="E7E6E6"/>
            <w:vAlign w:val="center"/>
          </w:tcPr>
          <w:p>
            <w:pPr>
              <w:pStyle w:val="Compact"/>
              <w:jc w:val="left"/>
            </w:pPr>
            <w:r>
              <w:rPr>
                <w:b/>
                <w:bCs/>
              </w:rPr>
              <w:t xml:space="preserve">Scenario</w:t>
            </w:r>
          </w:p>
        </w:tc>
        <w:tc>
          <w:tcPr>
            <w:tcBorders>
              <w:bottom w:val="single" w:sz="8" w:space="0" w:color="000000"/>
            </w:tcBorders>
            <w:shd w:val="clear" w:color="auto" w:fill="E7E6E6"/>
            <w:vAlign w:val="center"/>
          </w:tcPr>
          <w:p>
            <w:pPr>
              <w:pStyle w:val="Compact"/>
              <w:jc w:val="left"/>
            </w:pPr>
            <w:r>
              <w:rPr>
                <w:b/>
                <w:bCs/>
              </w:rPr>
              <w:t xml:space="preserve">Condition tested → expected outcome</w:t>
            </w:r>
          </w:p>
        </w:tc>
        <w:tc>
          <w:tcPr>
            <w:tcBorders>
              <w:bottom w:val="single" w:sz="8" w:space="0" w:color="000000"/>
            </w:tcBorders>
            <w:shd w:val="clear" w:color="auto" w:fill="E7E6E6"/>
            <w:vAlign w:val="center"/>
          </w:tcPr>
          <w:p>
            <w:pPr>
              <w:pStyle w:val="Compact"/>
              <w:jc w:val="left"/>
            </w:pPr>
            <w:r>
              <w:rPr>
                <w:b/>
                <w:bCs/>
              </w:rPr>
              <w:t xml:space="preserve">Predicate</w:t>
            </w:r>
          </w:p>
        </w:tc>
        <w:tc>
          <w:tcPr>
            <w:tcBorders>
              <w:bottom w:val="single" w:sz="8" w:space="0" w:color="000000"/>
            </w:tcBorders>
            <w:shd w:val="clear" w:color="auto" w:fill="E7E6E6"/>
            <w:vAlign w:val="center"/>
          </w:tcPr>
          <w:p>
            <w:pPr>
              <w:pStyle w:val="Compact"/>
              <w:jc w:val="left"/>
            </w:pPr>
            <w:r>
              <w:rPr>
                <w:b/>
                <w:bCs/>
              </w:rPr>
              <w:t xml:space="preserve">Observed</w:t>
            </w:r>
          </w:p>
        </w:tc>
      </w:tr>
      <w:tr>
        <w:trPr>
          <w:cantSplit/>
        </w:trPr>
        <w:tc>
          <w:tcPr/>
          <w:p>
            <w:pPr>
              <w:pStyle w:val="Compact"/>
              <w:jc w:val="left"/>
            </w:pPr>
            <w:r>
              <w:t xml:space="preserve">T1</w:t>
            </w:r>
          </w:p>
        </w:tc>
        <w:tc>
          <w:tcPr/>
          <w:p>
            <w:pPr>
              <w:pStyle w:val="Compact"/>
              <w:jc w:val="left"/>
            </w:pPr>
            <w:r>
              <w:t xml:space="preserve">EIP-712 guardian approval</w:t>
            </w:r>
          </w:p>
        </w:tc>
        <w:tc>
          <w:tcPr/>
          <w:p>
            <w:pPr>
              <w:pStyle w:val="Compact"/>
              <w:jc w:val="left"/>
            </w:pPr>
            <w:r>
              <w:t xml:space="preserve">Valid signature accepted; wrong guardian, wrong consent ID and missing signature rejected</w:t>
            </w:r>
          </w:p>
        </w:tc>
        <w:tc>
          <w:tcPr/>
          <w:p>
            <w:pPr>
              <w:pStyle w:val="Compact"/>
              <w:jc w:val="left"/>
            </w:pPr>
            <m:oMath>
              <m:sSub>
                <m:e>
                  <m:r>
                    <m:t>V</m:t>
                  </m:r>
                </m:e>
                <m:sub>
                  <m:r>
                    <m:t>I</m:t>
                  </m:r>
                </m:sub>
              </m:sSub>
            </m:oMath>
          </w:p>
        </w:tc>
        <w:tc>
          <w:tcPr/>
          <w:p>
            <w:pPr>
              <w:pStyle w:val="Compact"/>
              <w:jc w:val="left"/>
            </w:pPr>
            <w:r>
              <w:t xml:space="preserve">Pass</w:t>
            </w:r>
          </w:p>
        </w:tc>
      </w:tr>
      <w:tr>
        <w:trPr>
          <w:cantSplit/>
        </w:trPr>
        <w:tc>
          <w:tcPr/>
          <w:p>
            <w:pPr>
              <w:pStyle w:val="Compact"/>
              <w:jc w:val="left"/>
            </w:pPr>
            <w:r>
              <w:t xml:space="preserve">T2</w:t>
            </w:r>
          </w:p>
        </w:tc>
        <w:tc>
          <w:tcPr/>
          <w:p>
            <w:pPr>
              <w:pStyle w:val="Compact"/>
              <w:jc w:val="left"/>
            </w:pPr>
            <w:r>
              <w:t xml:space="preserve">Decision matrix</w:t>
            </w:r>
          </w:p>
        </w:tc>
        <w:tc>
          <w:tcPr/>
          <w:p>
            <w:pPr>
              <w:pStyle w:val="Compact"/>
              <w:jc w:val="left"/>
            </w:pPr>
            <w:r>
              <w:t xml:space="preserve">All conditions true → ALLOW; wrong jurisdiction, expired consent, revoked consent, purpose</w:t>
            </w:r>
            <w:r>
              <w:t xml:space="preserve"> </w:t>
            </w:r>
            <w:r>
              <w:t xml:space="preserve">‘Marketing’</w:t>
            </w:r>
            <w:r>
              <w:t xml:space="preserve"> </w:t>
            </w:r>
            <w:r>
              <w:t xml:space="preserve">and forged signature each make the corresponding predicate fail</w:t>
            </w:r>
          </w:p>
        </w:tc>
        <w:tc>
          <w:tcPr/>
          <w:p>
            <w:pPr>
              <w:pStyle w:val="Compact"/>
              <w:jc w:val="left"/>
            </w:pPr>
            <m:oMath>
              <m:sSub>
                <m:e>
                  <m:r>
                    <m:t>V</m:t>
                  </m:r>
                </m:e>
                <m:sub>
                  <m:r>
                    <m:t>I</m:t>
                  </m:r>
                </m:sub>
              </m:sSub>
            </m:oMath>
            <w:r>
              <w:t xml:space="preserve">–</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T3</w:t>
            </w:r>
          </w:p>
        </w:tc>
        <w:tc>
          <w:tcPr/>
          <w:p>
            <w:pPr>
              <w:pStyle w:val="Compact"/>
              <w:jc w:val="left"/>
            </w:pPr>
            <w:r>
              <w:t xml:space="preserve">End-to-end lifecycle (chain mocked)</w:t>
            </w:r>
          </w:p>
        </w:tc>
        <w:tc>
          <w:tcPr/>
          <w:p>
            <w:pPr>
              <w:pStyle w:val="Compact"/>
              <w:jc w:val="left"/>
            </w:pPr>
            <w:r>
              <w:t xml:space="preserve">Create → PENDING_SIGNATURE; two signatures and mint → ACTIVE; revoke → REVOKED</w:t>
            </w:r>
          </w:p>
        </w:tc>
        <w:tc>
          <w:tcPr/>
          <w:p>
            <w:pPr>
              <w:pStyle w:val="Compact"/>
              <w:jc w:val="left"/>
            </w:pPr>
            <m:oMath>
              <m:sSub>
                <m:e>
                  <m:r>
                    <m:t>V</m:t>
                  </m:r>
                </m:e>
                <m:sub>
                  <m:r>
                    <m:t>A</m:t>
                  </m:r>
                </m:sub>
              </m:sSub>
            </m:oMath>
            <w:r>
              <w:t xml:space="preserve">,</w:t>
            </w:r>
            <w:r>
              <w:t xml:space="preserve"> </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T4</w:t>
            </w:r>
          </w:p>
        </w:tc>
        <w:tc>
          <w:tcPr/>
          <w:p>
            <w:pPr>
              <w:pStyle w:val="Compact"/>
              <w:jc w:val="left"/>
            </w:pPr>
            <w:r>
              <w:t xml:space="preserve">Revocation state</w:t>
            </w:r>
          </w:p>
        </w:tc>
        <w:tc>
          <w:tcPr/>
          <w:p>
            <w:pPr>
              <w:pStyle w:val="Compact"/>
              <w:jc w:val="left"/>
            </w:pPr>
            <w:r>
              <w:t xml:space="preserve">An ACTIVE consent becomes REVOKED when revoked</w:t>
            </w:r>
          </w:p>
        </w:tc>
        <w:tc>
          <w:tcPr/>
          <w:p>
            <w:pPr>
              <w:pStyle w:val="Compact"/>
              <w:jc w:val="left"/>
            </w:pP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T5</w:t>
            </w:r>
          </w:p>
        </w:tc>
        <w:tc>
          <w:tcPr/>
          <w:p>
            <w:pPr>
              <w:pStyle w:val="Compact"/>
              <w:jc w:val="left"/>
            </w:pPr>
            <w:r>
              <w:t xml:space="preserve">v3 contract routing</w:t>
            </w:r>
          </w:p>
        </w:tc>
        <w:tc>
          <w:tcPr/>
          <w:p>
            <w:pPr>
              <w:pStyle w:val="Compact"/>
              <w:jc w:val="left"/>
            </w:pPr>
            <w:r>
              <w:t xml:space="preserve">The v3 mint carries jurisdiction</w:t>
            </w:r>
            <w:r>
              <w:t xml:space="preserve"> </w:t>
            </w:r>
            <w:r>
              <w:t xml:space="preserve">‘AU’</w:t>
            </w:r>
            <w:r>
              <w:t xml:space="preserve"> </w:t>
            </w:r>
            <w:r>
              <w:t xml:space="preserve">and notBefore &lt; expiry</w:t>
            </w:r>
          </w:p>
        </w:tc>
        <w:tc>
          <w:tcPr/>
          <w:p>
            <w:pPr>
              <w:pStyle w:val="Compact"/>
              <w:jc w:val="left"/>
            </w:pPr>
            <m:oMath>
              <m:sSub>
                <m:e>
                  <m:r>
                    <m:t>V</m:t>
                  </m:r>
                </m:e>
                <m:sub>
                  <m:r>
                    <m:t>T</m:t>
                  </m:r>
                </m:sub>
              </m:sSub>
            </m:oMath>
          </w:p>
        </w:tc>
        <w:tc>
          <w:tcPr/>
          <w:p>
            <w:pPr>
              <w:pStyle w:val="Compact"/>
              <w:jc w:val="left"/>
            </w:pPr>
            <w:r>
              <w:t xml:space="preserve">Pass</w:t>
            </w:r>
          </w:p>
        </w:tc>
      </w:tr>
      <w:tr>
        <w:trPr>
          <w:cantSplit/>
        </w:trPr>
        <w:tc>
          <w:tcPr/>
          <w:p>
            <w:pPr>
              <w:pStyle w:val="Compact"/>
              <w:jc w:val="left"/>
            </w:pPr>
            <w:r>
              <w:t xml:space="preserve">T6</w:t>
            </w:r>
          </w:p>
        </w:tc>
        <w:tc>
          <w:tcPr/>
          <w:p>
            <w:pPr>
              <w:pStyle w:val="Compact"/>
              <w:jc w:val="left"/>
            </w:pPr>
            <w:r>
              <w:t xml:space="preserve">Persistence (3 tests)</w:t>
            </w:r>
          </w:p>
        </w:tc>
        <w:tc>
          <w:tcPr/>
          <w:p>
            <w:pPr>
              <w:pStyle w:val="Compact"/>
              <w:jc w:val="left"/>
            </w:pPr>
            <w:r>
              <w:t xml:space="preserve">Consent, revocation and audit events survive a restart</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T7</w:t>
            </w:r>
          </w:p>
        </w:tc>
        <w:tc>
          <w:tcPr/>
          <w:p>
            <w:pPr>
              <w:pStyle w:val="Compact"/>
              <w:jc w:val="left"/>
            </w:pPr>
            <w:r>
              <w:t xml:space="preserve">Audit honesty (2 tests)</w:t>
            </w:r>
          </w:p>
        </w:tc>
        <w:tc>
          <w:tcPr/>
          <w:p>
            <w:pPr>
              <w:pStyle w:val="Compact"/>
              <w:jc w:val="left"/>
            </w:pPr>
            <w:r>
              <w:t xml:space="preserve">Off-chain events carry no synthetic transaction hash; on-chain events keep the real one</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T8</w:t>
            </w:r>
          </w:p>
        </w:tc>
        <w:tc>
          <w:tcPr/>
          <w:p>
            <w:pPr>
              <w:pStyle w:val="Compact"/>
              <w:jc w:val="left"/>
            </w:pPr>
            <w:r>
              <w:t xml:space="preserve">Configuration and honesty (6 tests)</w:t>
            </w:r>
          </w:p>
        </w:tc>
        <w:tc>
          <w:tcPr/>
          <w:p>
            <w:pPr>
              <w:pStyle w:val="Compact"/>
              <w:jc w:val="left"/>
            </w:pPr>
            <w:r>
              <w:t xml:space="preserve">Deterministic DID-to-address mapping, configuration checks, contract interface and honest interface labels</w:t>
            </w:r>
          </w:p>
        </w:tc>
        <w:tc>
          <w:tcPr/>
          <w:p>
            <w:pPr>
              <w:pStyle w:val="Compact"/>
              <w:jc w:val="left"/>
            </w:pPr>
            <w:r>
              <w:t xml:space="preserve">–</w:t>
            </w:r>
          </w:p>
        </w:tc>
        <w:tc>
          <w:tcPr/>
          <w:p>
            <w:pPr>
              <w:pStyle w:val="Compact"/>
              <w:jc w:val="left"/>
            </w:pPr>
            <w:r>
              <w:t xml:space="preserve">Pass</w:t>
            </w:r>
          </w:p>
        </w:tc>
      </w:tr>
      <w:tr>
        <w:trPr>
          <w:cantSplit/>
        </w:trPr>
        <w:tc>
          <w:tcPr/>
          <w:p>
            <w:pPr>
              <w:pStyle w:val="Compact"/>
              <w:jc w:val="left"/>
            </w:pPr>
            <w:r>
              <w:t xml:space="preserve">T9</w:t>
            </w:r>
          </w:p>
        </w:tc>
        <w:tc>
          <w:tcPr/>
          <w:p>
            <w:pPr>
              <w:pStyle w:val="Compact"/>
              <w:jc w:val="left"/>
            </w:pPr>
            <w:r>
              <w:t xml:space="preserve">Groth16 zero-knowledge (2 tests)</w:t>
            </w:r>
          </w:p>
        </w:tc>
        <w:tc>
          <w:tcPr/>
          <w:p>
            <w:pPr>
              <w:pStyle w:val="Compact"/>
              <w:jc w:val="left"/>
            </w:pPr>
            <w:r>
              <w:t xml:space="preserve">Proof round-trip and tamper rejection; an expired consent cannot be proven</w:t>
            </w:r>
          </w:p>
        </w:tc>
        <w:tc>
          <w:tcPr/>
          <w:p>
            <w:pPr>
              <w:pStyle w:val="Compact"/>
              <w:jc w:val="left"/>
            </w:pPr>
            <m:oMath>
              <m:sSub>
                <m:e>
                  <m:r>
                    <m:t>V</m:t>
                  </m:r>
                </m:e>
                <m:sub>
                  <m:r>
                    <m:t>T</m:t>
                  </m:r>
                </m:sub>
              </m:sSub>
            </m:oMath>
          </w:p>
        </w:tc>
        <w:tc>
          <w:tcPr/>
          <w:p>
            <w:pPr>
              <w:pStyle w:val="Compact"/>
              <w:jc w:val="left"/>
            </w:pPr>
            <w:r>
              <w:t xml:space="preserve">Skipped (circuit not built)</w:t>
            </w:r>
          </w:p>
        </w:tc>
      </w:tr>
    </w:tbl>
    <w:p>
      <w:pPr>
        <w:pStyle w:val="BodyText"/>
      </w:pPr>
      <w:r>
        <w:t xml:space="preserve">These are functional unit and integration tests in which the blockchain is mocked. They provide initial evidence for SRQ1–SRQ4 and for the first SRQ5 checks, but they are not yet the complete valid, negative and adversarial scenario set of Algorithm 6. Negative cases still to be added in Stage 2 include insufficient approvals at the data-release gate, a duplicate approval attempt, an out-of-scope request submitted directly to the service interface, and a request with a mismatched declared purpose.</w:t>
      </w:r>
    </w:p>
    <w:bookmarkEnd w:id="164"/>
    <w:bookmarkStart w:id="165" w:name="on-chain-evidence"/>
    <w:p>
      <w:pPr>
        <w:pStyle w:val="Heading2"/>
      </w:pPr>
      <w:r>
        <w:t xml:space="preserve">7.12 On-Chain Evidence</w:t>
      </w:r>
    </w:p>
    <w:p>
      <w:pPr>
        <w:pStyle w:val="FirstParagraph"/>
      </w:pPr>
      <w:r>
        <w:t xml:space="preserve">Table 7.4 lists the consent tokens anchored on the Ethereum Sepolia testnet (chain ID 11155111) by the ConsentSBTv2 contract at address 0xb0dA0440Abd6bd74bE0aebE226D593492124A6e7. The holder of token #4 equals the address derived from the patient DID</w:t>
      </w:r>
      <w:r>
        <w:t xml:space="preserve"> </w:t>
      </w:r>
      <w:r>
        <w:t xml:space="preserve">‘did:patient:demo’</w:t>
      </w:r>
      <w:r>
        <w:t xml:space="preserve">, which demonstrates the DID-to-address binding used by the prototype.</w:t>
      </w:r>
    </w:p>
    <w:p>
      <w:pPr>
        <w:pStyle w:val="TableCaption"/>
      </w:pPr>
      <w:r>
        <w:t xml:space="preserve">Table 7.4: Consent SBTs anchored on Ethereum Sepolia</w:t>
      </w:r>
    </w:p>
    <w:tbl>
      <w:tblPr>
        <w:tblStyle w:val="Table"/>
        <w:tblW w:type="pct" w:w="5000"/>
        <w:tblLayout w:type="fixed"/>
        <w:tblLook w:firstRow="1" w:lastRow="0" w:firstColumn="0" w:lastColumn="0" w:noHBand="0" w:noVBand="0" w:val="0020"/>
        <w:tblCaption w:val="Table 7.4: Consent SBTs anchored on Ethereum Sepolia"/>
      </w:tblPr>
      <w:tblGrid>
        <w:gridCol w:w="1267"/>
        <w:gridCol w:w="1267"/>
        <w:gridCol w:w="538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Token</w:t>
            </w:r>
          </w:p>
        </w:tc>
        <w:tc>
          <w:tcPr>
            <w:tcBorders>
              <w:bottom w:val="single" w:sz="8" w:space="0" w:color="000000"/>
            </w:tcBorders>
            <w:shd w:val="clear" w:color="auto" w:fill="E7E6E6"/>
            <w:vAlign w:val="center"/>
          </w:tcPr>
          <w:p>
            <w:pPr>
              <w:pStyle w:val="Compact"/>
              <w:jc w:val="left"/>
            </w:pPr>
            <w:r>
              <w:rPr>
                <w:b/>
                <w:bCs/>
              </w:rPr>
              <w:t xml:space="preserve">Block</w:t>
            </w:r>
          </w:p>
        </w:tc>
        <w:tc>
          <w:tcPr>
            <w:tcBorders>
              <w:bottom w:val="single" w:sz="8" w:space="0" w:color="000000"/>
            </w:tcBorders>
            <w:shd w:val="clear" w:color="auto" w:fill="E7E6E6"/>
            <w:vAlign w:val="center"/>
          </w:tcPr>
          <w:p>
            <w:pPr>
              <w:pStyle w:val="Compact"/>
              <w:jc w:val="left"/>
            </w:pPr>
            <w:r>
              <w:rPr>
                <w:b/>
                <w:bCs/>
              </w:rPr>
              <w:t xml:space="preserve">Transaction hash</w:t>
            </w:r>
          </w:p>
        </w:tc>
      </w:tr>
      <w:tr>
        <w:trPr>
          <w:cantSplit/>
        </w:trPr>
        <w:tc>
          <w:tcPr/>
          <w:p>
            <w:pPr>
              <w:pStyle w:val="Compact"/>
              <w:jc w:val="left"/>
            </w:pPr>
            <w:r>
              <w:t xml:space="preserve">#1</w:t>
            </w:r>
          </w:p>
        </w:tc>
        <w:tc>
          <w:tcPr/>
          <w:p>
            <w:pPr>
              <w:pStyle w:val="Compact"/>
              <w:jc w:val="left"/>
            </w:pPr>
            <w:r>
              <w:t xml:space="preserve">11750525</w:t>
            </w:r>
          </w:p>
        </w:tc>
        <w:tc>
          <w:tcPr/>
          <w:p>
            <w:pPr>
              <w:pStyle w:val="Compact"/>
              <w:jc w:val="left"/>
            </w:pPr>
            <w:r>
              <w:t xml:space="preserve">0x5bfb45ee43f180369161db5b2773593c8fab091bdc50e1b2054901c0de105367</w:t>
            </w:r>
          </w:p>
        </w:tc>
      </w:tr>
      <w:tr>
        <w:trPr>
          <w:cantSplit/>
        </w:trPr>
        <w:tc>
          <w:tcPr/>
          <w:p>
            <w:pPr>
              <w:pStyle w:val="Compact"/>
              <w:jc w:val="left"/>
            </w:pPr>
            <w:r>
              <w:t xml:space="preserve">#2</w:t>
            </w:r>
          </w:p>
        </w:tc>
        <w:tc>
          <w:tcPr/>
          <w:p>
            <w:pPr>
              <w:pStyle w:val="Compact"/>
              <w:jc w:val="left"/>
            </w:pPr>
            <w:r>
              <w:t xml:space="preserve">11750632</w:t>
            </w:r>
          </w:p>
        </w:tc>
        <w:tc>
          <w:tcPr/>
          <w:p>
            <w:pPr>
              <w:pStyle w:val="Compact"/>
              <w:jc w:val="left"/>
            </w:pPr>
            <w:r>
              <w:t xml:space="preserve">0x1b964596cdef2c67af345f566ea501a5be609a8e917097596b241e56fc522907</w:t>
            </w:r>
          </w:p>
        </w:tc>
      </w:tr>
      <w:tr>
        <w:trPr>
          <w:cantSplit/>
        </w:trPr>
        <w:tc>
          <w:tcPr/>
          <w:p>
            <w:pPr>
              <w:pStyle w:val="Compact"/>
              <w:jc w:val="left"/>
            </w:pPr>
            <w:r>
              <w:t xml:space="preserve">#3</w:t>
            </w:r>
          </w:p>
        </w:tc>
        <w:tc>
          <w:tcPr/>
          <w:p>
            <w:pPr>
              <w:pStyle w:val="Compact"/>
              <w:jc w:val="left"/>
            </w:pPr>
            <w:r>
              <w:t xml:space="preserve">11750702</w:t>
            </w:r>
          </w:p>
        </w:tc>
        <w:tc>
          <w:tcPr/>
          <w:p>
            <w:pPr>
              <w:pStyle w:val="Compact"/>
              <w:jc w:val="left"/>
            </w:pPr>
            <w:r>
              <w:t xml:space="preserve">0x6812ab1608bd475891d5a8c2007c6955e7225c06c81a649bd1735aabef251121</w:t>
            </w:r>
          </w:p>
        </w:tc>
      </w:tr>
      <w:tr>
        <w:trPr>
          <w:cantSplit/>
        </w:trPr>
        <w:tc>
          <w:tcPr/>
          <w:p>
            <w:pPr>
              <w:pStyle w:val="Compact"/>
              <w:jc w:val="left"/>
            </w:pPr>
            <w:r>
              <w:t xml:space="preserve">#4</w:t>
            </w:r>
          </w:p>
        </w:tc>
        <w:tc>
          <w:tcPr/>
          <w:p>
            <w:pPr>
              <w:pStyle w:val="Compact"/>
              <w:jc w:val="left"/>
            </w:pPr>
            <w:r>
              <w:t xml:space="preserve">11750722</w:t>
            </w:r>
          </w:p>
        </w:tc>
        <w:tc>
          <w:tcPr/>
          <w:p>
            <w:pPr>
              <w:pStyle w:val="Compact"/>
              <w:jc w:val="left"/>
            </w:pPr>
            <w:r>
              <w:t xml:space="preserve">0xa4c4156bd943578a6f8f29a536eb39e1acce238a86c5a4ad00d85eff497e014a</w:t>
            </w:r>
          </w:p>
        </w:tc>
      </w:tr>
    </w:tbl>
    <w:bookmarkEnd w:id="165"/>
    <w:bookmarkStart w:id="166" w:name="implementation-status-and-limitations"/>
    <w:p>
      <w:pPr>
        <w:pStyle w:val="Heading2"/>
      </w:pPr>
      <w:r>
        <w:t xml:space="preserve">7.13 Implementation Status and Limitations</w:t>
      </w:r>
    </w:p>
    <w:p>
      <w:pPr>
        <w:pStyle w:val="FirstParagraph"/>
      </w:pPr>
      <w:r>
        <w:t xml:space="preserve">The screenshots in Figures 7.1–7.5 were captured from the first version of the prototype. The current version (v1.1) records guardian approvals as EIP-712 signatures, labels the data-access proof as a placeholder unless the zero-knowledge circuit is built, and reports on-chain anchoring per event. The following limitations apply to the current evidence:</w:t>
      </w:r>
    </w:p>
    <w:p>
      <w:pPr>
        <w:pStyle w:val="Compact"/>
        <w:numPr>
          <w:ilvl w:val="0"/>
          <w:numId w:val="1076"/>
        </w:numPr>
      </w:pPr>
      <w:r>
        <w:t xml:space="preserve">Guardian signing keys are derived from the DID for demonstration; a deployment would use each guardian’s own wallet.</w:t>
      </w:r>
    </w:p>
    <w:p>
      <w:pPr>
        <w:pStyle w:val="Compact"/>
        <w:numPr>
          <w:ilvl w:val="0"/>
          <w:numId w:val="1076"/>
        </w:numPr>
      </w:pPr>
      <w:r>
        <w:t xml:space="preserve">DID verification is syntactic, and no W3C Verifiable Credential is yet issued or verified (Stage 2).</w:t>
      </w:r>
    </w:p>
    <w:p>
      <w:pPr>
        <w:pStyle w:val="Compact"/>
        <w:numPr>
          <w:ilvl w:val="0"/>
          <w:numId w:val="1076"/>
        </w:numPr>
      </w:pPr>
      <w:r>
        <w:t xml:space="preserve">The threshold is</w:t>
      </w:r>
      <w:r>
        <w:t xml:space="preserve"> </w:t>
      </w:r>
      <m:oMath>
        <m:r>
          <m:t>N</m:t>
        </m:r>
        <m:r>
          <m:rPr>
            <m:sty m:val="p"/>
          </m:rPr>
          <m:t>=</m:t>
        </m:r>
        <m:d>
          <m:dPr>
            <m:begChr m:val="|"/>
            <m:sepChr m:val=""/>
            <m:endChr m:val="|"/>
            <m:grow/>
          </m:dPr>
          <m:e>
            <m:r>
              <m:t>G</m:t>
            </m:r>
          </m:e>
        </m:d>
      </m:oMath>
      <w:r>
        <w:t xml:space="preserve"> </w:t>
      </w:r>
      <w:r>
        <w:t xml:space="preserve">(all designated guardians); configurable k-of-n thresholds are not yet supported.</w:t>
      </w:r>
    </w:p>
    <w:p>
      <w:pPr>
        <w:pStyle w:val="Compact"/>
        <w:numPr>
          <w:ilvl w:val="0"/>
          <w:numId w:val="1076"/>
        </w:numPr>
      </w:pPr>
      <w:r>
        <w:t xml:space="preserve">Purpose is checked against a fixed list; per-request purpose binding is Stage 2 work.</w:t>
      </w:r>
    </w:p>
    <w:p>
      <w:pPr>
        <w:pStyle w:val="Compact"/>
        <w:numPr>
          <w:ilvl w:val="0"/>
          <w:numId w:val="1076"/>
        </w:numPr>
      </w:pPr>
      <w:r>
        <w:t xml:space="preserve">Data release is gated by consent state, proof and scope rather than by the full decision matrix.</w:t>
      </w:r>
    </w:p>
    <w:p>
      <w:pPr>
        <w:pStyle w:val="Compact"/>
        <w:numPr>
          <w:ilvl w:val="0"/>
          <w:numId w:val="1076"/>
        </w:numPr>
      </w:pPr>
      <w:r>
        <w:t xml:space="preserve">Healthcare data are synthetic (Synthea [41]), and the blockchain is a public testnet rather than a production network.</w:t>
      </w:r>
    </w:p>
    <w:p>
      <w:pPr>
        <w:pStyle w:val="Compact"/>
        <w:numPr>
          <w:ilvl w:val="0"/>
          <w:numId w:val="1076"/>
        </w:numPr>
      </w:pPr>
      <w:r>
        <w:t xml:space="preserve">The Groth16 circuit proves consent validity only and uses a development-only trusted setup.</w:t>
      </w:r>
    </w:p>
    <w:p>
      <w:pPr>
        <w:pStyle w:val="Compact"/>
        <w:numPr>
          <w:ilvl w:val="0"/>
          <w:numId w:val="1076"/>
        </w:numPr>
      </w:pPr>
      <w:r>
        <w:t xml:space="preserve">Evaluation to date is functional (18 automated tests); performance and adversarial measurements are Stage 2 work.</w:t>
      </w:r>
    </w:p>
    <w:bookmarkEnd w:id="166"/>
    <w:bookmarkEnd w:id="167"/>
    <w:bookmarkStart w:id="174" w:name="current-progress-status"/>
    <w:p>
      <w:pPr>
        <w:pStyle w:val="Heading1"/>
      </w:pPr>
      <w:r>
        <w:t xml:space="preserve">8 Current Progress Status</w:t>
      </w:r>
    </w:p>
    <w:bookmarkStart w:id="168" w:name="X14610c74215ca842dde591adf203c91218a1a96"/>
    <w:p>
      <w:pPr>
        <w:pStyle w:val="Heading2"/>
      </w:pPr>
      <w:r>
        <w:t xml:space="preserve">8.1 Progress of RO1: Trust-Centric Consent Model</w:t>
      </w:r>
    </w:p>
    <w:p>
      <w:pPr>
        <w:pStyle w:val="FirstParagraph"/>
      </w:pPr>
      <w:r>
        <w:rPr>
          <w:b/>
          <w:bCs/>
        </w:rPr>
        <w:t xml:space="preserve">Status: Completed</w:t>
      </w:r>
    </w:p>
    <w:p>
      <w:pPr>
        <w:pStyle w:val="BodyText"/>
      </w:pPr>
      <w:r>
        <w:t xml:space="preserve">RO1 has been completed at the conceptual and prototype-design level.</w:t>
      </w:r>
    </w:p>
    <w:p>
      <w:pPr>
        <w:pStyle w:val="BodyText"/>
      </w:pPr>
      <w:r>
        <w:t xml:space="preserve">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w:t>
      </w:r>
    </w:p>
    <w:p>
      <w:pPr>
        <w:pStyle w:val="BodyText"/>
      </w:pPr>
      <w:r>
        <w:t xml:space="preserve">The model provides the foundation for the remaining objectives because the identity, multi-party approval, and policy mechanisms can all be evaluated against the same consent object.</w:t>
      </w:r>
    </w:p>
    <w:p>
      <w:pPr>
        <w:pStyle w:val="BodyText"/>
      </w:pPr>
      <w:r>
        <w:t xml:space="preserve">The current result demonstrates that consent can be represented as an evaluable authorisation object rather than as a binary permission. In the HALAH prototype the consent object is implemented as</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(Section 7.2). This provides a conceptual basis for dynamic access decisions and allows subsequent authorisation conditions to be evaluated consistently.</w:t>
      </w:r>
    </w:p>
    <w:bookmarkEnd w:id="168"/>
    <w:bookmarkStart w:id="169" w:name="X559e9df15ebd031f98715062b5b54bf7a8f1d60"/>
    <w:p>
      <w:pPr>
        <w:pStyle w:val="Heading2"/>
      </w:pPr>
      <w:r>
        <w:t xml:space="preserve">8.2 Progress of RO2: Decentralised Identity and Authority</w:t>
      </w:r>
    </w:p>
    <w:p>
      <w:pPr>
        <w:pStyle w:val="FirstParagraph"/>
      </w:pPr>
      <w:r>
        <w:rPr>
          <w:b/>
          <w:bCs/>
        </w:rPr>
        <w:t xml:space="preserve">Status: Completed (prototype level; W3C VC verification in Stage 2)</w:t>
      </w:r>
    </w:p>
    <w:p>
      <w:pPr>
        <w:pStyle w:val="BodyText"/>
      </w:pPr>
      <w:r>
        <w:t xml:space="preserve">RO2 has been completed at the conceptual and prototype level. The proposed framework explicitly separates identity authentication from authorisation authority (Eq. (1)).</w:t>
      </w:r>
    </w:p>
    <w:p>
      <w:pPr>
        <w:pStyle w:val="BodyText"/>
      </w:pPr>
      <w:r>
        <w:t xml:space="preserve">A decentralised identifier is used to establish the identity of a participant, while verifiable credentials provide evidence concerning the participant’s role or authority. The identity verification condition is given by Eq. (8).</w:t>
      </w:r>
    </w:p>
    <w:p>
      <w:pPr>
        <w:pStyle w:val="BodyText"/>
      </w:pPr>
      <w:r>
        <w:t xml:space="preserve">Successful identity verification therefore does not automatically grant access to healthcare information. Instead, identity and credential validity become trusted inputs to the subsequent authorisation process.</w:t>
      </w:r>
    </w:p>
    <w:p>
      <w:pPr>
        <w:pStyle w:val="BodyText"/>
      </w:pPr>
      <w:r>
        <w:t xml:space="preserve">The current implementation demonstrates the separation between participant identity and authorisation authority. A valid healthcare participant identity can be verified independently from the question of whether that participant is authorised to access a particular patient’s data. In the prototype, guardian approvals are EIP-712 signatures verified by public-key recovery; a wrong guardian, a wrong consent identifier or a missing signature is rejected (Table 7.3, T1).</w:t>
      </w:r>
    </w:p>
    <w:bookmarkEnd w:id="169"/>
    <w:bookmarkStart w:id="170" w:name="Xf706e6be99deea6c1433defe6c0978157a655ed"/>
    <w:p>
      <w:pPr>
        <w:pStyle w:val="Heading2"/>
      </w:pPr>
      <w:r>
        <w:t xml:space="preserve">8.3 Progress of RO3: Trustworthy Multi-Party Authorisation</w:t>
      </w:r>
    </w:p>
    <w:p>
      <w:pPr>
        <w:pStyle w:val="FirstParagraph"/>
      </w:pPr>
      <w:r>
        <w:rPr>
          <w:b/>
          <w:bCs/>
        </w:rPr>
        <w:t xml:space="preserve">Status: Completed</w:t>
      </w:r>
    </w:p>
    <w:p>
      <w:pPr>
        <w:pStyle w:val="BodyText"/>
      </w:pPr>
      <w:r>
        <w:t xml:space="preserve">RO3 has been completed at the conceptual and prototype level. The framework introduces threshold-based multi-party authorisation to prevent a single participant from unilaterally establishing sensitive healthcare data access.</w:t>
      </w:r>
    </w:p>
    <w:p>
      <w:pPr>
        <w:pStyle w:val="BodyText"/>
      </w:pPr>
      <w:r>
        <w:t xml:space="preserve">Let</w:t>
      </w:r>
      <w:r>
        <w:t xml:space="preserve"> </w:t>
      </w:r>
      <w:r>
        <w:rPr>
          <w:i/>
          <w:iCs/>
        </w:rPr>
        <w:t xml:space="preserve">A</w:t>
      </w:r>
      <w:r>
        <w:rPr>
          <w:vertAlign w:val="subscript"/>
        </w:rPr>
        <w:t xml:space="preserve">v</w:t>
      </w:r>
      <w:r>
        <w:t xml:space="preserve"> </w:t>
      </w:r>
      <w:r>
        <w:t xml:space="preserve">represent the set of independently verified authorisation participants and</w:t>
      </w:r>
      <w:r>
        <w:t xml:space="preserve"> </w:t>
      </w:r>
      <w:r>
        <w:rPr>
          <w:i/>
          <w:iCs/>
        </w:rPr>
        <w:t xml:space="preserve">N</w:t>
      </w:r>
      <w:r>
        <w:t xml:space="preserve"> </w:t>
      </w:r>
      <w:r>
        <w:t xml:space="preserve">represent the required approval threshold. The authorisation condition is given by Eq. (9).</w:t>
      </w:r>
    </w:p>
    <w:p>
      <w:pPr>
        <w:pStyle w:val="BodyText"/>
      </w:pPr>
      <w:r>
        <w:t xml:space="preserve">If the threshold is not satisfied, the decision is DENY (Eq. (10)).</w:t>
      </w:r>
    </w:p>
    <w:p>
      <w:pPr>
        <w:pStyle w:val="BodyText"/>
      </w:pPr>
      <w:r>
        <w:t xml:space="preserve">This mechanism allows the framework to distinguish between insufficient and sufficient collective authorisation.</w:t>
      </w:r>
    </w:p>
    <w:p>
      <w:pPr>
        <w:pStyle w:val="BodyText"/>
      </w:pPr>
      <w:r>
        <w:t xml:space="preserve">The prototype demonstrates that a consent object remains unable to establish valid authorisation until the required number of independently verified participants has approved it.</w:t>
      </w:r>
    </w:p>
    <w:p>
      <w:pPr>
        <w:pStyle w:val="BodyText"/>
      </w:pPr>
      <w:r>
        <w:t xml:space="preserve">For example, with two guardians, one approval leaves the consent in the PENDING_SIGNATURE state, and two approvals followed by SBT minting activate it (Eqs. (22)–(23); Figure 7.2; Table 7.3, T3).</w:t>
      </w:r>
    </w:p>
    <w:p>
      <w:pPr>
        <w:pStyle w:val="BodyText"/>
      </w:pPr>
      <w:r>
        <w:t xml:space="preserve">This provides preliminary evidence that the proposed framework can enforce collective rather than unilateral authorisation.</w:t>
      </w:r>
    </w:p>
    <w:bookmarkEnd w:id="170"/>
    <w:bookmarkStart w:id="171" w:name="X8600b2f76ef27bbd75c7c71838aa9377b2ebdb3"/>
    <w:p>
      <w:pPr>
        <w:pStyle w:val="Heading2"/>
      </w:pPr>
      <w:r>
        <w:t xml:space="preserve">8.4 Progress of RO4: Policy-Aware Access Control</w:t>
      </w:r>
    </w:p>
    <w:p>
      <w:pPr>
        <w:pStyle w:val="FirstParagraph"/>
      </w:pPr>
      <w:r>
        <w:rPr>
          <w:b/>
          <w:bCs/>
        </w:rPr>
        <w:t xml:space="preserve">Status: Completed (prototype level)</w:t>
      </w:r>
    </w:p>
    <w:p>
      <w:pPr>
        <w:pStyle w:val="BodyText"/>
      </w:pPr>
      <w:r>
        <w:t xml:space="preserve">RO4 has been implemented at prototype level. The Doctor interface (Figures 7.3–7.4, Section 7.4) allows the requester to select only modules from the consented scope, and the service layer independently enforces</w:t>
      </w:r>
      <w:r>
        <w:t xml:space="preserve"> </w:t>
      </w:r>
      <m:oMath>
        <m:sSub>
          <m:e>
            <m:r>
              <m:t>S</m:t>
            </m:r>
          </m:e>
          <m:sub>
            <m:r>
              <m:t>R</m:t>
            </m:r>
          </m:sub>
        </m:sSub>
        <m:r>
          <m:rPr>
            <m:sty m:val="p"/>
          </m:rPr>
          <m:t>⊆</m:t>
        </m:r>
        <m:sSub>
          <m:e>
            <m:r>
              <m:t>S</m:t>
            </m:r>
          </m:e>
          <m:sub>
            <m:r>
              <m:t>C</m:t>
            </m:r>
          </m:sub>
        </m:sSub>
      </m:oMath>
      <w:r>
        <w:t xml:space="preserve"> </w:t>
      </w:r>
      <w:r>
        <w:t xml:space="preserve">(Eq. (25)); a request outside the consented scope is refused with an ACCESS DENIED result that is written to the audit log together with the evaluated scope. The purpose predicate is currently evaluated against the set of permitted purposes {Treatment, Research, Emergency}; binding a purpose declared in each request to the consented purpose (</w:t>
      </w:r>
      <m:oMath>
        <m:sSub>
          <m:e>
            <m:r>
              <m:t>P</m:t>
            </m:r>
          </m:e>
          <m:sub>
            <m:r>
              <m:t>R</m:t>
            </m:r>
          </m:sub>
        </m:sSub>
        <m:r>
          <m:rPr>
            <m:sty m:val="p"/>
          </m:rPr>
          <m:t>⊨</m:t>
        </m:r>
        <m:sSub>
          <m:e>
            <m:r>
              <m:t>P</m:t>
            </m:r>
          </m:e>
          <m:sub>
            <m:r>
              <m:t>C</m:t>
            </m:r>
          </m:sub>
        </m:sSub>
      </m:oMath>
      <w:r>
        <w:t xml:space="preserve">) and routing data release through the full decision matrix are scheduled for Stage 2 (Section 6.4.1).</w:t>
      </w:r>
    </w:p>
    <w:bookmarkEnd w:id="171"/>
    <w:bookmarkStart w:id="172" w:name="X8e6146f09fe285d619620b5d8a35865b7344e11"/>
    <w:p>
      <w:pPr>
        <w:pStyle w:val="Heading2"/>
      </w:pPr>
      <w:r>
        <w:t xml:space="preserve">8.5 Progress of RO5: Temporal and Lifecycle Trust</w:t>
      </w:r>
    </w:p>
    <w:p>
      <w:pPr>
        <w:pStyle w:val="FirstParagraph"/>
      </w:pPr>
      <w:r>
        <w:rPr>
          <w:b/>
          <w:bCs/>
        </w:rPr>
        <w:t xml:space="preserve">Status: Partially completed (prototype; formal lifecycle analysis in Stage 2)</w:t>
      </w:r>
    </w:p>
    <w:p>
      <w:pPr>
        <w:pStyle w:val="BodyText"/>
      </w:pPr>
      <w:r>
        <w:t xml:space="preserve">A first version of RO5 is already operational in the HALAH prototype (Section 6.5.1); Stage 2 adds formal transition rules and adversarial evaluation. The objective is to introduce temporal and lifecycle trust so that consent is not considered permanently valid after creation or approval. The consent validity interval is represented as [</w:t>
      </w:r>
      <w:r>
        <w:rPr>
          <w:i/>
          <w:iCs/>
        </w:rPr>
        <w:t xml:space="preserve">t</w:t>
      </w:r>
      <w:r>
        <w:rPr>
          <w:vertAlign w:val="subscript"/>
        </w:rPr>
        <w:t xml:space="preserve">s</w:t>
      </w:r>
      <w:r>
        <w:rPr>
          <w:i/>
          <w:iCs/>
        </w:rPr>
        <w:t xml:space="preserve">, t</w:t>
      </w:r>
      <w:r>
        <w:rPr>
          <w:vertAlign w:val="subscript"/>
        </w:rPr>
        <w:t xml:space="preserve">e</w:t>
      </w:r>
      <w:r>
        <w:t xml:space="preserve">], with temporal validity defined by Eq. (12).</w:t>
      </w:r>
    </w:p>
    <w:p>
      <w:pPr>
        <w:pStyle w:val="BodyText"/>
      </w:pPr>
      <w:r>
        <w:t xml:space="preserve">The consent lifecycle will also be extended to represent controlled transitions such as those of Eq. (14).</w:t>
      </w:r>
    </w:p>
    <w:p>
      <w:pPr>
        <w:pStyle w:val="BodyText"/>
      </w:pPr>
      <w:r>
        <w:t xml:space="preserve">The expected outcome is a lifecycle-aware consent mechanism capable of rejecting access after expiration or revocation and preventing unauthorised lifecycle transitions. This work will constitute a major component of</w:t>
      </w:r>
      <w:r>
        <w:t xml:space="preserve"> </w:t>
      </w:r>
      <w:r>
        <w:rPr>
          <w:rStyle w:val="OrangeFix"/>
        </w:rPr>
        <w:t xml:space="preserve">the</w:t>
      </w:r>
      <w:r>
        <w:t xml:space="preserve"> </w:t>
      </w:r>
      <w:r>
        <w:t xml:space="preserve">next stage.</w:t>
      </w:r>
    </w:p>
    <w:bookmarkEnd w:id="172"/>
    <w:bookmarkStart w:id="173" w:name="Xd9cfcdd9e757a6720ff3496d27d05dcd5fd4592"/>
    <w:p>
      <w:pPr>
        <w:pStyle w:val="Heading2"/>
      </w:pPr>
      <w:r>
        <w:t xml:space="preserve">8.6 Progress of RO6: Security Assurance and Validation</w:t>
      </w:r>
    </w:p>
    <w:p>
      <w:pPr>
        <w:pStyle w:val="FirstParagraph"/>
      </w:pPr>
      <w:r>
        <w:rPr>
          <w:b/>
          <w:bCs/>
        </w:rPr>
        <w:t xml:space="preserve">Status: Partially completed (SRQ1–SRQ4; 16 automated tests passed, Table 7.3)</w:t>
      </w:r>
    </w:p>
    <w:p>
      <w:pPr>
        <w:pStyle w:val="BodyText"/>
      </w:pPr>
      <w:r>
        <w:t xml:space="preserve">RO6 is partially completed through the implementation and initial scenario-based validation of the HALAH prototype.</w:t>
      </w:r>
    </w:p>
    <w:p>
      <w:pPr>
        <w:pStyle w:val="BodyText"/>
      </w:pPr>
      <w:r>
        <w:t xml:space="preserve">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pStyle w:val="BodyText"/>
      </w:pPr>
      <w:r>
        <w:t xml:space="preserve">The current validation covers SRQ1–SRQ4 and the first SRQ5 checks (Section 7.11). Representative scenarios include valid identity verification, invalid identity or credential submission, insufficient multi-party approval, and successful completion of the required approval threshold. The central decision model is given by Eq. (6).</w:t>
      </w:r>
    </w:p>
    <w:p>
      <w:pPr>
        <w:pStyle w:val="BodyText"/>
      </w:pPr>
      <w:r>
        <w:t xml:space="preserve">At the current stage, the experimental evidence primarily demonstrates the consistency between the implemented consent, identity, and multi-party authorisation mechanisms and their corresponding research questions.</w:t>
      </w:r>
    </w:p>
    <w:p>
      <w:pPr>
        <w:pStyle w:val="BodyText"/>
      </w:pPr>
      <w:r>
        <w:t xml:space="preserve">The remaining security assurance and comprehensive empirical evaluation will be conducted in</w:t>
      </w:r>
      <w:r>
        <w:t xml:space="preserve"> </w:t>
      </w:r>
      <w:r>
        <w:rPr>
          <w:rStyle w:val="OrangeFix"/>
        </w:rPr>
        <w:t xml:space="preserve">the</w:t>
      </w:r>
      <w:r>
        <w:t xml:space="preserve"> </w:t>
      </w:r>
      <w:r>
        <w:t xml:space="preserve">next stage. These activities will include policy-violation scenarios, temporal expiration, revocation, invalid lifecycle transitions, formal security properties, and broader experimental validation.</w:t>
      </w:r>
    </w:p>
    <w:bookmarkEnd w:id="173"/>
    <w:bookmarkEnd w:id="174"/>
    <w:bookmarkStart w:id="175" w:name="publications-summary"/>
    <w:p>
      <w:pPr>
        <w:pStyle w:val="Heading1"/>
      </w:pPr>
      <w:r>
        <w:t xml:space="preserve">9 Publications Summary</w:t>
      </w:r>
    </w:p>
    <w:p>
      <w:pPr>
        <w:pStyle w:val="FirstParagraph"/>
      </w:pPr>
      <w:r>
        <w:t xml:space="preserve">The publication activities associated with this research are organised according to their current development status and their structural contribution to the thesis chapters and research questions.</w:t>
      </w:r>
    </w:p>
    <w:p>
      <w:pPr>
        <w:pStyle w:val="TableCaption"/>
      </w:pPr>
      <w:r>
        <w:t xml:space="preserve">Table 9.1: Summary of Research Outputs and Publication Plan</w:t>
      </w:r>
    </w:p>
    <w:tbl>
      <w:tblPr>
        <w:tblStyle w:val="Table"/>
        <w:tblW w:type="pct" w:w="5000"/>
        <w:tblLayout w:type="fixed"/>
        <w:tblLook w:firstRow="1" w:lastRow="0" w:firstColumn="0" w:lastColumn="0" w:noHBand="0" w:noVBand="0" w:val="0020"/>
        <w:tblCaption w:val="Table 9.1: Summary of Research Outputs and Publication Plan"/>
      </w:tblPr>
      <w:tblGrid>
        <w:gridCol w:w="2207"/>
        <w:gridCol w:w="1384"/>
        <w:gridCol w:w="2120"/>
        <w:gridCol w:w="2207"/>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Output / Topic</w:t>
            </w:r>
          </w:p>
        </w:tc>
        <w:tc>
          <w:tcPr>
            <w:tcBorders>
              <w:bottom w:val="single" w:sz="8" w:space="0" w:color="000000"/>
            </w:tcBorders>
            <w:shd w:val="clear" w:color="auto" w:fill="E7E6E6"/>
            <w:vAlign w:val="center"/>
          </w:tcPr>
          <w:p>
            <w:pPr>
              <w:pStyle w:val="Compact"/>
              <w:jc w:val="left"/>
            </w:pPr>
            <w:r>
              <w:rPr>
                <w:b/>
                <w:bCs/>
              </w:rPr>
              <w:t xml:space="preserve">Target Venue</w:t>
            </w:r>
          </w:p>
        </w:tc>
        <w:tc>
          <w:tcPr>
            <w:tcBorders>
              <w:bottom w:val="single" w:sz="8" w:space="0" w:color="000000"/>
            </w:tcBorders>
            <w:shd w:val="clear" w:color="auto" w:fill="E7E6E6"/>
            <w:vAlign w:val="center"/>
          </w:tcPr>
          <w:p>
            <w:pPr>
              <w:pStyle w:val="Compact"/>
              <w:jc w:val="left"/>
            </w:pPr>
            <w:r>
              <w:rPr>
                <w:b/>
                <w:bCs/>
              </w:rPr>
              <w:t xml:space="preserve">Current Status</w:t>
            </w:r>
          </w:p>
        </w:tc>
        <w:tc>
          <w:tcPr>
            <w:tcBorders>
              <w:bottom w:val="single" w:sz="8" w:space="0" w:color="000000"/>
            </w:tcBorders>
            <w:shd w:val="clear" w:color="auto" w:fill="E7E6E6"/>
            <w:vAlign w:val="center"/>
          </w:tcPr>
          <w:p>
            <w:pPr>
              <w:pStyle w:val="Compact"/>
              <w:jc w:val="left"/>
            </w:pPr>
            <w:r>
              <w:rPr>
                <w:b/>
                <w:bCs/>
              </w:rPr>
              <w:t xml:space="preserve">Thesis Alignment</w:t>
            </w:r>
          </w:p>
        </w:tc>
      </w:tr>
      <w:tr>
        <w:trPr>
          <w:cantSplit/>
        </w:trPr>
        <w:tc>
          <w:tcPr/>
          <w:p>
            <w:pPr>
              <w:pStyle w:val="Compact"/>
              <w:jc w:val="left"/>
            </w:pPr>
            <w:r>
              <w:rPr>
                <w:b/>
                <w:bCs/>
              </w:rPr>
              <w:t xml:space="preserve">Trust-Centric Consent Framework</w:t>
            </w:r>
            <w:r>
              <w:t xml:space="preserve"> </w:t>
            </w:r>
            <w:r>
              <w:rPr>
                <w:i/>
                <w:iCs/>
              </w:rPr>
              <w:t xml:space="preserve">Model architecture and multi-party authorisation policies</w:t>
            </w:r>
          </w:p>
        </w:tc>
        <w:tc>
          <w:tcPr/>
          <w:p>
            <w:pPr>
              <w:pStyle w:val="Compact"/>
              <w:jc w:val="left"/>
            </w:pPr>
            <w:r>
              <w:t xml:space="preserve">Computers &amp; Security (Elsevier)</w:t>
            </w:r>
          </w:p>
        </w:tc>
        <w:tc>
          <w:tcPr/>
          <w:p>
            <w:pPr>
              <w:pStyle w:val="Compact"/>
              <w:jc w:val="left"/>
            </w:pPr>
            <w:r>
              <w:t xml:space="preserve">Draft complete; submission planned November 2026</w:t>
            </w:r>
          </w:p>
        </w:tc>
        <w:tc>
          <w:tcPr/>
          <w:p>
            <w:pPr>
              <w:pStyle w:val="Compact"/>
              <w:jc w:val="left"/>
            </w:pPr>
            <w:r>
              <w:t xml:space="preserve">Core architectural contribution; addresses</w:t>
            </w:r>
            <w:r>
              <w:t xml:space="preserve"> </w:t>
            </w:r>
            <w:r>
              <w:rPr>
                <w:rStyle w:val="OrangeDelete"/>
              </w:rPr>
              <w:t xml:space="preserve">SRQ1-RQ4</w:t>
            </w:r>
            <w:r>
              <w:rPr>
                <w:rStyle w:val="OrangeFix"/>
              </w:rPr>
              <w:t xml:space="preserve">SRQ1–SRQ4</w:t>
            </w:r>
            <w:r>
              <w:t xml:space="preserve"> </w:t>
            </w:r>
            <w:r>
              <w:t xml:space="preserve">(Chapters</w:t>
            </w:r>
            <w:r>
              <w:t xml:space="preserve"> </w:t>
            </w:r>
            <w:r>
              <w:rPr>
                <w:rStyle w:val="OrangeDelete"/>
              </w:rPr>
              <w:t xml:space="preserve">3-4)</w:t>
            </w:r>
            <w:r>
              <w:rPr>
                <w:rStyle w:val="OrangeFix"/>
              </w:rPr>
              <w:t xml:space="preserve">3–4)</w:t>
            </w:r>
            <w:r>
              <w:t xml:space="preserve">.</w:t>
            </w:r>
          </w:p>
        </w:tc>
      </w:tr>
      <w:tr>
        <w:trPr>
          <w:cantSplit/>
        </w:trPr>
        <w:tc>
          <w:tcPr/>
          <w:p>
            <w:pPr>
              <w:pStyle w:val="Compact"/>
              <w:jc w:val="left"/>
            </w:pPr>
            <w:r>
              <w:rPr>
                <w:b/>
                <w:bCs/>
              </w:rPr>
              <w:t xml:space="preserve">HALAH Prototype &amp; Validation</w:t>
            </w:r>
            <w:r>
              <w:t xml:space="preserve"> </w:t>
            </w:r>
            <w:r>
              <w:rPr>
                <w:i/>
                <w:iCs/>
              </w:rPr>
              <w:t xml:space="preserve">Decentralised implementation and functional security evaluation</w:t>
            </w:r>
          </w:p>
        </w:tc>
        <w:tc>
          <w:tcPr/>
          <w:p>
            <w:pPr>
              <w:pStyle w:val="Compact"/>
              <w:jc w:val="left"/>
            </w:pPr>
            <w:r>
              <w:t xml:space="preserve">Systems / Security Conference</w:t>
            </w:r>
          </w:p>
        </w:tc>
        <w:tc>
          <w:tcPr/>
          <w:p>
            <w:pPr>
              <w:pStyle w:val="Compact"/>
              <w:jc w:val="left"/>
            </w:pPr>
            <w:r>
              <w:t xml:space="preserve">In Progress</w:t>
            </w:r>
          </w:p>
        </w:tc>
        <w:tc>
          <w:tcPr/>
          <w:p>
            <w:pPr>
              <w:pStyle w:val="Compact"/>
              <w:jc w:val="left"/>
            </w:pPr>
            <w:r>
              <w:t xml:space="preserve">Empirical validation platform; addresses implementation and evaluation (Chapter 5).</w:t>
            </w:r>
          </w:p>
        </w:tc>
      </w:tr>
      <w:tr>
        <w:trPr>
          <w:cantSplit/>
        </w:trPr>
        <w:tc>
          <w:tcPr/>
          <w:p>
            <w:pPr>
              <w:pStyle w:val="Compact"/>
              <w:jc w:val="left"/>
            </w:pPr>
            <w:r>
              <w:rPr>
                <w:b/>
                <w:bCs/>
              </w:rPr>
              <w:t xml:space="preserve">Formal Security &amp; Lifecycle Analysis</w:t>
            </w:r>
            <w:r>
              <w:t xml:space="preserve"> </w:t>
            </w:r>
            <w:r>
              <w:rPr>
                <w:i/>
                <w:iCs/>
              </w:rPr>
              <w:t xml:space="preserve">Verification of temporal constraints and state transitions</w:t>
            </w:r>
          </w:p>
        </w:tc>
        <w:tc>
          <w:tcPr/>
          <w:p>
            <w:pPr>
              <w:pStyle w:val="Compact"/>
              <w:jc w:val="left"/>
            </w:pPr>
            <w:r>
              <w:t xml:space="preserve">Specialised Workshop / Journal</w:t>
            </w:r>
          </w:p>
        </w:tc>
        <w:tc>
          <w:tcPr/>
          <w:p>
            <w:pPr>
              <w:pStyle w:val="Compact"/>
              <w:jc w:val="left"/>
            </w:pPr>
            <w:r>
              <w:t xml:space="preserve">Planned</w:t>
            </w:r>
          </w:p>
        </w:tc>
        <w:tc>
          <w:tcPr/>
          <w:p>
            <w:pPr>
              <w:pStyle w:val="Compact"/>
              <w:jc w:val="left"/>
            </w:pPr>
            <w:r>
              <w:t xml:space="preserve">Next stage research extension; addresses formal security assurance (Chapter 5).</w:t>
            </w:r>
          </w:p>
        </w:tc>
      </w:tr>
    </w:tbl>
    <w:p>
      <w:pPr>
        <w:pStyle w:val="BodyText"/>
      </w:pPr>
      <w: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bookmarkEnd w:id="175"/>
    <w:bookmarkStart w:id="178" w:name="research-plan"/>
    <w:p>
      <w:pPr>
        <w:pStyle w:val="Heading1"/>
      </w:pPr>
      <w:r>
        <w:t xml:space="preserve">10 Research Plan</w:t>
      </w:r>
    </w:p>
    <w:p>
      <w:pPr>
        <w:pStyle w:val="FirstParagraph"/>
      </w:pPr>
      <w:r>
        <w:t xml:space="preserve">The research plan is divided into two major stages corresponding to</w:t>
      </w:r>
      <w:r>
        <w:t xml:space="preserve"> </w:t>
      </w:r>
      <w:r>
        <w:rPr>
          <w:rStyle w:val="OrangeDelete"/>
        </w:rPr>
        <w:t xml:space="preserve">current and next stage</w:t>
      </w:r>
      <w:r>
        <w:rPr>
          <w:rStyle w:val="OrangeFix"/>
        </w:rPr>
        <w:t xml:space="preserve">the current and next stages</w:t>
      </w:r>
      <w:r>
        <w:t xml:space="preserve">.</w:t>
      </w:r>
    </w:p>
    <w:bookmarkStart w:id="176" w:name="current-stage-completed-and-current-work"/>
    <w:p>
      <w:pPr>
        <w:pStyle w:val="Heading2"/>
      </w:pPr>
      <w:r>
        <w:t xml:space="preserve">10.1 Current Stage: Completed and Current Work</w:t>
      </w:r>
    </w:p>
    <w:p>
      <w:pPr>
        <w:pStyle w:val="FirstParagrap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BodyText"/>
      </w:pPr>
      <w:r>
        <w:t xml:space="preserve">RO1–RO4 have been implemented at prototype level and initially validated through the HALAH prototype (Chapter 7), and a first version of RO5 (expiry and revocation) is already operational.</w:t>
      </w:r>
    </w:p>
    <w:bookmarkEnd w:id="176"/>
    <w:bookmarkStart w:id="177" w:name="next-stage-planned-work"/>
    <w:p>
      <w:pPr>
        <w:pStyle w:val="Heading2"/>
      </w:pPr>
      <w:r>
        <w:t xml:space="preserve">10.2 Next Stage: Planned Work</w:t>
      </w:r>
    </w:p>
    <w:p>
      <w:pPr>
        <w:pStyle w:val="FirstParagraph"/>
      </w:pPr>
      <w:r>
        <w:t xml:space="preserve">The next stage will build upon the foundational trust-oriented authorisation framework established during the current stage and extend the research towards dynamic consent governance, formal security assurance, and comprehensive empirical validation. While</w:t>
      </w:r>
      <w:r>
        <w:t xml:space="preserve"> </w:t>
      </w:r>
      <w:r>
        <w:rPr>
          <w:rStyle w:val="OrangeFix"/>
        </w:rPr>
        <w:t xml:space="preserve">the</w:t>
      </w:r>
      <w:r>
        <w:t xml:space="preserve"> </w:t>
      </w:r>
      <w:r>
        <w:t xml:space="preserve">current stage focuses on establishing the core mechanisms required to construct a trustworthy authorisation decision,</w:t>
      </w:r>
      <w:r>
        <w:t xml:space="preserve"> </w:t>
      </w:r>
      <w:r>
        <w:rPr>
          <w:rStyle w:val="OrangeFix"/>
        </w:rPr>
        <w:t xml:space="preserve">the</w:t>
      </w:r>
      <w:r>
        <w:t xml:space="preserve"> </w:t>
      </w:r>
      <w:r>
        <w:t xml:space="preserve">next stage will investigate whether this trust can be maintained over time, formally justified, and reliably demonstrated in practical healthcare data-sharing scenarios.</w:t>
      </w:r>
    </w:p>
    <w:p>
      <w:pPr>
        <w:pStyle w:val="BodyText"/>
      </w:pPr>
      <w:r>
        <w:t xml:space="preserve">The first major focus of</w:t>
      </w:r>
      <w:r>
        <w:t xml:space="preserve"> </w:t>
      </w:r>
      <w:r>
        <w:rPr>
          <w:rStyle w:val="OrangeFix"/>
        </w:rPr>
        <w:t xml:space="preserve">the</w:t>
      </w:r>
      <w:r>
        <w:t xml:space="preserve"> </w:t>
      </w:r>
      <w:r>
        <w:t xml:space="preserve">next stage is the introduction of</w:t>
      </w:r>
      <w:r>
        <w:t xml:space="preserve"> </w:t>
      </w:r>
      <w:r>
        <w:rPr>
          <w:i/>
          <w:iCs/>
        </w:rPr>
        <w:t xml:space="preserve">temporal and lifecycle trust</w:t>
      </w:r>
      <w:r>
        <w:t xml:space="preserve">.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w:t>
      </w:r>
      <w:r>
        <w:t xml:space="preserve"> </w:t>
      </w:r>
      <w:r>
        <w:rPr>
          <w:rStyle w:val="OrangeDelete"/>
        </w:rPr>
        <w:t xml:space="preserve">Next</w:t>
      </w:r>
      <w:r>
        <w:rPr>
          <w:rStyle w:val="OrangeFix"/>
        </w:rPr>
        <w:t xml:space="preserve">The next</w:t>
      </w:r>
      <w:r>
        <w:t xml:space="preserve"> </w:t>
      </w:r>
      <w:r>
        <w:t xml:space="preserve">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pStyle w:val="BodyText"/>
      </w:pPr>
      <w:r>
        <w:t xml:space="preserve">The second focus is</w:t>
      </w:r>
      <w:r>
        <w:t xml:space="preserve"> </w:t>
      </w:r>
      <w:r>
        <w:rPr>
          <w:i/>
          <w:iCs/>
        </w:rPr>
        <w:t xml:space="preserve">formal security assurance</w:t>
      </w:r>
      <w:r>
        <w:t xml:space="preserve">. The current stage framework establishes the conceptual relationship between identity verification, collective authorisation, and policy enforcement. The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pStyle w:val="BodyText"/>
      </w:pPr>
      <w:r>
        <w:t xml:space="preserve">The third focus is</w:t>
      </w:r>
      <w:r>
        <w:t xml:space="preserve"> </w:t>
      </w:r>
      <w:r>
        <w:rPr>
          <w:i/>
          <w:iCs/>
        </w:rPr>
        <w:t xml:space="preserve">comprehensive empirical validation</w:t>
      </w:r>
      <w:r>
        <w:t xml:space="preserve">. The HALAH prototype provides the experimental environment for evaluating the proposed framework using synthetic healthcare data and representative multi-party consent scenarios.</w:t>
      </w:r>
      <w:r>
        <w:t xml:space="preserve"> </w:t>
      </w:r>
      <w:r>
        <w:rPr>
          <w:rStyle w:val="OrangeDelete"/>
        </w:rPr>
        <w:t xml:space="preserve">Next</w:t>
      </w:r>
      <w:r>
        <w:rPr>
          <w:rStyle w:val="OrangeFix"/>
        </w:rPr>
        <w:t xml:space="preserve">The next</w:t>
      </w:r>
      <w:r>
        <w:t xml:space="preserve"> </w:t>
      </w:r>
      <w:r>
        <w:t xml:space="preserve">stage will extend the current prototype-based evaluation to include both successful and adversarial access requests. The experiments will examine whether the implementation consistently produces an</w:t>
      </w:r>
      <w:r>
        <w:t xml:space="preserve"> </w:t>
      </w:r>
      <w:r>
        <w:rPr>
          <w:i/>
          <w:iCs/>
        </w:rPr>
        <w:t xml:space="preserve">ALLOW</w:t>
      </w:r>
      <w:r>
        <w:t xml:space="preserve"> </w:t>
      </w:r>
      <w:r>
        <w:t xml:space="preserve">decision only when the required trust conditions are satisfied and produces a</w:t>
      </w:r>
      <w:r>
        <w:t xml:space="preserve"> </w:t>
      </w:r>
      <w:r>
        <w:rPr>
          <w:i/>
          <w:iCs/>
        </w:rPr>
        <w:t xml:space="preserve">DENY</w:t>
      </w:r>
      <w:r>
        <w:t xml:space="preserve"> </w:t>
      </w:r>
      <w:r>
        <w:t xml:space="preserve">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10.1.</w:t>
      </w:r>
    </w:p>
    <w:p>
      <w:pPr>
        <w:pStyle w:val="BodyText"/>
      </w:pPr>
      <w:r>
        <w:t xml:space="preserve">An important analytical objective of</w:t>
      </w:r>
      <w:r>
        <w:t xml:space="preserve"> </w:t>
      </w:r>
      <w:r>
        <w:rPr>
          <w:rStyle w:val="OrangeFix"/>
        </w:rPr>
        <w:t xml:space="preserve">the</w:t>
      </w:r>
      <w:r>
        <w:t xml:space="preserve"> </w:t>
      </w:r>
      <w:r>
        <w:t xml:space="preserve">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pStyle w:val="TableCaption"/>
      </w:pPr>
      <w:r>
        <w:t xml:space="preserve">Table 10.1: Next Stage Research Activities, Methodological Focus, and Expected Outcomes</w:t>
      </w:r>
    </w:p>
    <w:tbl>
      <w:tblPr>
        <w:tblStyle w:val="Table"/>
        <w:tblW w:type="pct" w:w="5000"/>
        <w:tblLayout w:type="fixed"/>
        <w:tblLook w:firstRow="1" w:lastRow="0" w:firstColumn="0" w:lastColumn="0" w:noHBand="0" w:noVBand="0" w:val="0020"/>
        <w:tblCaption w:val="Table 10.1: Next Stage Research Activities, Methodological Focus, and Expected Outcomes"/>
      </w:tblPr>
      <w:tblGrid>
        <w:gridCol w:w="2640"/>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Focus</w:t>
            </w:r>
          </w:p>
        </w:tc>
        <w:tc>
          <w:tcPr>
            <w:tcBorders>
              <w:bottom w:val="single" w:sz="8" w:space="0" w:color="000000"/>
            </w:tcBorders>
            <w:shd w:val="clear" w:color="auto" w:fill="E7E6E6"/>
            <w:vAlign w:val="center"/>
          </w:tcPr>
          <w:p>
            <w:pPr>
              <w:pStyle w:val="Compact"/>
              <w:jc w:val="left"/>
            </w:pPr>
            <w:r>
              <w:rPr>
                <w:b/>
                <w:bCs/>
              </w:rPr>
              <w:t xml:space="preserve">Planned Activities</w:t>
            </w:r>
          </w:p>
        </w:tc>
        <w:tc>
          <w:tcPr>
            <w:tcBorders>
              <w:bottom w:val="single" w:sz="8" w:space="0" w:color="000000"/>
            </w:tcBorders>
            <w:shd w:val="clear" w:color="auto" w:fill="E7E6E6"/>
            <w:vAlign w:val="center"/>
          </w:tcPr>
          <w:p>
            <w:pPr>
              <w:pStyle w:val="Compact"/>
              <w:jc w:val="left"/>
            </w:pPr>
            <w:r>
              <w:rPr>
                <w:b/>
                <w:bCs/>
              </w:rPr>
              <w:t xml:space="preserve">Expected Outcome</w:t>
            </w:r>
          </w:p>
        </w:tc>
      </w:tr>
      <w:tr>
        <w:trPr>
          <w:cantSplit/>
        </w:trPr>
        <w:tc>
          <w:tcPr/>
          <w:p>
            <w:pPr>
              <w:pStyle w:val="Compact"/>
              <w:jc w:val="left"/>
            </w:pPr>
            <w:r>
              <w:rPr>
                <w:b/>
                <w:bCs/>
              </w:rPr>
              <w:t xml:space="preserve">Temporal and Lifecycle Trust</w:t>
            </w:r>
            <w:r>
              <w:t xml:space="preserve"> </w:t>
            </w:r>
            <w:r>
              <w:t xml:space="preserve">(Dynamic Consent States)</w:t>
            </w:r>
          </w:p>
        </w:tc>
        <w:tc>
          <w:tcPr/>
          <w:p>
            <w:pPr>
              <w:pStyle w:val="Compact"/>
              <w:jc w:val="left"/>
            </w:pPr>
            <w:r>
              <w:t xml:space="preserve">Extend the consent model to incorporate validity periods, dynamic expiration, immediate revocation, and controlled lifecycle transitions. Evaluate access decisions under varying temporal and consent-state constraints.</w:t>
            </w:r>
          </w:p>
        </w:tc>
        <w:tc>
          <w:tcPr/>
          <w:p>
            <w:pPr>
              <w:pStyle w:val="Compact"/>
              <w:jc w:val="left"/>
            </w:pPr>
            <w:r>
              <w:t xml:space="preserve">A robust, dynamic consent management mechanism capable of validating whether an authorisation remains active at the precise point of access.</w:t>
            </w:r>
          </w:p>
        </w:tc>
      </w:tr>
      <w:tr>
        <w:trPr>
          <w:cantSplit/>
        </w:trPr>
        <w:tc>
          <w:tcPr/>
          <w:p>
            <w:pPr>
              <w:pStyle w:val="Compact"/>
              <w:jc w:val="left"/>
            </w:pPr>
            <w:r>
              <w:rPr>
                <w:b/>
                <w:bCs/>
              </w:rPr>
              <w:t xml:space="preserve">Formal Security Assurance</w:t>
            </w:r>
            <w:r>
              <w:t xml:space="preserve"> </w:t>
            </w:r>
            <w:r>
              <w:t xml:space="preserve">(Properties &amp; Verification)</w:t>
            </w:r>
          </w:p>
        </w:tc>
        <w:tc>
          <w:tcPr/>
          <w:p>
            <w:pPr>
              <w:pStyle w:val="Compact"/>
              <w:jc w:val="left"/>
            </w:pPr>
            <w:r>
              <w:t xml:space="preserve">Formally define critical security properties and analyse system behaviour under adverse conditions, including invalid identities, insufficient multi-party approvals, policy violations, expired/revoked states, and illegal transitions.</w:t>
            </w:r>
          </w:p>
        </w:tc>
        <w:tc>
          <w:tcPr/>
          <w:p>
            <w:pPr>
              <w:pStyle w:val="Compact"/>
              <w:jc w:val="left"/>
            </w:pPr>
            <w:r>
              <w:t xml:space="preserve">A rigorous formal security model and verification proof establishing explicit security guarantees for the trust-oriented authorisation framework.</w:t>
            </w:r>
          </w:p>
        </w:tc>
      </w:tr>
      <w:tr>
        <w:trPr>
          <w:cantSplit/>
        </w:trPr>
        <w:tc>
          <w:tcPr/>
          <w:p>
            <w:pPr>
              <w:pStyle w:val="Compact"/>
              <w:jc w:val="left"/>
            </w:pPr>
            <w:r>
              <w:rPr>
                <w:b/>
                <w:bCs/>
              </w:rPr>
              <w:t xml:space="preserve">Comprehensive Empirical Validation</w:t>
            </w:r>
            <w:r>
              <w:t xml:space="preserve"> </w:t>
            </w:r>
            <w:r>
              <w:t xml:space="preserve">(HALAH Prototype Scenarios)</w:t>
            </w:r>
          </w:p>
        </w:tc>
        <w:tc>
          <w:tcPr/>
          <w:p>
            <w:pPr>
              <w:pStyle w:val="Compact"/>
              <w:jc w:val="left"/>
            </w:pPr>
            <w:r>
              <w:t xml:space="preserve">Scale and extend HALAH prototype experiments using representative positive and negative healthcare data-sharing scenarios. Measure and compare observed system runtime performance, overhead, and enforcement accuracy.</w:t>
            </w:r>
          </w:p>
        </w:tc>
        <w:tc>
          <w:tcPr/>
          <w:p>
            <w:pPr>
              <w:pStyle w:val="Compact"/>
              <w:jc w:val="left"/>
            </w:pPr>
            <w:r>
              <w:t xml:space="preserve">Empirical evidence and benchmark datasets demonstrating that the implementation consistently and efficiently enforces the proposed authorisation model.</w:t>
            </w:r>
          </w:p>
        </w:tc>
      </w:tr>
      <w:tr>
        <w:trPr>
          <w:cantSplit/>
        </w:trPr>
        <w:tc>
          <w:tcPr/>
          <w:p>
            <w:pPr>
              <w:pStyle w:val="Compact"/>
              <w:jc w:val="left"/>
            </w:pPr>
            <w:r>
              <w:rPr>
                <w:b/>
                <w:bCs/>
              </w:rPr>
              <w:t xml:space="preserve">Integrated Framework Evaluation</w:t>
            </w:r>
            <w:r>
              <w:t xml:space="preserve"> </w:t>
            </w:r>
            <w:r>
              <w:t xml:space="preserve">(Synthesis &amp; End-to-End)</w:t>
            </w:r>
          </w:p>
        </w:tc>
        <w:tc>
          <w:tcPr/>
          <w:p>
            <w:pPr>
              <w:pStyle w:val="Compact"/>
              <w:jc w:val="left"/>
            </w:pPr>
            <w:r>
              <w:t xml:space="preserve">Integrate temporal, lifecycle, formal verification, and empirical modules into a unified, cohesive framework. Evaluate cross-component interactions, scalability bottlenecks, and end-to-end feasibility in real-world settings.</w:t>
            </w:r>
          </w:p>
        </w:tc>
        <w:tc>
          <w:tcPr/>
          <w:p>
            <w:pPr>
              <w:pStyle w:val="Compact"/>
              <w:jc w:val="left"/>
            </w:pPr>
            <w:r>
              <w:t xml:space="preserve">A fully integrated, validated Trust Computing framework providing secure, multi-party patient consent and decentralised healthcare data sharing.</w:t>
            </w:r>
          </w:p>
        </w:tc>
      </w:tr>
    </w:tbl>
    <w:p>
      <w:pPr>
        <w:pStyle w:val="BodyText"/>
      </w:pPr>
      <w:r>
        <w:t xml:space="preserve">The complete authorisation model developed across</w:t>
      </w:r>
      <w:r>
        <w:t xml:space="preserve"> </w:t>
      </w:r>
      <w:r>
        <w:rPr>
          <w:rStyle w:val="OrangeDelete"/>
        </w:rPr>
        <w:t xml:space="preserve">current stage and</w:t>
      </w:r>
      <w:r>
        <w:rPr>
          <w:rStyle w:val="OrangeFix"/>
        </w:rPr>
        <w:t xml:space="preserve">the current stage and the</w:t>
      </w:r>
      <w:r>
        <w:t xml:space="preserve"> </w:t>
      </w:r>
      <w:r>
        <w:t xml:space="preserve">next stage will therefore be evaluated as a conjunction of independently verifiable conditions. Conceptually, the final decision can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t>  </m:t>
          </m:r>
          <m:r>
            <m:t>  </m:t>
          </m:r>
          <m:r>
            <m:rPr>
              <m:sty m:val="p"/>
            </m:rPr>
            <m:t>(</m:t>
          </m:r>
          <m:r>
            <m:t>35</m:t>
          </m:r>
          <m:r>
            <m:rPr>
              <m:sty m:val="p"/>
            </m:rPr>
            <m:t>)</m:t>
          </m:r>
        </m:oMath>
      </m:oMathPara>
    </w:p>
    <w:p>
      <w:pPr>
        <w:pStyle w:val="FirstParagraph"/>
      </w:pPr>
      <w: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pStyle w:val="BodyText"/>
      </w:pPr>
      <w:r>
        <w:t xml:space="preserve">From a research perspective, this represents an important transition from</w:t>
      </w:r>
      <w:r>
        <w:t xml:space="preserve"> </w:t>
      </w:r>
      <w:r>
        <w:rPr>
          <w:i/>
          <w:iCs/>
        </w:rPr>
        <w:t xml:space="preserve">static consent</w:t>
      </w:r>
      <w:r>
        <w:t xml:space="preserve"> </w:t>
      </w:r>
      <w:r>
        <w:rPr>
          <w:i/>
          <w:iCs/>
        </w:rPr>
        <w:t xml:space="preserve">management</w:t>
      </w:r>
      <w:r>
        <w:t xml:space="preserve"> </w:t>
      </w:r>
      <w:r>
        <w:t xml:space="preserve">to</w:t>
      </w:r>
      <w:r>
        <w:t xml:space="preserve"> </w:t>
      </w:r>
      <w:r>
        <w:rPr>
          <w:i/>
          <w:iCs/>
        </w:rPr>
        <w:t xml:space="preserve">dynamic trustworthy authorisation</w:t>
      </w:r>
      <w:r>
        <w:t xml:space="preserve">. The objective is not to add a collection of independent security mechanisms, but to investigate how these mechanisms jointly contribute to the establishment, maintenance, and verification of trust throughout the consent lifecycle.</w:t>
      </w:r>
    </w:p>
    <w:p>
      <w:pPr>
        <w:pStyle w:val="BodyText"/>
      </w:pPr>
      <w:r>
        <w:t xml:space="preserve">By the completion of</w:t>
      </w:r>
      <w:r>
        <w:t xml:space="preserve"> </w:t>
      </w:r>
      <w:r>
        <w:rPr>
          <w:rStyle w:val="OrangeFix"/>
        </w:rPr>
        <w:t xml:space="preserve">the</w:t>
      </w:r>
      <w:r>
        <w:t xml:space="preserve"> </w:t>
      </w:r>
      <w:r>
        <w:t xml:space="preserve">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pStyle w:val="BodyText"/>
      </w:pPr>
      <w:r>
        <w:t xml:space="preserve">Consequently,</w:t>
      </w:r>
      <w:r>
        <w:t xml:space="preserve"> </w:t>
      </w:r>
      <w:r>
        <w:rPr>
          <w:rStyle w:val="OrangeFix"/>
        </w:rPr>
        <w:t xml:space="preserve">the</w:t>
      </w:r>
      <w:r>
        <w:t xml:space="preserve"> </w:t>
      </w:r>
      <w:r>
        <w:t xml:space="preserve">next stage will complete the transition from the foundational authorisation mechanisms established in</w:t>
      </w:r>
      <w:r>
        <w:t xml:space="preserve"> </w:t>
      </w:r>
      <w:r>
        <w:rPr>
          <w:rStyle w:val="OrangeFix"/>
        </w:rPr>
        <w:t xml:space="preserve">the</w:t>
      </w:r>
      <w:r>
        <w:t xml:space="preserve"> </w:t>
      </w:r>
      <w:r>
        <w:t xml:space="preserve">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w:t>
      </w:r>
      <w:r>
        <w:t xml:space="preserve"> </w:t>
      </w:r>
      <w:r>
        <w:rPr>
          <w:i/>
          <w:iCs/>
        </w:rPr>
        <w:t xml:space="preserve">why</w:t>
      </w:r>
      <w:r>
        <w:t xml:space="preserve"> </w:t>
      </w:r>
      <w:r>
        <w:t xml:space="preserve">an access decision should be trusted and</w:t>
      </w:r>
      <w:r>
        <w:t xml:space="preserve"> </w:t>
      </w:r>
      <w:r>
        <w:rPr>
          <w:i/>
          <w:iCs/>
        </w:rPr>
        <w:t xml:space="preserve">when</w:t>
      </w:r>
      <w:r>
        <w:t xml:space="preserve"> </w:t>
      </w:r>
      <w:r>
        <w:t xml:space="preserve">that trust should no longer apply.</w:t>
      </w:r>
    </w:p>
    <w:bookmarkEnd w:id="177"/>
    <w:bookmarkEnd w:id="178"/>
    <w:bookmarkStart w:id="179" w:name="references"/>
    <w:p>
      <w:pPr>
        <w:pStyle w:val="Heading1"/>
      </w:pPr>
      <w:r>
        <w:t xml:space="preserve">References</w:t>
      </w:r>
    </w:p>
    <w:p>
      <w:pPr>
        <w:pStyle w:val="FirstParagraph"/>
      </w:pPr>
      <w:r>
        <w:t xml:space="preserve">[1] Abdul Ghafoor Abbasi, Iraklis Symeonidis, Anna Rydberg, Cecilia Lindahl, and Abdul Qadus Abbasi. Towards empowering stakeholders through decentralized trust and secure</w:t>
      </w:r>
      <w:r>
        <w:t xml:space="preserve"> </w:t>
      </w:r>
      <w:r>
        <w:rPr>
          <w:rStyle w:val="OrangeDelete"/>
        </w:rPr>
        <w:t xml:space="preserve">live-stock</w:t>
      </w:r>
      <w:r>
        <w:rPr>
          <w:rStyle w:val="OrangeFix"/>
        </w:rPr>
        <w:t xml:space="preserve">livestock</w:t>
      </w:r>
      <w:r>
        <w:t xml:space="preserve"> </w:t>
      </w:r>
      <w:r>
        <w:t xml:space="preserve">data sharing.</w:t>
      </w:r>
      <w:r>
        <w:t xml:space="preserve"> </w:t>
      </w:r>
      <w:r>
        <w:rPr>
          <w:i/>
          <w:iCs/>
        </w:rPr>
        <w:t xml:space="preserve">Cryptography</w:t>
      </w:r>
      <w:r>
        <w:t xml:space="preserve">, 9(3):52, 2025.</w:t>
      </w:r>
    </w:p>
    <w:p>
      <w:pPr>
        <w:pStyle w:val="BodyText"/>
      </w:pPr>
      <w:r>
        <w:t xml:space="preserve">[2]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w:t>
      </w:r>
    </w:p>
    <w:p>
      <w:pPr>
        <w:pStyle w:val="BodyText"/>
      </w:pPr>
      <w:r>
        <w:t xml:space="preserve">[3]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w:t>
      </w:r>
    </w:p>
    <w:p>
      <w:pPr>
        <w:pStyle w:val="BodyText"/>
      </w:pPr>
      <w:r>
        <w:t xml:space="preserve">[4] Mohammad Salar Arbabi, Chhagan Lal, Narasimha Raghavan Veeraragavan, Dusica Marijan, Jan F Nygård, and Roman Vitenberg. A survey on blockchain for healthcare: Challenges, benefits, and future directions.</w:t>
      </w:r>
      <w:r>
        <w:t xml:space="preserve"> </w:t>
      </w:r>
      <w:r>
        <w:rPr>
          <w:i/>
          <w:iCs/>
        </w:rPr>
        <w:t xml:space="preserve">IEEE Communications Surveys &amp; Tutorials</w:t>
      </w:r>
      <w:r>
        <w:t xml:space="preserve">, 25(1):386–424, 2023.</w:t>
      </w:r>
    </w:p>
    <w:p>
      <w:pPr>
        <w:pStyle w:val="BodyText"/>
      </w:pPr>
      <w:r>
        <w:t xml:space="preserve">[5] Marcela Tuler de Oliveira, Lúcio Henrik A. Reis, Yiannis Verginadis, Diogo M. F. Mattos, and Sílvia D. Olabarriaga. SmartAccess: Attribute-based access control system for medical records based on smart contracts.</w:t>
      </w:r>
      <w:r>
        <w:t xml:space="preserve"> </w:t>
      </w:r>
      <w:r>
        <w:rPr>
          <w:i/>
          <w:iCs/>
        </w:rPr>
        <w:t xml:space="preserve">IEEE Access</w:t>
      </w:r>
      <w:r>
        <w:t xml:space="preserve">, 10:117836–117854, 2022. doi:10.1109/ACCESS.2022.3217201.</w:t>
      </w:r>
    </w:p>
    <w:p>
      <w:pPr>
        <w:pStyle w:val="BodyText"/>
      </w:pPr>
      <w:r>
        <w:t xml:space="preserve">[6] Haotian Deng, Jinwen Liang, Chuan Zhang, Ximeng Liu, Liehuang Zhu, and Song Guo. FutureDID: A fully decentralized identity system with multi-party verification.</w:t>
      </w:r>
      <w:r>
        <w:t xml:space="preserve"> </w:t>
      </w:r>
      <w:r>
        <w:rPr>
          <w:i/>
          <w:iCs/>
        </w:rPr>
        <w:t xml:space="preserve">IEEE Transactions on Computers</w:t>
      </w:r>
      <w:r>
        <w:t xml:space="preserve">, 73(8):2051–2065, 2024.</w:t>
      </w:r>
    </w:p>
    <w:p>
      <w:pPr>
        <w:pStyle w:val="BodyText"/>
      </w:pPr>
      <w:r>
        <w:t xml:space="preserve">[7]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 Corrigendum: vol. 98, 104383, 2026.</w:t>
      </w:r>
    </w:p>
    <w:p>
      <w:pPr>
        <w:pStyle w:val="BodyText"/>
      </w:pPr>
      <w:r>
        <w:t xml:space="preserve">[8] Rodrigo Dutra Garcia, Gowri Ramachandran, Raja Jurdak, and Jó Ueyama. Blockchain-aided and privacy-preserving data governance in multi-stakeholder applications.</w:t>
      </w:r>
      <w:r>
        <w:t xml:space="preserve"> </w:t>
      </w:r>
      <w:r>
        <w:rPr>
          <w:i/>
          <w:iCs/>
        </w:rPr>
        <w:t xml:space="preserve">IEEE Transactions on Network and Service Management</w:t>
      </w:r>
      <w:r>
        <w:t xml:space="preserve">, 19(4):3781–3793, 2022. doi:10.1109/TNSM.2022.3225254.</w:t>
      </w:r>
    </w:p>
    <w:p>
      <w:pPr>
        <w:pStyle w:val="BodyText"/>
      </w:pPr>
      <w:r>
        <w:t xml:space="preserve">[9] Pranto Kumar Ghosh, Arindom Chakraborty, Mehedi Hasan, Khalid Rashid, and Abdul Hasib Siddique. Blockchain application in healthcare systems: a review.</w:t>
      </w:r>
      <w:r>
        <w:t xml:space="preserve"> </w:t>
      </w:r>
      <w:r>
        <w:rPr>
          <w:i/>
          <w:iCs/>
        </w:rPr>
        <w:t xml:space="preserve">Systems</w:t>
      </w:r>
      <w:r>
        <w:t xml:space="preserve">, 11(1):38, 2023.</w:t>
      </w:r>
    </w:p>
    <w:p>
      <w:pPr>
        <w:pStyle w:val="BodyText"/>
      </w:pPr>
      <w:r>
        <w:t xml:space="preserve">[10] Josefin Hagström, Charlotte Blease, Barbara Haage, Isabella Scandurra, Scharlett Hansson, and Maria Hägglund. Views, use, and experiences of web-based access to pediatric electronic health records for children, adolescents, and parents: Scoping review.</w:t>
      </w:r>
      <w:r>
        <w:t xml:space="preserve"> </w:t>
      </w:r>
      <w:r>
        <w:rPr>
          <w:i/>
          <w:iCs/>
        </w:rPr>
        <w:t xml:space="preserve">Journal of Medical Internet Research</w:t>
      </w:r>
      <w:r>
        <w:t xml:space="preserve">, 24(11):e40328, 2022. doi:10.2196/40328.</w:t>
      </w:r>
    </w:p>
    <w:p>
      <w:pPr>
        <w:pStyle w:val="BodyText"/>
      </w:pPr>
      <w:r>
        <w:t xml:space="preserve">[11]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i/>
          <w:iCs/>
        </w:rPr>
        <w:t xml:space="preserve">BMC Nursing</w:t>
      </w:r>
      <w:r>
        <w:t xml:space="preserve">, 23(1):564, 2024.</w:t>
      </w:r>
    </w:p>
    <w:p>
      <w:pPr>
        <w:pStyle w:val="BodyText"/>
      </w:pPr>
      <w:r>
        <w:t xml:space="preserve">[12] Vitor Jesus and Harshvardhan J Pandit. Consent receipts for a usable and auditable web of personal data.</w:t>
      </w:r>
      <w:r>
        <w:t xml:space="preserve"> </w:t>
      </w:r>
      <w:r>
        <w:rPr>
          <w:i/>
          <w:iCs/>
        </w:rPr>
        <w:t xml:space="preserve">IEEE Access</w:t>
      </w:r>
      <w:r>
        <w:t xml:space="preserve">, 10:28545–28563, 2022.</w:t>
      </w:r>
    </w:p>
    <w:p>
      <w:pPr>
        <w:pStyle w:val="BodyText"/>
      </w:pPr>
      <w:r>
        <w:t xml:space="preserve">[13] Rong Jiang, Xue Chen, Yimin Yu, Ying Zhang, and Weiping Ding. Risk and UCON-based access control model for healthcare big data.</w:t>
      </w:r>
      <w:r>
        <w:t xml:space="preserve"> </w:t>
      </w:r>
      <w:r>
        <w:rPr>
          <w:i/>
          <w:iCs/>
        </w:rPr>
        <w:t xml:space="preserve">Journal of Big Data</w:t>
      </w:r>
      <w:r>
        <w:t xml:space="preserve">, 10(1):104, 2023.</w:t>
      </w:r>
    </w:p>
    <w:p>
      <w:pPr>
        <w:pStyle w:val="BodyText"/>
      </w:pPr>
      <w:r>
        <w:t xml:space="preserve">[14]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i/>
          <w:iCs/>
        </w:rPr>
        <w:t xml:space="preserve">Digital Health</w:t>
      </w:r>
      <w:r>
        <w:t xml:space="preserve">, 10:20552076241290964, 2024.</w:t>
      </w:r>
    </w:p>
    <w:p>
      <w:pPr>
        <w:pStyle w:val="BodyText"/>
      </w:pPr>
      <w:r>
        <w:t xml:space="preserve">[15]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w:t>
      </w:r>
    </w:p>
    <w:p>
      <w:pPr>
        <w:pStyle w:val="BodyText"/>
      </w:pPr>
      <w:r>
        <w:t xml:space="preserve">[16] Alexander Kharlamov, Roland Hohmann, and</w:t>
      </w:r>
      <w:r>
        <w:t xml:space="preserve"> </w:t>
      </w:r>
      <w:r>
        <w:rPr>
          <w:rStyle w:val="OrangeDelete"/>
        </w:rPr>
        <w:t xml:space="preserve">Glann</w:t>
      </w:r>
      <w:r>
        <w:rPr>
          <w:rStyle w:val="OrangeFix"/>
        </w:rPr>
        <w:t xml:space="preserve">Glenn</w:t>
      </w:r>
      <w:r>
        <w:t xml:space="preserve"> </w:t>
      </w:r>
      <w:r>
        <w:t xml:space="preserve">Parry. Data sharing decisions: perceptions and intentions in healthcare.</w:t>
      </w:r>
      <w:r>
        <w:t xml:space="preserve"> </w:t>
      </w:r>
      <w:r>
        <w:rPr>
          <w:i/>
          <w:iCs/>
        </w:rPr>
        <w:t xml:space="preserve">Strategic Change</w:t>
      </w:r>
      <w:r>
        <w:t xml:space="preserve">, 32(6):223–237, 2023.</w:t>
      </w:r>
    </w:p>
    <w:p>
      <w:pPr>
        <w:pStyle w:val="BodyText"/>
      </w:pPr>
      <w:r>
        <w:t xml:space="preserve">[17] Behnam Khayer, Siamak Mirzaei, Hooman Alavizadeh, and Ahmad Salehi Shahraki. Blockchain for secure IoT: A review of identity management, access control, and trust mechanisms.</w:t>
      </w:r>
      <w:r>
        <w:t xml:space="preserve"> </w:t>
      </w:r>
      <w:r>
        <w:rPr>
          <w:i/>
          <w:iCs/>
        </w:rPr>
        <w:t xml:space="preserve">IoT</w:t>
      </w:r>
      <w:r>
        <w:t xml:space="preserve">, 6(4):65, 2025.</w:t>
      </w:r>
    </w:p>
    <w:p>
      <w:pPr>
        <w:pStyle w:val="BodyText"/>
      </w:pPr>
      <w:r>
        <w:t xml:space="preserve">[18]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w:t>
      </w:r>
    </w:p>
    <w:p>
      <w:pPr>
        <w:pStyle w:val="BodyText"/>
      </w:pPr>
      <w:r>
        <w:t xml:space="preserve">[19]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BodyText"/>
      </w:pPr>
      <w:r>
        <w:t xml:space="preserve">[20]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w:t>
      </w:r>
      <w:r>
        <w:t xml:space="preserve"> </w:t>
      </w:r>
      <w:r>
        <w:rPr>
          <w:rStyle w:val="OrangeDelete"/>
        </w:rPr>
        <w:t xml:space="preserve">27(6):3641–3671,2025</w:t>
      </w:r>
      <w:r>
        <w:rPr>
          <w:rStyle w:val="OrangeFix"/>
        </w:rPr>
        <w:t xml:space="preserve">27(6):3641–3671, 2025</w:t>
      </w:r>
      <w:r>
        <w:t xml:space="preserve">.</w:t>
      </w:r>
    </w:p>
    <w:p>
      <w:pPr>
        <w:pStyle w:val="BodyText"/>
      </w:pPr>
      <w:r>
        <w:t xml:space="preserve">[21] Roy McClelland and Colin M Harper. Information privacy in healthcare—the vital role of informed consent.</w:t>
      </w:r>
      <w:r>
        <w:t xml:space="preserve"> </w:t>
      </w:r>
      <w:r>
        <w:rPr>
          <w:i/>
          <w:iCs/>
        </w:rPr>
        <w:t xml:space="preserve">European Journal of Health Law</w:t>
      </w:r>
      <w:r>
        <w:t xml:space="preserve">, 30(4):469–480, 2022.</w:t>
      </w:r>
    </w:p>
    <w:p>
      <w:pPr>
        <w:pStyle w:val="BodyText"/>
      </w:pPr>
      <w:r>
        <w:t xml:space="preserve">[22]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[23]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BodyText"/>
      </w:pPr>
      <w:r>
        <w:t xml:space="preserve">[24] Aleena Nazir, Mubashir Husain Rehmani, Bernard Butler, and Donna O’Shea. Access control in healthcare IoT: A comprehensive survey.</w:t>
      </w:r>
      <w:r>
        <w:t xml:space="preserve"> </w:t>
      </w:r>
      <w:r>
        <w:rPr>
          <w:i/>
          <w:iCs/>
        </w:rPr>
        <w:t xml:space="preserve">Engineering Reports</w:t>
      </w:r>
      <w:r>
        <w:t xml:space="preserve">, 8(4):e70766, 2026.</w:t>
      </w:r>
    </w:p>
    <w:p>
      <w:pPr>
        <w:pStyle w:val="BodyText"/>
      </w:pPr>
      <w:r>
        <w:t xml:space="preserve">[25]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[26] Rohini Poolat Parameswarath, Prosanta Gope, and Biplab Sikdar. User-empowered privacy-preserving authentication protocol for electric vehicle charging based on decentralized identity and verifiable credential.</w:t>
      </w:r>
      <w:r>
        <w:t xml:space="preserve"> </w:t>
      </w:r>
      <w:r>
        <w:rPr>
          <w:rStyle w:val="OrangeDelete"/>
          <w:i/>
          <w:iCs/>
        </w:rPr>
        <w:t xml:space="preserve">ACM Transactions on Management Information Systems (TMIS)</w:t>
      </w:r>
      <w:r>
        <w:rPr>
          <w:rStyle w:val="OrangeFix"/>
          <w:i/>
          <w:iCs/>
        </w:rPr>
        <w:t xml:space="preserve">ACM Transactions on Management Information Systems</w:t>
      </w:r>
      <w:r>
        <w:t xml:space="preserve">, 13(4):1–21, 2022.</w:t>
      </w:r>
    </w:p>
    <w:p>
      <w:pPr>
        <w:pStyle w:val="BodyText"/>
      </w:pPr>
      <w:r>
        <w:t xml:space="preserve">[27] Sudip Phuyal, Manila Bhandari, Rabindra Bista, and João Carlos Ferreira. Blockchain-based dynamic and revocable consent for secondary health data use: Systematic review.</w:t>
      </w:r>
      <w:r>
        <w:t xml:space="preserve"> </w:t>
      </w:r>
      <w:r>
        <w:rPr>
          <w:i/>
          <w:iCs/>
        </w:rPr>
        <w:t xml:space="preserve">JMIR Medical Informatics</w:t>
      </w:r>
      <w:r>
        <w:t xml:space="preserve">, 14:e88536, 2026. doi:10.2196/88536.</w:t>
      </w:r>
    </w:p>
    <w:p>
      <w:pPr>
        <w:pStyle w:val="BodyText"/>
      </w:pPr>
      <w:r>
        <w:t xml:space="preserve">[28] Isabel Román, Jorge Calvillo-Arbizu, Vicente Mayor, Germán Madinabeitia-Luque, Antonio Estepa, and Rafael Estepa. Blockchain-based service-oriented architecture for consent management, access control, and auditing.</w:t>
      </w:r>
      <w:r>
        <w:t xml:space="preserve"> </w:t>
      </w:r>
      <w:r>
        <w:rPr>
          <w:i/>
          <w:iCs/>
        </w:rPr>
        <w:t xml:space="preserve">IEEE Access</w:t>
      </w:r>
      <w:r>
        <w:t xml:space="preserve">, 11:12727–12741, 2023. doi:10.1109/ACCESS.2023.3242605.</w:t>
      </w:r>
    </w:p>
    <w:p>
      <w:pPr>
        <w:pStyle w:val="BodyText"/>
      </w:pPr>
      <w:r>
        <w:t xml:space="preserve">[29] Kheng-Leong Tan, Chi-Hung Chi, and Kwok-Yan Lam. Secure and privacy-preserving sharing of personal health records with multi-party pre-authorization verification.</w:t>
      </w:r>
      <w:r>
        <w:t xml:space="preserve"> </w:t>
      </w:r>
      <w:r>
        <w:rPr>
          <w:i/>
          <w:iCs/>
        </w:rPr>
        <w:t xml:space="preserve">Wireless Networks</w:t>
      </w:r>
      <w:r>
        <w:t xml:space="preserve">, 30:4773–4795, 2024. doi:10.1007/s11276-022-03114-6.</w:t>
      </w:r>
    </w:p>
    <w:p>
      <w:pPr>
        <w:pStyle w:val="BodyText"/>
      </w:pPr>
      <w:r>
        <w:t xml:space="preserve">[30] Ahmed M Tawfik, Ayman Al-Ahwal, Adly S Tag Eldien, and Hala H Zayed. Blockchain-based access control and privacy preservation in healthcare: a comprehensive survey.</w:t>
      </w:r>
      <w:r>
        <w:t xml:space="preserve"> </w:t>
      </w:r>
      <w:r>
        <w:rPr>
          <w:i/>
          <w:iCs/>
        </w:rPr>
        <w:t xml:space="preserve">Cluster Computing</w:t>
      </w:r>
      <w:r>
        <w:t xml:space="preserve">, 28(8):529, 2025.</w:t>
      </w:r>
    </w:p>
    <w:p>
      <w:pPr>
        <w:pStyle w:val="BodyText"/>
      </w:pPr>
      <w:r>
        <w:t xml:space="preserve">[31] Faheem Ullah, Jingsha He, Nafei Zhu, Ahsan Wajahat, Ahsan Nazir, Sirajuddin Qureshi, Muhammad Salman Pathan, and Soumyabrata Dev. Blockchain-enabled EHR access auditing: Enhancing healthcare data security.</w:t>
      </w:r>
      <w:r>
        <w:t xml:space="preserve"> </w:t>
      </w:r>
      <w:r>
        <w:rPr>
          <w:i/>
          <w:iCs/>
        </w:rPr>
        <w:t xml:space="preserve">Heliyon</w:t>
      </w:r>
      <w:r>
        <w:t xml:space="preserve">, 10(16):e34407, 2024. doi:10.1016/j.heliyon.2024.e34407.</w:t>
      </w:r>
    </w:p>
    <w:p>
      <w:pPr>
        <w:pStyle w:val="BodyText"/>
      </w:pPr>
      <w:r>
        <w:t xml:space="preserve">[32] Emily C Webber, David Brick, James P Scibilia, Peter Dehnel, Council on Clinical Information Technology, et al. Electronic communication of the health record and information with pediatric patients and their guardians.</w:t>
      </w:r>
      <w:r>
        <w:t xml:space="preserve"> </w:t>
      </w:r>
      <w:r>
        <w:rPr>
          <w:i/>
          <w:iCs/>
        </w:rPr>
        <w:t xml:space="preserve">Pediatrics</w:t>
      </w:r>
      <w:r>
        <w:t xml:space="preserve">, 144(1):e20191359, 2019. doi:10.1542/peds.2019-1359.</w:t>
      </w:r>
    </w:p>
    <w:p>
      <w:pPr>
        <w:pStyle w:val="BodyText"/>
      </w:pPr>
      <w:r>
        <w:t xml:space="preserve">[33] Cindy Welzel, Max Ostermann, H. Jeff Smith, Timo Minssen, Toralf Kirsten, and Stephen Gilbert. Enabling secure and self determined health data sharing and consent management.</w:t>
      </w:r>
      <w:r>
        <w:t xml:space="preserve"> </w:t>
      </w:r>
      <w:r>
        <w:rPr>
          <w:i/>
          <w:iCs/>
        </w:rPr>
        <w:t xml:space="preserve">npj Digital Medicine</w:t>
      </w:r>
      <w:r>
        <w:t xml:space="preserve">, 8:560, 2025. doi:10.1038/s41746-025-01945-z.</w:t>
      </w:r>
    </w:p>
    <w:p>
      <w:pPr>
        <w:pStyle w:val="BodyText"/>
      </w:pPr>
      <w:r>
        <w:t xml:space="preserve">[34] Nadeem Yaqub, Jianbiao Zhang, Muhammad Irfan Khalid, Weiru Wang, Markus Helfert, Mansoor Ahmed, and Jungsuk Kim. Blockchain enabled policy-based access control mechanism to restrict unauthorized access to electronic health records.</w:t>
      </w:r>
      <w:r>
        <w:t xml:space="preserve"> </w:t>
      </w:r>
      <w:r>
        <w:rPr>
          <w:i/>
          <w:iCs/>
        </w:rPr>
        <w:t xml:space="preserve">PeerJ Computer Science</w:t>
      </w:r>
      <w:r>
        <w:t xml:space="preserve">, 11:e2647, 2025. doi:10.7717/peerj-cs.2647.</w:t>
      </w:r>
    </w:p>
    <w:p>
      <w:pPr>
        <w:pStyle w:val="BodyText"/>
      </w:pPr>
      <w:r>
        <w:t xml:space="preserve">[35] Hongjian Yin, Yiming Zhao, Lei Zhang, Baojun Qiao, Wenbo Chen, and Huaqing Wang. Attribute-based searchable encryption with decentralized key management for healthcare data sharing.</w:t>
      </w:r>
      <w:r>
        <w:t xml:space="preserve"> </w:t>
      </w:r>
      <w:r>
        <w:rPr>
          <w:i/>
          <w:iCs/>
        </w:rPr>
        <w:t xml:space="preserve">Journal of Systems Architecture</w:t>
      </w:r>
      <w:r>
        <w:t xml:space="preserve">, 148:103081, 2024.</w:t>
      </w:r>
    </w:p>
    <w:p>
      <w:pPr>
        <w:pStyle w:val="BodyText"/>
      </w:pPr>
      <w:r>
        <w:t xml:space="preserve">[36] Jie Yin, Yang Xiao, Qian Chen, Xuefeng Liu, Qingqi Pei, Jianying Zhou, et al. DP-DID: A dynamic and proactive decentralized identity system.</w:t>
      </w:r>
      <w:r>
        <w:t xml:space="preserve"> </w:t>
      </w:r>
      <w:r>
        <w:rPr>
          <w:i/>
          <w:iCs/>
        </w:rPr>
        <w:t xml:space="preserve">IEEE Transactions on Information Forensics and Security</w:t>
      </w:r>
      <w:r>
        <w:t xml:space="preserve">, pages 4999–5014, 2025.</w:t>
      </w:r>
    </w:p>
    <w:p>
      <w:pPr>
        <w:pStyle w:val="BodyText"/>
      </w:pPr>
      <w:r>
        <w:t xml:space="preserve">[37]</w:t>
      </w:r>
      <w:r>
        <w:t xml:space="preserve"> </w:t>
      </w:r>
      <w:r>
        <w:rPr>
          <w:i/>
          <w:iCs/>
        </w:rPr>
        <w:t xml:space="preserve">Privacy Act 1988</w:t>
      </w:r>
      <w:r>
        <w:t xml:space="preserve"> </w:t>
      </w:r>
      <w:r>
        <w:t xml:space="preserve">(Cth), including Schedule 1 – Australian Privacy Principles. Federal Register of Legislation, Australian Government.</w:t>
      </w:r>
    </w:p>
    <w:p>
      <w:pPr>
        <w:pStyle w:val="BodyText"/>
      </w:pPr>
      <w:r>
        <w:t xml:space="preserve">[38]</w:t>
      </w:r>
      <w:r>
        <w:t xml:space="preserve"> </w:t>
      </w:r>
      <w:r>
        <w:rPr>
          <w:i/>
          <w:iCs/>
        </w:rPr>
        <w:t xml:space="preserve">My Health Records Act 2012</w:t>
      </w:r>
      <w:r>
        <w:t xml:space="preserve"> </w:t>
      </w:r>
      <w:r>
        <w:t xml:space="preserve">(Cth). Federal Register of Legislation, Australian Government.</w:t>
      </w:r>
    </w:p>
    <w:p>
      <w:pPr>
        <w:pStyle w:val="BodyText"/>
      </w:pPr>
      <w:r>
        <w:t xml:space="preserve">[39]</w:t>
      </w:r>
      <w:r>
        <w:t xml:space="preserve"> </w:t>
      </w:r>
      <w:r>
        <w:rPr>
          <w:i/>
          <w:iCs/>
        </w:rPr>
        <w:t xml:space="preserve">Healthcare Identifiers Act 2010</w:t>
      </w:r>
      <w:r>
        <w:t xml:space="preserve"> </w:t>
      </w:r>
      <w:r>
        <w:t xml:space="preserve">(Cth). Federal Register of Legislation, Australian Government.</w:t>
      </w:r>
    </w:p>
    <w:p>
      <w:pPr>
        <w:pStyle w:val="BodyText"/>
      </w:pPr>
      <w:r>
        <w:t xml:space="preserve">[40] Matthew J. Page, Joanne E. McKenzie, Patrick M. Bossuyt, et al. The PRISMA 2020 statement: an updated guideline for reporting systematic reviews.</w:t>
      </w:r>
      <w:r>
        <w:t xml:space="preserve"> </w:t>
      </w:r>
      <w:r>
        <w:rPr>
          <w:i/>
          <w:iCs/>
        </w:rPr>
        <w:t xml:space="preserve">BMJ</w:t>
      </w:r>
      <w:r>
        <w:t xml:space="preserve">, 372:n71, 2021. doi:10.1136/bmj.n71.</w:t>
      </w:r>
    </w:p>
    <w:p>
      <w:pPr>
        <w:pStyle w:val="BodyText"/>
      </w:pPr>
      <w:r>
        <w:t xml:space="preserve">[41] Jason Walonoski, Mark Kramer, Joseph Nichols, et al. Synthea: An approach, method, and software mechanism for generating synthetic patients and the synthetic electronic health care record.</w:t>
      </w:r>
      <w:r>
        <w:t xml:space="preserve"> </w:t>
      </w:r>
      <w:r>
        <w:rPr>
          <w:i/>
          <w:iCs/>
        </w:rPr>
        <w:t xml:space="preserve">Journal of the American Medical Informatics Association</w:t>
      </w:r>
      <w:r>
        <w:t xml:space="preserve">, 25(3):230–238, 2018. doi:10.1093/jamia/ocx079.</w:t>
      </w:r>
    </w:p>
    <w:p>
      <w:pPr>
        <w:pStyle w:val="BodyText"/>
      </w:pPr>
      <w:r>
        <w:t xml:space="preserve">[42] Remco Bloemen, Leonid Logvinov, and Jacob Evans. EIP-712: Typed structured data hashing and signing. Ethereum Improvement Proposals, 2017. https://eips.ethereum.org/EIPS/eip-712.</w:t>
      </w:r>
    </w:p>
    <w:p>
      <w:pPr>
        <w:pStyle w:val="BodyText"/>
      </w:pPr>
      <w:r>
        <w:t xml:space="preserve">[43] ERC-5484: Consensual Soulbound Tokens. Ethereum Improvement Proposals, 2022. https://eips.ethereum.org/EIPS/eip-5484.</w:t>
      </w:r>
    </w:p>
    <w:p>
      <w:pPr>
        <w:pStyle w:val="BodyText"/>
      </w:pPr>
      <w:r>
        <w:t xml:space="preserve">[44] W3C. Decentralized Identifiers (DIDs) v1.0. W3C Recommendation, 2022. https://www.w3.org/TR/did-core/.</w:t>
      </w:r>
    </w:p>
    <w:p>
      <w:pPr>
        <w:pStyle w:val="BodyText"/>
      </w:pPr>
      <w:r>
        <w:t xml:space="preserve">[45] W3C. Verifiable Credentials Data Model v2.0. W3C Recommendation, 2025. https://www.w3.org/TR/vc-data-model-2.0/.</w:t>
      </w:r>
    </w:p>
    <w:bookmarkEnd w:id="179"/>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customStyle="1" w:styleId="GreenDelete" w:type="character">
    <w:name w:val="Green Delete"/>
    <w:rPr>
      <w:strike/>
      <w:color w:val="00803C"/>
    </w:rPr>
  </w:style>
  <w:style w:customStyle="1" w:styleId="GreenFix" w:type="character">
    <w:name w:val="Green Fix"/>
    <w:rPr>
      <w:color w:val="00803C"/>
    </w:rPr>
  </w:style>
  <w:style w:customStyle="1" w:styleId="BlueAdd" w:type="character">
    <w:name w:val="Blue Add"/>
    <w:rPr>
      <w:color w:val="0050C8"/>
    </w:rPr>
  </w:style>
  <w:style w:customStyle="1" w:styleId="GreenDeletePara" w:type="paragraph">
    <w:name w:val="Green Delete Para"/>
    <w:basedOn w:val="BodyText"/>
    <w:rPr>
      <w:rFonts w:ascii="Times New Roman" w:cs="Times New Roman" w:eastAsia="Times New Roman" w:hAnsi="Times New Roman"/>
      <w:color w:val="00803C"/>
      <w:sz w:val="24"/>
    </w:rPr>
  </w:style>
  <w:style w:customStyle="1" w:styleId="GreenFixPara" w:type="paragraph">
    <w:name w:val="Green Fix Para"/>
    <w:basedOn w:val="BodyText"/>
    <w:rPr>
      <w:rFonts w:ascii="Times New Roman" w:cs="Times New Roman" w:eastAsia="Times New Roman" w:hAnsi="Times New Roman"/>
      <w:color w:val="00803C"/>
      <w:sz w:val="24"/>
    </w:rPr>
  </w:style>
  <w:style w:customStyle="1" w:styleId="BlueAddPara" w:type="paragraph">
    <w:name w:val="Blue Add Para"/>
    <w:basedOn w:val="BodyText"/>
    <w:rPr>
      <w:rFonts w:ascii="Times New Roman" w:cs="Times New Roman" w:eastAsia="Times New Roman" w:hAnsi="Times New Roman"/>
      <w:color w:val="0050C8"/>
      <w:sz w:val="24"/>
    </w:rPr>
  </w:style>
  <w:style w:customStyle="1" w:styleId="PinkDelete" w:type="character">
    <w:name w:val="Pink Delete"/>
    <w:rPr>
      <w:strike/>
      <w:color w:val="D6008A"/>
    </w:rPr>
  </w:style>
  <w:style w:customStyle="1" w:styleId="PinkFix" w:type="character">
    <w:name w:val="Pink Fix"/>
    <w:rPr>
      <w:color w:val="D6008A"/>
    </w:rPr>
  </w:style>
  <w:style w:customStyle="1" w:styleId="OrangeDelete" w:type="character">
    <w:name w:val="Orange Delete"/>
    <w:rPr>
      <w:strike/>
      <w:color w:val="E36C09"/>
    </w:rPr>
  </w:style>
  <w:style w:customStyle="1" w:styleId="OrangeFix" w:type="character">
    <w:name w:val="Orange Fix"/>
    <w:rPr>
      <w:color w:val="E36C09"/>
    </w:rPr>
  </w:style>
  <w:style w:customStyle="1" w:styleId="OrangeDeletePara" w:type="paragraph">
    <w:name w:val="Orange Delete Para"/>
    <w:basedOn w:val="BodyText"/>
    <w:rPr>
      <w:rFonts w:ascii="Times New Roman" w:cs="Times New Roman" w:eastAsia="Times New Roman" w:hAnsi="Times New Roman"/>
      <w:color w:val="E36C09"/>
      <w:sz w:val="24"/>
    </w:rPr>
  </w:style>
  <w:style w:customStyle="1" w:styleId="OrangeFixPara" w:type="paragraph">
    <w:name w:val="Orange Fix Para"/>
    <w:basedOn w:val="BodyText"/>
    <w:rPr>
      <w:rFonts w:ascii="Times New Roman" w:cs="Times New Roman" w:eastAsia="Times New Roman" w:hAnsi="Times New Roman"/>
      <w:color w:val="E36C09"/>
      <w:sz w:val="24"/>
    </w:rPr>
  </w:style>
  <w:style w:customStyle="1" w:styleId="PinkDeletePara" w:type="paragraph">
    <w:name w:val="Pink Delete Para"/>
    <w:basedOn w:val="BodyText"/>
    <w:rPr>
      <w:rFonts w:ascii="Times New Roman" w:cs="Times New Roman" w:eastAsia="Times New Roman" w:hAnsi="Times New Roman"/>
      <w:color w:val="D6008A"/>
      <w:sz w:val="24"/>
    </w:rPr>
  </w:style>
  <w:style w:customStyle="1" w:styleId="PinkFixPara" w:type="paragraph">
    <w:name w:val="Pink Fix Para"/>
    <w:basedOn w:val="BodyText"/>
    <w:rPr>
      <w:rFonts w:ascii="Times New Roman" w:cs="Times New Roman" w:eastAsia="Times New Roman" w:hAnsi="Times New Roman"/>
      <w:color w:val="D6008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92" Target="media/rId92.png" /><Relationship Type="http://schemas.openxmlformats.org/officeDocument/2006/relationships/image" Id="rId99" Target="media/rId99.png" /><Relationship Type="http://schemas.openxmlformats.org/officeDocument/2006/relationships/image" Id="rId106" Target="media/rId106.png" /><Relationship Type="http://schemas.openxmlformats.org/officeDocument/2006/relationships/image" Id="rId113" Target="media/rId113.png" /><Relationship Type="http://schemas.openxmlformats.org/officeDocument/2006/relationships/image" Id="rId120" Target="media/rId120.png" /><Relationship Type="http://schemas.openxmlformats.org/officeDocument/2006/relationships/image" Id="rId127" Target="media/rId127.png" /><Relationship Type="http://schemas.openxmlformats.org/officeDocument/2006/relationships/image" Id="rId160" Target="media/rId1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2026-09-29T10:23:16Z</dcterms:created>
  <dcterms:modified xsi:type="dcterms:W3CDTF">2026-09-29T10:23:16Z</dcterms:modified>
</cp:coreProperties>
</file>

<file path=docProps/custom.xml><?xml version="1.0" encoding="utf-8"?>
<Properties xmlns="http://schemas.openxmlformats.org/officeDocument/2006/custom-properties" xmlns:vt="http://schemas.openxmlformats.org/officeDocument/2006/docPropsVTypes"/>
</file>