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28</w:t>
      </w:r>
    </w:p>
    <w:p>
      <w:pPr>
        <w:tabs>
          <w:tab w:val="right" w:pos="9128" w:leader="dot"/>
        </w:tabs>
        <w:spacing w:after="100"/>
      </w:pPr>
      <w:r>
        <w:rPr>
          <w:rFonts w:ascii="Times New Roman" w:cs="Times New Roman" w:eastAsia="Times New Roman" w:hAnsi="Times New Roman"/>
          <w:sz w:val="22"/>
          <w:szCs w:val="22"/>
        </w:rPr>
        <w:t xml:space="preserve">7. The Proposed Solution for RO2	32</w:t>
      </w:r>
    </w:p>
    <w:p>
      <w:pPr>
        <w:tabs>
          <w:tab w:val="right" w:pos="9128" w:leader="dot"/>
        </w:tabs>
        <w:spacing w:after="100"/>
      </w:pPr>
      <w:r>
        <w:rPr>
          <w:rFonts w:ascii="Times New Roman" w:cs="Times New Roman" w:eastAsia="Times New Roman" w:hAnsi="Times New Roman"/>
          <w:sz w:val="22"/>
          <w:szCs w:val="22"/>
        </w:rPr>
        <w:t xml:space="preserve">8. The Proposed Solution for RO3	35</w:t>
      </w:r>
    </w:p>
    <w:p>
      <w:pPr>
        <w:tabs>
          <w:tab w:val="right" w:pos="9128" w:leader="dot"/>
        </w:tabs>
        <w:spacing w:after="100"/>
      </w:pPr>
      <w:r>
        <w:rPr>
          <w:rFonts w:ascii="Times New Roman" w:cs="Times New Roman" w:eastAsia="Times New Roman" w:hAnsi="Times New Roman"/>
          <w:sz w:val="22"/>
          <w:szCs w:val="22"/>
        </w:rPr>
        <w:t xml:space="preserve">9. The Proposed Solution for RO4	40</w:t>
      </w:r>
    </w:p>
    <w:p>
      <w:pPr>
        <w:tabs>
          <w:tab w:val="right" w:pos="9128" w:leader="dot"/>
        </w:tabs>
        <w:spacing w:after="100"/>
      </w:pPr>
      <w:r>
        <w:rPr>
          <w:rFonts w:ascii="Times New Roman" w:cs="Times New Roman" w:eastAsia="Times New Roman" w:hAnsi="Times New Roman"/>
          <w:sz w:val="22"/>
          <w:szCs w:val="22"/>
        </w:rPr>
        <w:t xml:space="preserve">10. The Proposed Solution for RO5	44</w:t>
      </w:r>
    </w:p>
    <w:p>
      <w:pPr>
        <w:tabs>
          <w:tab w:val="right" w:pos="9128" w:leader="dot"/>
        </w:tabs>
        <w:spacing w:after="100"/>
      </w:pPr>
      <w:r>
        <w:rPr>
          <w:rFonts w:ascii="Times New Roman" w:cs="Times New Roman" w:eastAsia="Times New Roman" w:hAnsi="Times New Roman"/>
          <w:sz w:val="22"/>
          <w:szCs w:val="22"/>
        </w:rPr>
        <w:t xml:space="preserve">11. The Proposed Solution for RO6	47</w:t>
      </w:r>
    </w:p>
    <w:p>
      <w:pPr>
        <w:tabs>
          <w:tab w:val="right" w:pos="9128" w:leader="dot"/>
        </w:tabs>
        <w:spacing w:after="100"/>
      </w:pPr>
      <w:r>
        <w:rPr>
          <w:rFonts w:ascii="Times New Roman" w:cs="Times New Roman" w:eastAsia="Times New Roman" w:hAnsi="Times New Roman"/>
          <w:sz w:val="22"/>
          <w:szCs w:val="22"/>
        </w:rPr>
        <w:t xml:space="preserve">12. Publications Summary	60</w:t>
      </w:r>
    </w:p>
    <w:p>
      <w:pPr>
        <w:tabs>
          <w:tab w:val="right" w:pos="9128" w:leader="dot"/>
        </w:tabs>
        <w:spacing w:after="100"/>
      </w:pPr>
      <w:r>
        <w:rPr>
          <w:rFonts w:ascii="Times New Roman" w:cs="Times New Roman" w:eastAsia="Times New Roman" w:hAnsi="Times New Roman"/>
          <w:sz w:val="22"/>
          <w:szCs w:val="22"/>
        </w:rPr>
        <w:t xml:space="preserve">13. Research Plan	61</w:t>
      </w:r>
    </w:p>
    <w:p>
      <w:pPr>
        <w:tabs>
          <w:tab w:val="right" w:pos="9128" w:leader="dot"/>
        </w:tabs>
        <w:spacing w:after="100"/>
      </w:pPr>
      <w:r>
        <w:rPr>
          <w:rFonts w:ascii="Times New Roman" w:cs="Times New Roman" w:eastAsia="Times New Roman" w:hAnsi="Times New Roman"/>
          <w:sz w:val="22"/>
          <w:szCs w:val="22"/>
        </w:rPr>
        <w:t xml:space="preserve">References	63</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Six review roles covered five perspectives and a chair who decided each record, and all counts are those of the decision-log checkpoint of 10 September 2026 (decision D-166).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Under decision D-166, a study is core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Soohoo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Each included study was assigned to the stream on which it is coded most strongly.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Soohoo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[62, 63], or as conditions fixed at encryption time [64, 65].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T2 was graded Yes in only 10 of the 25 studies and Partial in 15.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the strongest Req 2 evidence in the corpus.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T4 is coded Yes in 11 studies, Partial in 10, and No in 4.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The panel records an inverse relation between predicate breadth and assurance strength.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 </w:t>
      </w:r>
      <w:r>
        <w:rPr>
          <w:rFonts w:ascii="Times New Roman" w:cs="Times New Roman" w:eastAsia="Times New Roman" w:hAnsi="Times New Roman"/>
          <w:sz w:val="22"/>
          <w:szCs w:val="22"/>
        </w:rPr>
        <w:t xml:space="preserve">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Time is enforced on the credential rather than on the consent, so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Soohoo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The multi-party systems carry no purpose or data-scope condition, whereas the proved schemes omit policy, temporal validity, and lifecycle. Table 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[58]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[61]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while for Req 6, formal assurance is provided by 4 studies, argued informally by 9, and absent in 12.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Read on their own, the background surveys cited in Sections 1 and 2 suggest that multi-party authorisation of patient consent does not exist, although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with the number of the 25 analysed studies ⟦r⟧graded Yes for each requirement in {T9}⟦/r⟧" title="Synthesis of the review: the conjunction gap and the assurance gap addressed by the proposed framework, with the number of the 25 analysed studies ⟦r⟧graded Yes for each requirement in {T9}⟦/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coding panel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CA3.</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 separates identity from authority and is expressed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N-of-N approval by the guardian set G with EIP-712 guardian signatures,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reserved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treat consent primarily as a record of a patient’s permission [62, 63, 67]. Once the permission has been created and stored, subsequent access control may depend predominantly on the existence of the consent record and the successful authentication of the requester. Even the evaluable consent objects reported since 2020 [21, 24, 28, 48, 66]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multi-party approval is never conjoined with a purpose or data-scope condition [23, 25, 26].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rarely verified separately from authentication.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requires the Groth16 ZK proof to verify,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RO1 to RO4 are delivered in CA2,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For a guardian approval, the authority in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membership of G, and each member of G is counted once.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a registration-time co-consent [27, 52], an institution-side admission gate [61], a custodial M-of-N signature [25], or a key-share reconstruction [50,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If the required threshold is not satisfied, the authorisation process terminates with a denial decision.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If a guardian or proxy is specified, the system validates the guardian set G.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 shown in the interface in the prototype</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For example, where two approvals are required and the consent has not been revoked,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was originally planned for CA3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As in Section 5.2, lifecycle state and revocation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Five elements remain for CA3.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records an unauthorised state-transition event and returns INVALID, but this is the only step not yet implemented.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This work will constitute a major component of CA3.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The SBT, a soulbound ERC-721 token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The creation, approval, and granted-access screens were captured from a second lifecycle, 04da25f5, which used the same code, contract, and configuration and was anchored as token #2.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The public anchoring of the evaluated consent in block 11,771,243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identify as remaining for CA3. RO5 and RO6 constitute the principal research agenda for CA3.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57(8):1–36,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the secondary use of health data. Blockchain in Healthcare Today, 9(1),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a6d5cbc4c29a5ba7ae40e4643094327da1a45063.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39225f74fe21ad7e7b7c1673918fe98415414719.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2026-10-04T04:21:08.571Z</dcterms:created>
  <dcterms:modified xsi:type="dcterms:W3CDTF">2026-10-04T04:21:08.571Z</dcterms:modified>
</cp:coreProperties>
</file>

<file path=docProps/custom.xml><?xml version="1.0" encoding="utf-8"?>
<Properties xmlns="http://schemas.openxmlformats.org/officeDocument/2006/custom-properties" xmlns:vt="http://schemas.openxmlformats.org/officeDocument/2006/docPropsVTypes"/>
</file>