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HALAH System and Workflow</w:t>
      </w:r>
    </w:p>
    <w:p>
      <w:pPr>
        <w:spacing w:after="160" w:line="300"/>
        <w:jc w:val="both"/>
      </w:pPr>
      <w: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60" w:line="300"/>
        <w:jc w:val="both"/>
      </w:pPr>
      <w:r>
        <w:t xml:space="preserve">In version 1.2, the activation and revocation of a consent are not confined to the application. Instead, they are executed as real transactions on the </w:t>
      </w:r>
      <w:r>
        <w:rPr>
          <w:b/>
          <w:bCs/>
        </w:rPr>
        <w:t xml:space="preserve">Ethereum Sepolia</w:t>
      </w:r>
      <w: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sz w:val="22"/>
          <w:szCs w:val="22"/>
        </w:rPr>
        <w:t xml:space="preserve">→ Doctor Access → Consent Revocation → Independent Audit</w:t>
      </w:r>
    </w:p>
    <w:p>
      <w:pPr>
        <w:spacing w:after="160" w:line="300"/>
        <w:jc w:val="both"/>
      </w:pPr>
      <w: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pStyle w:val="Heading1"/>
        <w:spacing w:after="160" w:before="320"/>
      </w:pPr>
      <w:r>
        <w:t xml:space="preserve">1. HALAH System</w:t>
      </w:r>
    </w:p>
    <w:p>
      <w:pPr>
        <w:spacing w:after="160" w:line="300"/>
        <w:jc w:val="both"/>
      </w:pPr>
      <w: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60" w:line="300"/>
        <w:jc w:val="both"/>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60" w:line="300"/>
        <w:jc w:val="both"/>
      </w:pPr>
      <w: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spacing w:after="160" w:line="300"/>
        <w:jc w:val="both"/>
      </w:pPr>
      <w:r>
        <w:t xml:space="preserve">The consent token contract, </w:t>
      </w:r>
      <w:r>
        <w:rPr>
          <w:b/>
          <w:bCs/>
        </w:rPr>
        <w:t xml:space="preserve">ConsentSBTv3</w:t>
      </w:r>
      <w:r>
        <w:t xml:space="preserve">, was compiled in Remix and deployed to the Sepolia test network from the project test wallet through MetaMask. The contract implements a soulbound ERC-721 token. Transfers between accounts are blocked. Consequently, an activated consent can never be traded or moved, and burning follows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20"/>
        <w:jc w:val="center"/>
      </w:pPr>
      <w:r>
        <w:drawing>
          <wp:inline distT="0" distB="0" distL="0" distR="0">
            <wp:extent cx="5334000" cy="5124450"/>
            <wp:effectExtent t="0" r="0" b="0" l="0"/>
            <wp:docPr id="1" name="g_deploy" descr="Deployment of ConsentSBTv3 from Remix through MetaMask on the Sepolia network."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124450"/>
                    </a:xfrm>
                    <a:prstGeom prst="rect">
                      <a:avLst/>
                    </a:prstGeom>
                  </pic:spPr>
                </pic:pic>
              </a:graphicData>
            </a:graphic>
          </wp:inline>
        </w:drawing>
      </w:r>
    </w:p>
    <w:p>
      <w:pPr>
        <w:spacing w:after="180"/>
        <w:jc w:val="center"/>
      </w:pPr>
      <w:r>
        <w:rPr>
          <w:b/>
          <w:bCs/>
          <w:i/>
          <w:iCs/>
          <w:sz w:val="19"/>
          <w:szCs w:val="19"/>
        </w:rPr>
        <w:t xml:space="preserve">Figure 1. </w:t>
      </w:r>
      <w:r>
        <w:rPr>
          <w:i/>
          <w:iCs/>
          <w:sz w:val="19"/>
          <w:szCs w:val="19"/>
        </w:rPr>
        <w:t xml:space="preserve">Deployment of ConsentSBTv3 from Remix through MetaMask on the Sepolia network.</w:t>
      </w:r>
    </w:p>
    <w:p>
      <w:pPr>
        <w:spacing w:after="160" w:line="300"/>
        <w:jc w:val="both"/>
      </w:pPr>
      <w: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20"/>
        <w:jc w:val="center"/>
      </w:pPr>
      <w:r>
        <w:drawing>
          <wp:inline distT="0" distB="0" distL="0" distR="0">
            <wp:extent cx="5905500" cy="2571750"/>
            <wp:effectExtent t="0" r="0" b="0" l="0"/>
            <wp:docPr id="1" name="g_etherscan" descr="The deployed contract on Sepolia Etherscan, with the creator wallet, the MedicalConsent (CONSENT) token tracker and the first mint transa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71750"/>
                    </a:xfrm>
                    <a:prstGeom prst="rect">
                      <a:avLst/>
                    </a:prstGeom>
                  </pic:spPr>
                </pic:pic>
              </a:graphicData>
            </a:graphic>
          </wp:inline>
        </w:drawing>
      </w:r>
    </w:p>
    <w:p>
      <w:pPr>
        <w:spacing w:after="180"/>
        <w:jc w:val="center"/>
      </w:pPr>
      <w:r>
        <w:rPr>
          <w:b/>
          <w:bCs/>
          <w:i/>
          <w:iCs/>
          <w:sz w:val="19"/>
          <w:szCs w:val="19"/>
        </w:rPr>
        <w:t xml:space="preserve">Figure 2. </w:t>
      </w:r>
      <w:r>
        <w:rPr>
          <w:i/>
          <w:iCs/>
          <w:sz w:val="19"/>
          <w:szCs w:val="19"/>
        </w:rPr>
        <w:t xml:space="preserve">The deployed contract on Sepolia Etherscan, with the creator wallet, the MedicalConsent (CONSENT) token tracker and the first mint transaction.</w:t>
      </w:r>
    </w:p>
    <w:p>
      <w:pPr>
        <w:spacing w:after="160" w:line="300"/>
        <w:jc w:val="left"/>
      </w:pPr>
      <w:r>
        <w:t xml:space="preserve">As shown in the figure above, the deployed contract is publicly listed at </w:t>
      </w:r>
      <w:hyperlink w:history="1" r:id="rIdkumd2k9oniehtgokxgh1r">
        <w:r>
          <w:rPr>
            <w:rStyle w:val="Hyperlink"/>
          </w:rPr>
          <w:t xml:space="preserve">0x0EC3617581DEC63A7f2bb162DC14d088916ADc73</w:t>
        </w:r>
      </w:hyperlink>
      <w:r>
        <w:t xml:space="preserve"> together with its creator wallet and the token tracker MedicalConsent (CONSENT). Consequently, the existence of the consent registry itself, and every activation or revocation recorded on it, can be inspected independently of the HALAH application.</w:t>
      </w:r>
    </w:p>
    <w:p>
      <w:pPr>
        <w:spacing w:after="160" w:line="300"/>
        <w:jc w:val="both"/>
      </w:pPr>
      <w:r>
        <w:t xml:space="preserve">The application itself was run in GitHub Codespaces, a browser-based execution environment. Before the demonstration, a readiness check was executed which confirms the network (Sepolia, chainId 11155111), the signer balance, the presence of contract code at the configured address, and that the signer is the contract owner.</w:t>
      </w:r>
    </w:p>
    <w:p>
      <w:pPr>
        <w:keepNext/>
        <w:spacing w:after="60" w:before="120"/>
        <w:jc w:val="center"/>
      </w:pPr>
      <w:r>
        <w:drawing>
          <wp:inline distT="0" distB="0" distL="0" distR="0">
            <wp:extent cx="4381500" cy="1057275"/>
            <wp:effectExtent t="0" r="0" b="0" l="0"/>
            <wp:docPr id="1" name="g_ready" descr="The Sepolia readiness check executed in GitHub Codespaces before the demonstration: the system reports READY."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057275"/>
                    </a:xfrm>
                    <a:prstGeom prst="rect">
                      <a:avLst/>
                    </a:prstGeom>
                  </pic:spPr>
                </pic:pic>
              </a:graphicData>
            </a:graphic>
          </wp:inline>
        </w:drawing>
      </w:r>
    </w:p>
    <w:p>
      <w:pPr>
        <w:spacing w:after="180"/>
        <w:jc w:val="center"/>
      </w:pPr>
      <w:r>
        <w:rPr>
          <w:b/>
          <w:bCs/>
          <w:i/>
          <w:iCs/>
          <w:sz w:val="19"/>
          <w:szCs w:val="19"/>
        </w:rPr>
        <w:t xml:space="preserve">Figure 3. </w:t>
      </w:r>
      <w:r>
        <w:rPr>
          <w:i/>
          <w:iCs/>
          <w:sz w:val="19"/>
          <w:szCs w:val="19"/>
        </w:rPr>
        <w:t xml:space="preserve">The Sepolia readiness check executed in GitHub Codespaces before the demonstration: the system reports READY.</w:t>
      </w:r>
    </w:p>
    <w:p>
      <w:pPr>
        <w:spacing w:after="160" w:line="300"/>
        <w:jc w:val="both"/>
      </w:pPr>
      <w:r>
        <w:t xml:space="preserve">As shown in the figure above, the check reports READY, so every subsequent step of the demonstration operates against the live contract. The subsystem therefore serves as the entry point for demonstrating the complete authorisation process rather than functioning merely as a conventional patient-record application.</w:t>
      </w:r>
    </w:p>
    <w:p>
      <w:pPr>
        <w:pStyle w:val="Heading1"/>
        <w:spacing w:after="160" w:before="320"/>
      </w:pPr>
      <w:r>
        <w:t xml:space="preserve">2. Create Smart Consent Contract: Patient Subsystem</w:t>
      </w:r>
    </w:p>
    <w:p>
      <w:pPr>
        <w:spacing w:after="160" w:line="300"/>
        <w:jc w:val="both"/>
      </w:pPr>
      <w:r>
        <w:t xml:space="preserve">The first functional subsystem is the Create Smart Consent Contract module. This module represents the patient-side initiation of a consent transaction and corresponds directly to the construction of the proposed consent object.</w:t>
      </w:r>
    </w:p>
    <w:p>
      <w:pPr>
        <w:spacing w:after="160" w:line="300"/>
        <w:jc w:val="both"/>
      </w:pPr>
      <w: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sz w:val="22"/>
          <w:szCs w:val="22"/>
        </w:rPr>
        <w:t xml:space="preserve">C = (I, A, P, T, L, E)</w:t>
      </w:r>
    </w:p>
    <w:p>
      <w:pPr>
        <w:spacing w:after="160" w:line="300"/>
        <w:jc w:val="both"/>
      </w:pPr>
      <w: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keepNext/>
        <w:spacing w:after="60" w:before="120"/>
        <w:jc w:val="center"/>
      </w:pPr>
      <w:r>
        <w:drawing>
          <wp:inline distT="0" distB="0" distL="0" distR="0">
            <wp:extent cx="5334000" cy="3943350"/>
            <wp:effectExtent t="0" r="0" b="0" l="0"/>
            <wp:docPr id="1" name="M1" descr="The patient subsystem after consent creation: four EMR modules, two designated guardians, jurisdiction AU, and the state PENDING_SIGNATUR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43350"/>
                    </a:xfrm>
                    <a:prstGeom prst="rect">
                      <a:avLst/>
                    </a:prstGeom>
                  </pic:spPr>
                </pic:pic>
              </a:graphicData>
            </a:graphic>
          </wp:inline>
        </w:drawing>
      </w:r>
    </w:p>
    <w:p>
      <w:pPr>
        <w:spacing w:after="180"/>
        <w:jc w:val="center"/>
      </w:pPr>
      <w:r>
        <w:rPr>
          <w:b/>
          <w:bCs/>
          <w:i/>
          <w:iCs/>
          <w:sz w:val="19"/>
          <w:szCs w:val="19"/>
        </w:rPr>
        <w:t xml:space="preserve">Figure 4. </w:t>
      </w:r>
      <w:r>
        <w:rPr>
          <w:i/>
          <w:iCs/>
          <w:sz w:val="19"/>
          <w:szCs w:val="19"/>
        </w:rPr>
        <w:t xml:space="preserve">The patient subsystem after consent creation: four EMR modules, two designated guardians, jurisdiction AU, and the state PENDING_SIGNATURE.</w:t>
      </w:r>
    </w:p>
    <w:p>
      <w:pPr>
        <w:spacing w:after="160" w:line="300"/>
        <w:jc w:val="both"/>
      </w:pPr>
      <w: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60" w:line="300"/>
        <w:jc w:val="both"/>
      </w:pPr>
      <w: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Version 1.2 additionally validates the input before the consent is stored: a consent with an empty data scope is rejected, and every guardian entry must be a well-formed DID.</w:t>
      </w:r>
    </w:p>
    <w:p>
      <w:pPr>
        <w:spacing w:after="160" w:line="300"/>
        <w:jc w:val="both"/>
      </w:pPr>
      <w: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60" w:line="300"/>
        <w:jc w:val="both"/>
      </w:pPr>
      <w: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60" w:line="300"/>
        <w:jc w:val="both"/>
      </w:pPr>
      <w:r>
        <w:t xml:space="preserve">Two consent lifecycles appear in the demonstration and should be distinguished. The evaluated consent, f050c29a, was carried through the complete lifecycle — activation as </w:t>
      </w:r>
      <w:r>
        <w:rPr>
          <w:b/>
          <w:bCs/>
        </w:rPr>
        <w:t xml:space="preserve">token #1</w:t>
      </w:r>
      <w: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identical lifecycle (consent 04da25f5, anchored as </w:t>
      </w:r>
      <w:r>
        <w:rPr>
          <w:b/>
          <w:bCs/>
        </w:rPr>
        <w:t xml:space="preserve">token #2</w:t>
      </w:r>
      <w:r>
        <w:t xml:space="preserve"> in block 11,771,581). The two lifecycles were executed with the same code and the same contract.</w:t>
      </w:r>
    </w:p>
    <w:p>
      <w:pPr>
        <w:spacing w:after="160" w:line="300"/>
        <w:jc w:val="both"/>
      </w:pPr>
      <w:r>
        <w:t xml:space="preserve">From a system perspective, this module therefore corresponds primarily to </w:t>
      </w:r>
      <w:r>
        <w:rPr>
          <w:b/>
          <w:bCs/>
        </w:rPr>
        <w:t xml:space="preserve">Consent Object Construction and Patient Initiation</w:t>
      </w:r>
      <w:r>
        <w:t xml:space="preserve">.</w:t>
      </w:r>
    </w:p>
    <w:p>
      <w:pPr>
        <w:pStyle w:val="Heading1"/>
        <w:spacing w:after="160" w:before="320"/>
      </w:pPr>
      <w:r>
        <w:t xml:space="preserve">3. Guardian Cryptographic Approval</w:t>
      </w:r>
    </w:p>
    <w:p>
      <w:pPr>
        <w:spacing w:after="160" w:line="300"/>
        <w:jc w:val="both"/>
      </w:pPr>
      <w:r>
        <w:t xml:space="preserve">The second part is the Guardian Cryptographic Approval. As shown in the figure below, it operationalises the multi-party authorisation component of the proposed framework.</w:t>
      </w:r>
    </w:p>
    <w:p>
      <w:pPr>
        <w:keepNext/>
        <w:spacing w:after="60" w:before="120"/>
        <w:jc w:val="center"/>
      </w:pPr>
      <w:r>
        <w:drawing>
          <wp:inline distT="0" distB="0" distL="0" distR="0">
            <wp:extent cx="5334000" cy="3133725"/>
            <wp:effectExtent t="0" r="0" b="0" l="0"/>
            <wp:docPr id="1" name="M2" descr="The guardian subsystem at the moment of the second approval: the EIP-712 signature is verified, the 2/2 threshold is reached, the SBT is minted in the local ledger and the Sepolia anchoring starts in the backgroun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33725"/>
                    </a:xfrm>
                    <a:prstGeom prst="rect">
                      <a:avLst/>
                    </a:prstGeom>
                  </pic:spPr>
                </pic:pic>
              </a:graphicData>
            </a:graphic>
          </wp:inline>
        </w:drawing>
      </w:r>
    </w:p>
    <w:p>
      <w:pPr>
        <w:spacing w:after="180"/>
        <w:jc w:val="center"/>
      </w:pPr>
      <w:r>
        <w:rPr>
          <w:b/>
          <w:bCs/>
          <w:i/>
          <w:iCs/>
          <w:sz w:val="19"/>
          <w:szCs w:val="19"/>
        </w:rPr>
        <w:t xml:space="preserve">Figure 5. </w:t>
      </w:r>
      <w:r>
        <w:rPr>
          <w:i/>
          <w:iCs/>
          <w:sz w:val="19"/>
          <w:szCs w:val="19"/>
        </w:rPr>
        <w:t xml:space="preserve">The guardian subsystem at the moment of the second approval: the EIP-712 signature is verified, the 2/2 threshold is reached, the SBT is minted in the local ledger and the Sepolia anchoring starts in the background.</w:t>
      </w:r>
    </w:p>
    <w:p>
      <w:pPr>
        <w:spacing w:after="160" w:line="300"/>
        <w:jc w:val="both"/>
      </w:pPr>
      <w: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60" w:line="300"/>
        <w:jc w:val="both"/>
      </w:pPr>
      <w:r>
        <w:t xml:space="preserve">The subsystem subsequently reports:</w:t>
      </w:r>
    </w:p>
    <w:p>
      <w:pPr>
        <w:spacing w:after="160" w:line="300"/>
        <w:jc w:val="center"/>
      </w:pPr>
      <w:r>
        <w:t xml:space="preserve">EIP-712 signature verified (signer 0x39B12b87…). Multi-sig: 2/2</w:t>
      </w:r>
    </w:p>
    <w:p>
      <w:pPr>
        <w:spacing w:after="160" w:line="300"/>
        <w:jc w:val="both"/>
      </w:pPr>
      <w: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sz w:val="22"/>
          <w:szCs w:val="22"/>
        </w:rPr>
        <w:t xml:space="preserve">ALLOW = VI ∧ VA ∧ VP ∧ VT ∧ VL</w:t>
      </w:r>
    </w:p>
    <w:p>
      <w:pPr>
        <w:spacing w:after="160" w:line="300"/>
        <w:jc w:val="both"/>
      </w:pPr>
      <w: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sz w:val="22"/>
          <w:szCs w:val="22"/>
        </w:rPr>
        <w:t xml:space="preserve">Σ g∈G  Sign(g, C)  ≥  |G| = 2</w:t>
      </w:r>
    </w:p>
    <w:p>
      <w:pPr>
        <w:spacing w:after="160" w:line="300"/>
        <w:jc w:val="both"/>
      </w:pPr>
      <w: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When the guardian later re-enters the Consent ID, the subsystem reports Already anchored on Sepolia together with the on-chain token number (token #2 for the photographed lifecycle, token #1 for the evaluated consent).</w:t>
      </w:r>
    </w:p>
    <w:p>
      <w:pPr>
        <w:keepNext/>
        <w:spacing w:after="60" w:before="120"/>
        <w:jc w:val="center"/>
      </w:pPr>
      <w:r>
        <w:drawing>
          <wp:inline distT="0" distB="0" distL="0" distR="0">
            <wp:extent cx="5143500" cy="1828800"/>
            <wp:effectExtent t="0" r="0" b="0" l="0"/>
            <wp:docPr id="1" name="M2b" descr="The guardian subsystem revisited after the background job has completed: 'Already anchored on Sepolia - token #2'."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28800"/>
                    </a:xfrm>
                    <a:prstGeom prst="rect">
                      <a:avLst/>
                    </a:prstGeom>
                  </pic:spPr>
                </pic:pic>
              </a:graphicData>
            </a:graphic>
          </wp:inline>
        </w:drawing>
      </w:r>
    </w:p>
    <w:p>
      <w:pPr>
        <w:spacing w:after="180"/>
        <w:jc w:val="center"/>
      </w:pPr>
      <w:r>
        <w:rPr>
          <w:b/>
          <w:bCs/>
          <w:i/>
          <w:iCs/>
          <w:sz w:val="19"/>
          <w:szCs w:val="19"/>
        </w:rPr>
        <w:t xml:space="preserve">Figure 6. </w:t>
      </w:r>
      <w:r>
        <w:rPr>
          <w:i/>
          <w:iCs/>
          <w:sz w:val="19"/>
          <w:szCs w:val="19"/>
        </w:rPr>
        <w:t xml:space="preserve">The guardian subsystem revisited after the background job has completed: 'Already anchored on Sepolia - token #2'.</w:t>
      </w:r>
    </w:p>
    <w:p>
      <w:pPr>
        <w:spacing w:after="160" w:line="300"/>
        <w:jc w:val="both"/>
      </w:pPr>
      <w: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20"/>
        <w:jc w:val="center"/>
      </w:pPr>
      <w:r>
        <w:drawing>
          <wp:inline distT="0" distB="0" distL="0" distR="0">
            <wp:extent cx="5905500" cy="4314825"/>
            <wp:effectExtent t="0" r="0" b="0" l="0"/>
            <wp:docPr id="1" name="M3" descr="The anchoring transaction of the evaluated consent on Sepolia Etherscan: status Success, block 11,771,243, 'Mint 1 of MedicalConsent' to the pseudonymous patient address (function selector 0x1e1e7c76, mintConsentV3)."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314825"/>
                    </a:xfrm>
                    <a:prstGeom prst="rect">
                      <a:avLst/>
                    </a:prstGeom>
                  </pic:spPr>
                </pic:pic>
              </a:graphicData>
            </a:graphic>
          </wp:inline>
        </w:drawing>
      </w:r>
    </w:p>
    <w:p>
      <w:pPr>
        <w:spacing w:after="180"/>
        <w:jc w:val="center"/>
      </w:pPr>
      <w:r>
        <w:rPr>
          <w:b/>
          <w:bCs/>
          <w:i/>
          <w:iCs/>
          <w:sz w:val="19"/>
          <w:szCs w:val="19"/>
        </w:rPr>
        <w:t xml:space="preserve">Figure 7. </w:t>
      </w:r>
      <w:r>
        <w:rPr>
          <w:i/>
          <w:iCs/>
          <w:sz w:val="19"/>
          <w:szCs w:val="19"/>
        </w:rPr>
        <w:t xml:space="preserve">The anchoring transaction of the evaluated consent on Sepolia Etherscan: status Success, block 11,771,243, 'Mint 1 of MedicalConsent' to the pseudonymous patient address (function selector 0x1e1e7c76, mintConsentV3).</w:t>
      </w:r>
    </w:p>
    <w:p>
      <w:pPr>
        <w:spacing w:after="160" w:line="300"/>
        <w:jc w:val="left"/>
      </w:pPr>
      <w: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w:t>
      </w:r>
      <w:hyperlink w:history="1" r:id="rId45w1kvfjapxsmu-xfl9bc">
        <w:r>
          <w:rPr>
            <w:rStyle w:val="Hyperlink"/>
          </w:rPr>
          <w:t xml:space="preserve">Etherscan: mint transaction</w:t>
        </w:r>
      </w:hyperlink>
      <w:r>
        <w:t xml:space="preserve">. This provides an implementation-level demonstration that consent activation can be verified independently of the application.</w:t>
      </w:r>
    </w:p>
    <w:p>
      <w:pPr>
        <w:spacing w:after="160" w:line="300"/>
        <w:jc w:val="both"/>
      </w:pPr>
      <w:r>
        <w:t xml:space="preserve">The guardian subsystem consequently corresponds to </w:t>
      </w:r>
      <w:r>
        <w:rPr>
          <w:b/>
          <w:bCs/>
        </w:rPr>
        <w:t xml:space="preserve">Multi-Party Approval, Cryptographic Verification and Consent Activation</w:t>
      </w:r>
      <w:r>
        <w:t xml:space="preserve"> in the proposed architecture.</w:t>
      </w:r>
    </w:p>
    <w:p>
      <w:pPr>
        <w:pStyle w:val="Heading1"/>
        <w:spacing w:after="160" w:before="320"/>
      </w:pPr>
      <w:r>
        <w:t xml:space="preserve">4. Secure Patient Data Access for Doctor</w:t>
      </w:r>
    </w:p>
    <w:p>
      <w:pPr>
        <w:spacing w:after="160" w:line="300"/>
        <w:jc w:val="both"/>
      </w:pPr>
      <w:r>
        <w:t xml:space="preserve">The third module is the Secure Patient Data Access module and represents the healthcare-provider side of the authorisation process.</w:t>
      </w:r>
    </w:p>
    <w:p>
      <w:pPr>
        <w:spacing w:after="160" w:line="300"/>
        <w:jc w:val="both"/>
      </w:pPr>
      <w: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sz w:val="22"/>
          <w:szCs w:val="22"/>
        </w:rPr>
        <w:t xml:space="preserve">State = ACTIVE</w:t>
      </w:r>
    </w:p>
    <w:p>
      <w:pPr>
        <w:spacing w:after="160" w:line="300"/>
        <w:jc w:val="both"/>
      </w:pPr>
      <w: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20"/>
        <w:jc w:val="center"/>
      </w:pPr>
      <w:r>
        <w:drawing>
          <wp:inline distT="0" distB="0" distL="0" distR="0">
            <wp:extent cx="5334000" cy="4200525"/>
            <wp:effectExtent t="0" r="0" b="0" l="0"/>
            <wp:docPr id="1" name="g_doc_au" descr="The doctor subsystem with requester jurisdiction AU: all five checks report PASS, ALLOW = PASS, and the consent state is ACTIV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b/>
          <w:bCs/>
          <w:i/>
          <w:iCs/>
          <w:sz w:val="19"/>
          <w:szCs w:val="19"/>
        </w:rPr>
        <w:t xml:space="preserve">Figure 8. </w:t>
      </w:r>
      <w:r>
        <w:rPr>
          <w:i/>
          <w:iCs/>
          <w:sz w:val="19"/>
          <w:szCs w:val="19"/>
        </w:rPr>
        <w:t xml:space="preserve">The doctor subsystem with requester jurisdiction AU: all five checks report PASS, ALLOW = PASS, and the consent state is ACTIVE.</w:t>
      </w:r>
    </w:p>
    <w:p>
      <w:pPr>
        <w:spacing w:after="160" w:line="300"/>
        <w:jc w:val="both"/>
      </w:pPr>
      <w: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sz w:val="22"/>
          <w:szCs w:val="22"/>
        </w:rPr>
        <w:t xml:space="preserve">Scope = { Observation, Medication, Condition, Procedure }</w:t>
      </w:r>
    </w:p>
    <w:p>
      <w:pPr>
        <w:spacing w:after="160" w:line="300"/>
        <w:jc w:val="both"/>
      </w:pPr>
      <w: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(Section 11). The audit ledger records the proof mode (groth16) with every granted access, and the subsystem then shows the message Cryptographic Verification Successful — Access Granted.</w:t>
      </w:r>
    </w:p>
    <w:p>
      <w:pPr>
        <w:keepNext/>
        <w:spacing w:after="60" w:before="120"/>
        <w:jc w:val="center"/>
      </w:pPr>
      <w:r>
        <w:drawing>
          <wp:inline distT="0" distB="0" distL="0" distR="0">
            <wp:extent cx="5334000" cy="6229350"/>
            <wp:effectExtent t="0" r="0" b="0" l="0"/>
            <wp:docPr id="1" name="M4" descr="The doctor subsystem after verification: access granted and the authorised medical records displayed per EMR module (the Observation and Medication modules are visible), each with a Download CSV contro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29350"/>
                    </a:xfrm>
                    <a:prstGeom prst="rect">
                      <a:avLst/>
                    </a:prstGeom>
                  </pic:spPr>
                </pic:pic>
              </a:graphicData>
            </a:graphic>
          </wp:inline>
        </w:drawing>
      </w:r>
    </w:p>
    <w:p>
      <w:pPr>
        <w:spacing w:after="180"/>
        <w:jc w:val="center"/>
      </w:pPr>
      <w:r>
        <w:rPr>
          <w:b/>
          <w:bCs/>
          <w:i/>
          <w:iCs/>
          <w:sz w:val="19"/>
          <w:szCs w:val="19"/>
        </w:rPr>
        <w:t xml:space="preserve">Figure 9. </w:t>
      </w:r>
      <w:r>
        <w:rPr>
          <w:i/>
          <w:iCs/>
          <w:sz w:val="19"/>
          <w:szCs w:val="19"/>
        </w:rPr>
        <w:t xml:space="preserve">The doctor subsystem after verification: access granted and the authorised medical records displayed per EMR module (the Observation and Medication modules are visible), each with a Download CSV control.</w:t>
      </w:r>
    </w:p>
    <w:p>
      <w:pPr>
        <w:keepNext/>
        <w:spacing w:after="60" w:before="120"/>
        <w:jc w:val="center"/>
      </w:pPr>
      <w:r>
        <w:drawing>
          <wp:inline distT="0" distB="0" distL="0" distR="0">
            <wp:extent cx="5143500" cy="4314825"/>
            <wp:effectExtent t="0" r="0" b="0" l="0"/>
            <wp:docPr id="1" name="M4b" descr="The remaining authorised modules of the same request: the Condition and Procedure records, each with its own export contro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314825"/>
                    </a:xfrm>
                    <a:prstGeom prst="rect">
                      <a:avLst/>
                    </a:prstGeom>
                  </pic:spPr>
                </pic:pic>
              </a:graphicData>
            </a:graphic>
          </wp:inline>
        </w:drawing>
      </w:r>
    </w:p>
    <w:p>
      <w:pPr>
        <w:spacing w:after="180"/>
        <w:jc w:val="center"/>
      </w:pPr>
      <w:r>
        <w:rPr>
          <w:b/>
          <w:bCs/>
          <w:i/>
          <w:iCs/>
          <w:sz w:val="19"/>
          <w:szCs w:val="19"/>
        </w:rPr>
        <w:t xml:space="preserve">Figure 10. </w:t>
      </w:r>
      <w:r>
        <w:rPr>
          <w:i/>
          <w:iCs/>
          <w:sz w:val="19"/>
          <w:szCs w:val="19"/>
        </w:rPr>
        <w:t xml:space="preserve">The remaining authorised modules of the same request: the Condition and Procedure records, each with its own export control.</w:t>
      </w:r>
    </w:p>
    <w:p>
      <w:pPr>
        <w:spacing w:after="160" w:line="300"/>
        <w:jc w:val="both"/>
      </w:pPr>
      <w:r>
        <w:t xml:space="preserve">As shown in the two figures above, this demonstrates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sz w:val="22"/>
          <w:szCs w:val="22"/>
        </w:rPr>
        <w:t xml:space="preserve">Consent → Verification → AccessDecision</w:t>
      </w:r>
    </w:p>
    <w:p>
      <w:pPr>
        <w:spacing w:after="160" w:line="300"/>
        <w:jc w:val="both"/>
      </w:pPr>
      <w: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60" w:line="300"/>
        <w:jc w:val="both"/>
      </w:pPr>
      <w:r>
        <w:t xml:space="preserve">Thus, the doctor subsystem corresponds to </w:t>
      </w:r>
      <w:r>
        <w:rPr>
          <w:b/>
          <w:bCs/>
        </w:rPr>
        <w:t xml:space="preserve">Consent-State Validation, Scope Enforcement and Authorised Data Access</w:t>
      </w:r>
      <w:r>
        <w:t xml:space="preserve">.</w:t>
      </w:r>
    </w:p>
    <w:p>
      <w:pPr>
        <w:pStyle w:val="Heading1"/>
        <w:spacing w:after="160" w:before="320"/>
      </w:pPr>
      <w:r>
        <w:t xml:space="preserve">5. Negative Demonstration: Jurisdiction Violation</w:t>
      </w:r>
    </w:p>
    <w:p>
      <w:pPr>
        <w:spacing w:after="160" w:line="300"/>
        <w:jc w:val="both"/>
      </w:pPr>
      <w: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20"/>
        <w:jc w:val="center"/>
      </w:pPr>
      <w:r>
        <w:drawing>
          <wp:inline distT="0" distB="0" distL="0" distR="0">
            <wp:extent cx="5334000" cy="4200525"/>
            <wp:effectExtent t="0" r="0" b="0" l="0"/>
            <wp:docPr id="1" name="g_doc_sa" descr="The doctor subsystem with requester jurisdiction SA: VL reports FAIL and consequently ALLOW = FAIL, although the consent state remains ACTIV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b/>
          <w:bCs/>
          <w:i/>
          <w:iCs/>
          <w:sz w:val="19"/>
          <w:szCs w:val="19"/>
        </w:rPr>
        <w:t xml:space="preserve">Figure 11. </w:t>
      </w:r>
      <w:r>
        <w:rPr>
          <w:i/>
          <w:iCs/>
          <w:sz w:val="19"/>
          <w:szCs w:val="19"/>
        </w:rPr>
        <w:t xml:space="preserve">The doctor subsystem with requester jurisdiction SA: VL reports FAIL and consequently ALLOW = FAIL, although the consent state remains ACTIVE.</w:t>
      </w:r>
    </w:p>
    <w:p>
      <w:pPr>
        <w:spacing w:after="160" w:line="300"/>
        <w:jc w:val="both"/>
      </w:pPr>
      <w: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20"/>
        <w:jc w:val="center"/>
      </w:pPr>
      <w:r>
        <w:drawing>
          <wp:inline distT="0" distB="0" distL="0" distR="0">
            <wp:extent cx="5334000" cy="2638425"/>
            <wp:effectExtent t="0" r="0" b="0" l="0"/>
            <wp:docPr id="1" name="g_denied" descr="The refused request: 'Security Exception: Access Denied by ZK-Policy. Failed checks: VL'."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38425"/>
                    </a:xfrm>
                    <a:prstGeom prst="rect">
                      <a:avLst/>
                    </a:prstGeom>
                  </pic:spPr>
                </pic:pic>
              </a:graphicData>
            </a:graphic>
          </wp:inline>
        </w:drawing>
      </w:r>
    </w:p>
    <w:p>
      <w:pPr>
        <w:spacing w:after="180"/>
        <w:jc w:val="center"/>
      </w:pPr>
      <w:r>
        <w:rPr>
          <w:b/>
          <w:bCs/>
          <w:i/>
          <w:iCs/>
          <w:sz w:val="19"/>
          <w:szCs w:val="19"/>
        </w:rPr>
        <w:t xml:space="preserve">Figure 12. </w:t>
      </w:r>
      <w:r>
        <w:rPr>
          <w:i/>
          <w:iCs/>
          <w:sz w:val="19"/>
          <w:szCs w:val="19"/>
        </w:rPr>
        <w:t xml:space="preserve">The refused request: 'Security Exception: Access Denied by ZK-Policy. Failed checks: VL'.</w:t>
      </w:r>
    </w:p>
    <w:p>
      <w:pPr>
        <w:spacing w:after="160" w:line="300"/>
        <w:jc w:val="both"/>
      </w:pPr>
      <w: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60" w:line="300"/>
        <w:jc w:val="both"/>
      </w:pPr>
      <w:r>
        <w:t xml:space="preserve">This demonstration corresponds to </w:t>
      </w:r>
      <w:r>
        <w:rPr>
          <w:b/>
          <w:bCs/>
        </w:rPr>
        <w:t xml:space="preserve">Jurisdictional Constraint Enforcement and Fail-Closed Access Control</w:t>
      </w:r>
      <w:r>
        <w:t xml:space="preserve">.</w:t>
      </w:r>
    </w:p>
    <w:p>
      <w:pPr>
        <w:pStyle w:val="Heading1"/>
        <w:spacing w:after="160" w:before="320"/>
      </w:pPr>
      <w:r>
        <w:t xml:space="preserve">6. Consent Revocation</w:t>
      </w:r>
    </w:p>
    <w:p>
      <w:pPr>
        <w:spacing w:after="160" w:line="300"/>
        <w:jc w:val="both"/>
      </w:pPr>
      <w:r>
        <w:t xml:space="preserve">The next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20"/>
        <w:jc w:val="center"/>
      </w:pPr>
      <w:r>
        <w:drawing>
          <wp:inline distT="0" distB="0" distL="0" distR="0">
            <wp:extent cx="5143500" cy="3714750"/>
            <wp:effectExtent t="0" r="0" b="0" l="0"/>
            <wp:docPr id="1" name="g_revoking" descr="The patient subsystem during revocation: 'Revoking on Sepolia - waiting for block confirmation…'."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714750"/>
                    </a:xfrm>
                    <a:prstGeom prst="rect">
                      <a:avLst/>
                    </a:prstGeom>
                  </pic:spPr>
                </pic:pic>
              </a:graphicData>
            </a:graphic>
          </wp:inline>
        </w:drawing>
      </w:r>
    </w:p>
    <w:p>
      <w:pPr>
        <w:spacing w:after="180"/>
        <w:jc w:val="center"/>
      </w:pPr>
      <w:r>
        <w:rPr>
          <w:b/>
          <w:bCs/>
          <w:i/>
          <w:iCs/>
          <w:sz w:val="19"/>
          <w:szCs w:val="19"/>
        </w:rPr>
        <w:t xml:space="preserve">Figure 13. </w:t>
      </w:r>
      <w:r>
        <w:rPr>
          <w:i/>
          <w:iCs/>
          <w:sz w:val="19"/>
          <w:szCs w:val="19"/>
        </w:rPr>
        <w:t xml:space="preserve">The patient subsystem during revocation: 'Revoking on Sepolia - waiting for block confirmation…'.</w:t>
      </w:r>
    </w:p>
    <w:p>
      <w:pPr>
        <w:spacing w:after="160" w:line="300"/>
        <w:jc w:val="both"/>
      </w:pPr>
      <w:r>
        <w:t xml:space="preserve">As shown in the figure above, the withdrawal is submitted as a blockchain transaction and the subsystem waits for the block confirmation before reporting the final state.</w:t>
      </w:r>
    </w:p>
    <w:p>
      <w:pPr>
        <w:keepNext/>
        <w:spacing w:after="60" w:before="120"/>
        <w:jc w:val="center"/>
      </w:pPr>
      <w:r>
        <w:drawing>
          <wp:inline distT="0" distB="0" distL="0" distR="0">
            <wp:extent cx="5334000" cy="3533775"/>
            <wp:effectExtent t="0" r="0" b="0" l="0"/>
            <wp:docPr id="1" name="g_revoked" descr="The patient subsystem after revocation: the evaluated consent f050c29a is REVOKED with token #1 (displayed as SBT-1). The other rows are earlier trial consent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33775"/>
                    </a:xfrm>
                    <a:prstGeom prst="rect">
                      <a:avLst/>
                    </a:prstGeom>
                  </pic:spPr>
                </pic:pic>
              </a:graphicData>
            </a:graphic>
          </wp:inline>
        </w:drawing>
      </w:r>
    </w:p>
    <w:p>
      <w:pPr>
        <w:spacing w:after="180"/>
        <w:jc w:val="center"/>
      </w:pPr>
      <w:r>
        <w:rPr>
          <w:b/>
          <w:bCs/>
          <w:i/>
          <w:iCs/>
          <w:sz w:val="19"/>
          <w:szCs w:val="19"/>
        </w:rPr>
        <w:t xml:space="preserve">Figure 14. </w:t>
      </w:r>
      <w:r>
        <w:rPr>
          <w:i/>
          <w:iCs/>
          <w:sz w:val="19"/>
          <w:szCs w:val="19"/>
        </w:rPr>
        <w:t xml:space="preserve">The patient subsystem after revocation: the evaluated consent f050c29a is REVOKED with token #1 (displayed as SBT-1). The other rows are earlier trial consents.</w:t>
      </w:r>
    </w:p>
    <w:p>
      <w:pPr>
        <w:spacing w:after="160" w:line="300"/>
        <w:jc w:val="both"/>
      </w:pPr>
      <w: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keepNext/>
        <w:spacing w:after="60" w:before="120"/>
        <w:jc w:val="center"/>
      </w:pPr>
      <w:r>
        <w:drawing>
          <wp:inline distT="0" distB="0" distL="0" distR="0">
            <wp:extent cx="5334000" cy="2952750"/>
            <wp:effectExtent t="0" r="0" b="0" l="0"/>
            <wp:docPr id="1" name="M5" descr="The doctor subsystem after revocation: VA reports FAIL and the consent is reported as 'not active. Current state: REVOKE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52750"/>
                    </a:xfrm>
                    <a:prstGeom prst="rect">
                      <a:avLst/>
                    </a:prstGeom>
                  </pic:spPr>
                </pic:pic>
              </a:graphicData>
            </a:graphic>
          </wp:inline>
        </w:drawing>
      </w:r>
    </w:p>
    <w:p>
      <w:pPr>
        <w:spacing w:after="180"/>
        <w:jc w:val="center"/>
      </w:pPr>
      <w:r>
        <w:rPr>
          <w:b/>
          <w:bCs/>
          <w:i/>
          <w:iCs/>
          <w:sz w:val="19"/>
          <w:szCs w:val="19"/>
        </w:rPr>
        <w:t xml:space="preserve">Figure 15. </w:t>
      </w:r>
      <w:r>
        <w:rPr>
          <w:i/>
          <w:iCs/>
          <w:sz w:val="19"/>
          <w:szCs w:val="19"/>
        </w:rPr>
        <w:t xml:space="preserve">The doctor subsystem after revocation: VA reports FAIL and the consent is reported as 'not active. Current state: REVOKED'.</w:t>
      </w:r>
    </w:p>
    <w:p>
      <w:pPr>
        <w:spacing w:after="160" w:line="300"/>
        <w:jc w:val="both"/>
      </w:pPr>
      <w: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20"/>
        <w:jc w:val="center"/>
      </w:pPr>
      <w:r>
        <w:drawing>
          <wp:inline distT="0" distB="0" distL="0" distR="0">
            <wp:extent cx="5905500" cy="3886200"/>
            <wp:effectExtent t="0" r="0" b="0" l="0"/>
            <wp:docPr id="1" name="M6" descr="The revocation transaction on Sepolia Etherscan: status Success, block 11,771,307, decoded input 'Function: revoke(uint256 tokenId)' with tokenId = 1."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86200"/>
                    </a:xfrm>
                    <a:prstGeom prst="rect">
                      <a:avLst/>
                    </a:prstGeom>
                  </pic:spPr>
                </pic:pic>
              </a:graphicData>
            </a:graphic>
          </wp:inline>
        </w:drawing>
      </w:r>
    </w:p>
    <w:p>
      <w:pPr>
        <w:spacing w:after="180"/>
        <w:jc w:val="center"/>
      </w:pPr>
      <w:r>
        <w:rPr>
          <w:b/>
          <w:bCs/>
          <w:i/>
          <w:iCs/>
          <w:sz w:val="19"/>
          <w:szCs w:val="19"/>
        </w:rPr>
        <w:t xml:space="preserve">Figure 16. </w:t>
      </w:r>
      <w:r>
        <w:rPr>
          <w:i/>
          <w:iCs/>
          <w:sz w:val="19"/>
          <w:szCs w:val="19"/>
        </w:rPr>
        <w:t xml:space="preserve">The revocation transaction on Sepolia Etherscan: status Success, block 11,771,307, decoded input 'Function: revoke(uint256 tokenId)' with tokenId = 1.</w:t>
      </w:r>
    </w:p>
    <w:p>
      <w:pPr>
        <w:spacing w:after="160" w:line="300"/>
        <w:jc w:val="left"/>
      </w:pPr>
      <w:r>
        <w:t xml:space="preserve">As shown in the figure above, the revocation is again a publicly verifiable transaction, whose decoded input names the contract function revoke and the token identifier. The transaction can be inspected at </w:t>
      </w:r>
      <w:hyperlink w:history="1" r:id="rIdhuu6sl_edugn-imhlgvuo">
        <w:r>
          <w:rPr>
            <w:rStyle w:val="Hyperlink"/>
          </w:rPr>
          <w:t xml:space="preserve">Etherscan: revoke transaction</w:t>
        </w:r>
      </w:hyperlink>
      <w:r>
        <w:t xml:space="preserve">. The revocation subsystem therefore corresponds to </w:t>
      </w:r>
      <w:r>
        <w:rPr>
          <w:b/>
          <w:bCs/>
        </w:rPr>
        <w:t xml:space="preserve">Enforcement State Management and Consent Withdrawal</w:t>
      </w:r>
      <w:r>
        <w:t xml:space="preserve">.</w:t>
      </w:r>
    </w:p>
    <w:p>
      <w:pPr>
        <w:pStyle w:val="Heading1"/>
        <w:spacing w:after="160" w:before="320"/>
      </w:pPr>
      <w:r>
        <w:t xml:space="preserve">7. Blockchain Audit &amp; Consent Lifecycle for Auditor</w:t>
      </w:r>
    </w:p>
    <w:p>
      <w:pPr>
        <w:spacing w:after="160" w:line="300"/>
        <w:jc w:val="both"/>
      </w:pPr>
      <w:r>
        <w:t xml:space="preserve">The fifth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20"/>
        <w:jc w:val="center"/>
      </w:pPr>
      <w:r>
        <w:drawing>
          <wp:inline distT="0" distB="0" distL="0" distR="0">
            <wp:extent cx="5905500" cy="3457575"/>
            <wp:effectExtent t="0" r="0" b="0" l="0"/>
            <wp:docPr id="1" name="M7" descr="The auditor subsystem with the evaluated consent selected: aggregate indicators and the Detailed Audit Records, in which the on-chain events carry their transaction hashes and block number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457575"/>
                    </a:xfrm>
                    <a:prstGeom prst="rect">
                      <a:avLst/>
                    </a:prstGeom>
                  </pic:spPr>
                </pic:pic>
              </a:graphicData>
            </a:graphic>
          </wp:inline>
        </w:drawing>
      </w:r>
    </w:p>
    <w:p>
      <w:pPr>
        <w:spacing w:after="180"/>
        <w:jc w:val="center"/>
      </w:pPr>
      <w:r>
        <w:rPr>
          <w:b/>
          <w:bCs/>
          <w:i/>
          <w:iCs/>
          <w:sz w:val="19"/>
          <w:szCs w:val="19"/>
        </w:rPr>
        <w:t xml:space="preserve">Figure 17. </w:t>
      </w:r>
      <w:r>
        <w:rPr>
          <w:i/>
          <w:iCs/>
          <w:sz w:val="19"/>
          <w:szCs w:val="19"/>
        </w:rPr>
        <w:t xml:space="preserve">The auditor subsystem with the evaluated consent selected: aggregate indicators and the Detailed Audit Records, in which the on-chain events carry their transaction hashes and block numbers.</w:t>
      </w:r>
    </w:p>
    <w:p>
      <w:pPr>
        <w:spacing w:after="160" w:line="300"/>
        <w:jc w:val="both"/>
      </w:pPr>
      <w:r>
        <w:t xml:space="preserve">As shown in the figure above, the system first provides aggregate indicators including:</w:t>
      </w:r>
    </w:p>
    <w:p>
      <w:pPr>
        <w:spacing w:after="160" w:before="60"/>
        <w:jc w:val="center"/>
      </w:pPr>
      <w:r>
        <w:rPr>
          <w:rFonts w:ascii="Cambria Math" w:cs="Cambria Math" w:eastAsia="Cambria Math" w:hAnsi="Cambria Math"/>
          <w:i/>
          <w:iCs/>
          <w:sz w:val="22"/>
          <w:szCs w:val="22"/>
        </w:rPr>
        <w:t xml:space="preserve">Total Events = 60    Consent Events = 8    Access Requests = 9    On-chain Anchors = 5</w:t>
      </w:r>
    </w:p>
    <w:p>
      <w:pPr>
        <w:spacing w:after="160" w:line="300"/>
        <w:jc w:val="both"/>
      </w:pPr>
      <w: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include the granted, refused and reproduced requests of both lifecycles.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system events STATE_CHECK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60" w:line="300"/>
        <w:jc w:val="both"/>
      </w:pPr>
      <w:r>
        <w:t xml:space="preserve">This produces an explicit chain of evidence as</w:t>
      </w:r>
    </w:p>
    <w:p>
      <w:pPr>
        <w:spacing w:after="160" w:before="60"/>
        <w:jc w:val="center"/>
      </w:pPr>
      <w:r>
        <w:rPr>
          <w:rFonts w:ascii="Cambria Math" w:cs="Cambria Math" w:eastAsia="Cambria Math" w:hAnsi="Cambria Math"/>
          <w:i/>
          <w:iCs/>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sz w:val="22"/>
          <w:szCs w:val="22"/>
        </w:rPr>
        <w:t xml:space="preserve">→ Doctor(DENIED) → Patient(revoke) → SmartContract(revoke)</w:t>
      </w:r>
    </w:p>
    <w:p>
      <w:pPr>
        <w:spacing w:after="160" w:line="300"/>
        <w:jc w:val="both"/>
      </w:pPr>
      <w: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60" w:line="300"/>
        <w:jc w:val="both"/>
      </w:pPr>
      <w:r>
        <w:t xml:space="preserve">This corresponds to the proposed requirement for </w:t>
      </w:r>
      <w:r>
        <w:rPr>
          <w:b/>
          <w:bCs/>
        </w:rPr>
        <w:t xml:space="preserve">traceability, accountability and non-repudiable consent evidence</w:t>
      </w:r>
      <w:r>
        <w:t xml:space="preserve">.</w:t>
      </w:r>
    </w:p>
    <w:p>
      <w:pPr>
        <w:pStyle w:val="Heading1"/>
        <w:spacing w:after="160" w:before="320"/>
      </w:pPr>
      <w:r>
        <w:t xml:space="preserve">8. Detailed Audit Records</w:t>
      </w:r>
    </w:p>
    <w:p>
      <w:pPr>
        <w:spacing w:after="160" w:line="300"/>
        <w:jc w:val="both"/>
      </w:pPr>
      <w:r>
        <w:t xml:space="preserve">The Detailed Audit Records component provides a lower-level view of the events represented in the lifecycle subsystem.</w:t>
      </w:r>
    </w:p>
    <w:p>
      <w:pPr>
        <w:spacing w:after="160" w:line="300"/>
        <w:jc w:val="both"/>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3 and 6, so the ledger and the public chain describe the same events.</w:t>
      </w:r>
    </w:p>
    <w:p>
      <w:pPr>
        <w:spacing w:after="160" w:line="300"/>
        <w:jc w:val="both"/>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60" w:line="300"/>
        <w:jc w:val="both"/>
      </w:pPr>
      <w:r>
        <w:t xml:space="preserve">The subsystem therefore implements the distinction between operational access information and forensic/audit information.</w:t>
      </w:r>
    </w:p>
    <w:p>
      <w:pPr>
        <w:pStyle w:val="Heading1"/>
        <w:spacing w:after="160" w:before="320"/>
      </w:pPr>
      <w:r>
        <w:t xml:space="preserve">9. Complete Blockchain Audit Ledger and Independent Verification</w:t>
      </w:r>
    </w:p>
    <w:p>
      <w:pPr>
        <w:spacing w:after="160" w:line="300"/>
        <w:jc w:val="both"/>
      </w:pPr>
      <w: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sz w:val="22"/>
          <w:szCs w:val="22"/>
        </w:rPr>
        <w:t xml:space="preserve">Accountability + Traceability + Integrity + Non-repudiation</w:t>
      </w:r>
    </w:p>
    <w:p>
      <w:pPr>
        <w:spacing w:after="160" w:line="300"/>
        <w:jc w:val="both"/>
      </w:pPr>
      <w: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anchored consent it then reads the token back from the contract and compares the on-chain revocation state with the local state.</w:t>
      </w:r>
    </w:p>
    <w:p>
      <w:pPr>
        <w:keepNext/>
        <w:spacing w:after="60" w:before="120"/>
        <w:jc w:val="center"/>
      </w:pPr>
      <w:r>
        <w:drawing>
          <wp:inline distT="0" distB="0" distL="0" distR="0">
            <wp:extent cx="5334000" cy="2162175"/>
            <wp:effectExtent t="0" r="0" b="0" l="0"/>
            <wp:docPr id="1" name="M8" descr="The final verdict of the independent verification executed against Sepolia: the visible line confirms the unrevoked second token against the chain, and the tool reports RESULT: ALL CHECKS PASS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62175"/>
                    </a:xfrm>
                    <a:prstGeom prst="rect">
                      <a:avLst/>
                    </a:prstGeom>
                  </pic:spPr>
                </pic:pic>
              </a:graphicData>
            </a:graphic>
          </wp:inline>
        </w:drawing>
      </w:r>
    </w:p>
    <w:p>
      <w:pPr>
        <w:spacing w:after="180"/>
        <w:jc w:val="center"/>
      </w:pPr>
      <w:r>
        <w:rPr>
          <w:b/>
          <w:bCs/>
          <w:i/>
          <w:iCs/>
          <w:sz w:val="19"/>
          <w:szCs w:val="19"/>
        </w:rPr>
        <w:t xml:space="preserve">Figure 18. </w:t>
      </w:r>
      <w:r>
        <w:rPr>
          <w:i/>
          <w:iCs/>
          <w:sz w:val="19"/>
          <w:szCs w:val="19"/>
        </w:rPr>
        <w:t xml:space="preserve">The final verdict of the independent verification executed against Sepolia: the visible line confirms the unrevoked second token against the chain, and the tool reports RESULT: ALL CHECKS PASSED.</w:t>
      </w:r>
    </w:p>
    <w:p>
      <w:pPr>
        <w:spacing w:after="160" w:line="300"/>
        <w:jc w:val="both"/>
      </w:pPr>
      <w:r>
        <w:t xml:space="preserve">As shown in the figure above, the verification reports ALL CHECKS PASSED: every recorded transaction was found on Sepolia in its recorded block, and for both tokens the revocation state stored by the application matches the state stored by the contract (token #1 revoked, token #2 not revoked). For example,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1"/>
        <w:spacing w:after="160" w:before="320"/>
      </w:pPr>
      <w:r>
        <w:t xml:space="preserve">10. Correspondence Between Subsystems and the HALAH Framework</w:t>
      </w:r>
    </w:p>
    <w:p>
      <w:pPr>
        <w:spacing w:after="160" w:line="300"/>
        <w:jc w:val="both"/>
      </w:pPr>
      <w: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D9E2E8" w:color="auto" w:val="clear"/>
            <w:tcMar>
              <w:top w:type="dxa" w:w="60"/>
              <w:left w:type="dxa" w:w="100"/>
              <w:bottom w:type="dxa" w:w="60"/>
              <w:right w:type="dxa" w:w="100"/>
            </w:tcMar>
          </w:tcPr>
          <w:p>
            <w:r>
              <w:rPr>
                <w:b/>
                <w:bCs/>
                <w:sz w:val="20"/>
                <w:szCs w:val="20"/>
              </w:rPr>
              <w:t xml:space="preserve">HALAH Framework Component</w:t>
            </w:r>
          </w:p>
        </w:tc>
        <w:tc>
          <w:tcPr>
            <w:tcW w:type="dxa" w:w="2900"/>
            <w:tcBorders>
              <w:top w:val="single" w:color="666666" w:sz="4"/>
              <w:left w:val="single" w:color="666666" w:sz="4"/>
              <w:bottom w:val="single" w:color="666666" w:sz="4"/>
              <w:right w:val="single" w:color="666666" w:sz="4"/>
            </w:tcBorders>
            <w:shd w:fill="D9E2E8" w:color="auto" w:val="clear"/>
            <w:tcMar>
              <w:top w:type="dxa" w:w="60"/>
              <w:left w:type="dxa" w:w="100"/>
              <w:bottom w:type="dxa" w:w="60"/>
              <w:right w:type="dxa" w:w="100"/>
            </w:tcMar>
          </w:tcPr>
          <w:p>
            <w:r>
              <w:rPr>
                <w:b/>
                <w:bCs/>
                <w:sz w:val="20"/>
                <w:szCs w:val="20"/>
              </w:rPr>
              <w:t xml:space="preserve">Implementation Subsystem</w:t>
            </w:r>
          </w:p>
        </w:tc>
        <w:tc>
          <w:tcPr>
            <w:tcW w:type="dxa" w:w="3560"/>
            <w:tcBorders>
              <w:top w:val="single" w:color="666666" w:sz="4"/>
              <w:left w:val="single" w:color="666666" w:sz="4"/>
              <w:bottom w:val="single" w:color="666666" w:sz="4"/>
              <w:right w:val="single" w:color="666666" w:sz="4"/>
            </w:tcBorders>
            <w:shd w:fill="D9E2E8" w:color="auto" w:val="clear"/>
            <w:tcMar>
              <w:top w:type="dxa" w:w="60"/>
              <w:left w:type="dxa" w:w="100"/>
              <w:bottom w:type="dxa" w:w="60"/>
              <w:right w:type="dxa" w:w="100"/>
            </w:tcMar>
          </w:tcPr>
          <w:p>
            <w:r>
              <w:rPr>
                <w:b/>
                <w:bCs/>
                <w:sz w:val="20"/>
                <w:szCs w:val="20"/>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Multi-party Consent</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Consent Activation</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Consent-State Management</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Scope Enforcement</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Healthcare Data Access</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My Consents (Patient)</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Lifecycle Traceability</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Accountability</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Detailed Audit Records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Ledger Integrity</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Confirms the recorded history against Sepolia</w:t>
            </w:r>
          </w:p>
        </w:tc>
      </w:tr>
    </w:tbl>
    <w:p>
      <w:pPr>
        <w:spacing w:after="160"/>
      </w:pPr>
    </w:p>
    <w:p>
      <w:pPr>
        <w:spacing w:after="160" w:line="300"/>
        <w:jc w:val="both"/>
      </w:pPr>
      <w:r>
        <w:t xml:space="preserve">This mapping demonstrates that the implementation is not merely a collection of independent user-subsystem modules. Rather, the modules correspond to successive stages of the proposed authorisation protocol.</w:t>
      </w:r>
    </w:p>
    <w:p>
      <w:pPr>
        <w:pStyle w:val="Heading1"/>
        <w:spacing w:after="160" w:before="320"/>
      </w:pPr>
      <w:r>
        <w:t xml:space="preserve">11. Overall System Demonstration</w:t>
      </w:r>
    </w:p>
    <w:p>
      <w:pPr>
        <w:spacing w:after="160" w:line="300"/>
        <w:jc w:val="both"/>
      </w:pPr>
      <w: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sz w:val="22"/>
          <w:szCs w:val="22"/>
        </w:rPr>
        <w:t xml:space="preserve">C → MS → SBT_chain → StateCheck → AccessDecision → EMR → Revoke_chain → Audit → Verify</w:t>
      </w:r>
    </w:p>
    <w:p>
      <w:pPr>
        <w:spacing w:after="160" w:line="300"/>
        <w:jc w:val="both"/>
      </w:pPr>
      <w: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60" w:line="300"/>
        <w:jc w:val="both"/>
      </w:pPr>
      <w: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60" w:line="300"/>
        <w:jc w:val="both"/>
      </w:pPr>
      <w: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1"/>
        <w:spacing w:after="160" w:before="320"/>
      </w:pPr>
      <w:r>
        <w:t xml:space="preserve">Appendix: Verification Links</w:t>
      </w:r>
    </w:p>
    <w:p>
      <w:pPr>
        <w:spacing w:after="160" w:line="300"/>
        <w:jc w:val="left"/>
      </w:pPr>
      <w:r>
        <w:t xml:space="preserve">Contract: </w:t>
      </w:r>
      <w:hyperlink w:history="1" r:id="rId-uocax0c0cpm4xunjkc7w">
        <w:r>
          <w:rPr>
            <w:rStyle w:val="Hyperlink"/>
          </w:rPr>
          <w:t xml:space="preserve">https://sepolia.etherscan.io/address/0x0EC3617581DEC63A7f2bb162DC14d088916ADc73</w:t>
        </w:r>
      </w:hyperlink>
    </w:p>
    <w:p>
      <w:pPr>
        <w:spacing w:after="160" w:line="300"/>
        <w:jc w:val="left"/>
      </w:pPr>
      <w:r>
        <w:t xml:space="preserve">Consent activation (mint of token #1): </w:t>
      </w:r>
      <w:hyperlink w:history="1" r:id="rIdmhbit4ht2fzcgeil72ty1">
        <w:r>
          <w:rPr>
            <w:rStyle w:val="Hyperlink"/>
          </w:rPr>
          <w:t xml:space="preserve">https://sepolia.etherscan.io/tx/0x8be1b99e9b7054d427bdee0a0b5cc56ae99030a399f4b11d3629ed5d98daf13d</w:t>
        </w:r>
      </w:hyperlink>
    </w:p>
    <w:p>
      <w:pPr>
        <w:spacing w:after="160" w:line="300"/>
        <w:jc w:val="left"/>
      </w:pPr>
      <w:r>
        <w:t xml:space="preserve">Consent revocation (token #1): </w:t>
      </w:r>
      <w:hyperlink w:history="1" r:id="rIdgqscxeps4hzaxc5vm8rvo">
        <w:r>
          <w:rPr>
            <w:rStyle w:val="Hyperlink"/>
          </w:rPr>
          <w:t xml:space="preserve">https://sepolia.etherscan.io/tx/0x017efb9dc6acad9733fa05c19408c0166c9c0645e83b6ffdc41c4b3b85ddceaa</w:t>
        </w:r>
      </w:hyperlink>
    </w:p>
    <w:p>
      <w:pPr>
        <w:spacing w:after="160" w:line="300"/>
        <w:jc w:val="both"/>
      </w:pPr>
      <w:r>
        <w:t xml:space="preserve">Full audit-ledger export: </w:t>
      </w:r>
      <w:r>
        <w:rPr>
          <w:rFonts w:ascii="Consolas" w:cs="Consolas" w:eastAsia="Consolas" w:hAnsi="Consolas"/>
          <w:sz w:val="20"/>
          <w:szCs w:val="20"/>
        </w:rPr>
        <w:t xml:space="preserve">evidence/sepolia_audit_ledger_2026-09-24.csv</w:t>
      </w:r>
      <w:r>
        <w:t xml:space="preserve">; deployment and run record: </w:t>
      </w:r>
      <w:r>
        <w:rPr>
          <w:rFonts w:ascii="Consolas" w:cs="Consolas" w:eastAsia="Consolas" w:hAnsi="Consolas"/>
          <w:sz w:val="20"/>
          <w:szCs w:val="20"/>
        </w:rPr>
        <w:t xml:space="preserve">evidence/sepolia_deploy_v3_2026-09-24.txt</w:t>
      </w:r>
      <w:r>
        <w:t xml:space="preserve"> (repository branch </w:t>
      </w:r>
      <w:r>
        <w:rPr>
          <w:rFonts w:ascii="Consolas" w:cs="Consolas" w:eastAsia="Consolas" w:hAnsi="Consolas"/>
          <w:sz w:val="20"/>
          <w:szCs w:val="20"/>
        </w:rPr>
        <w:t xml:space="preserve">claude/pensive-tesla-u9uk4j</w:t>
      </w:r>
      <w:r>
        <w:t xml:space="preserve">).</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HALAH Implementation (v1.2, Sepolia)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umd2k9oniehtgokxgh1r" Type="http://schemas.openxmlformats.org/officeDocument/2006/relationships/hyperlink" Target="https://sepolia.etherscan.io/address/0x0EC3617581DEC63A7f2bb162DC14d088916ADc73" TargetMode="External"/><Relationship Id="rId45w1kvfjapxsmu-xfl9bc" Type="http://schemas.openxmlformats.org/officeDocument/2006/relationships/hyperlink" Target="https://sepolia.etherscan.io/tx/0x8be1b99e9b7054d427bdee0a0b5cc56ae99030a399f4b11d3629ed5d98daf13d" TargetMode="External"/><Relationship Id="rIdhuu6sl_edugn-imhlgvuo" Type="http://schemas.openxmlformats.org/officeDocument/2006/relationships/hyperlink" Target="https://sepolia.etherscan.io/tx/0x017efb9dc6acad9733fa05c19408c0166c9c0645e83b6ffdc41c4b3b85ddceaa" TargetMode="External"/><Relationship Id="rId-uocax0c0cpm4xunjkc7w" Type="http://schemas.openxmlformats.org/officeDocument/2006/relationships/hyperlink" Target="https://sepolia.etherscan.io/address/0x0EC3617581DEC63A7f2bb162DC14d088916ADc73" TargetMode="External"/><Relationship Id="rIdmhbit4ht2fzcgeil72ty1" Type="http://schemas.openxmlformats.org/officeDocument/2006/relationships/hyperlink" Target="https://sepolia.etherscan.io/tx/0x8be1b99e9b7054d427bdee0a0b5cc56ae99030a399f4b11d3629ed5d98daf13d" TargetMode="External"/><Relationship Id="rIdgqscxeps4hzaxc5vm8rvo" Type="http://schemas.openxmlformats.org/officeDocument/2006/relationships/hyperlink" Target="https://sepolia.etherscan.io/tx/0x017efb9dc6acad9733fa05c19408c0166c9c0645e83b6ffdc41c4b3b85ddceaa" TargetMode="External"/><Relationship Id="rId8" Type="http://schemas.openxmlformats.org/officeDocument/2006/relationships/image" Target="media/29a8d803374a279180f0fb7569fd71a96e4828cc.png"/><Relationship Id="rId9" Type="http://schemas.openxmlformats.org/officeDocument/2006/relationships/image" Target="media/0c260341434b1a3d96e8ec816e8fdf21bc280008.png"/><Relationship Id="rId10" Type="http://schemas.openxmlformats.org/officeDocument/2006/relationships/image" Target="media/e870385087f40ea533efd89b5ce442452aa25997.png"/><Relationship Id="rId11" Type="http://schemas.openxmlformats.org/officeDocument/2006/relationships/image" Target="media/3b43f208c34e619a9b1fcd7a8da9990014f117c8.png"/><Relationship Id="rId12" Type="http://schemas.openxmlformats.org/officeDocument/2006/relationships/image" Target="media/b042baccd1b6ddb409d02825dcbf0a0b42cf8600.png"/><Relationship Id="rId13" Type="http://schemas.openxmlformats.org/officeDocument/2006/relationships/image" Target="media/5aab1f9956758b1489f12e56e316ce914adfc234.png"/><Relationship Id="rId14" Type="http://schemas.openxmlformats.org/officeDocument/2006/relationships/image" Target="media/dca988adf54061cfd18e3b65d04cc93b4c0821a5.png"/><Relationship Id="rId15" Type="http://schemas.openxmlformats.org/officeDocument/2006/relationships/image" Target="media/ced20419b26ad52dabc386ca8fa03e512cf67f8c.png"/><Relationship Id="rId16" Type="http://schemas.openxmlformats.org/officeDocument/2006/relationships/image" Target="media/31dcbc50059ae2791ce05a42c041185014378f3f.png"/><Relationship Id="rId17" Type="http://schemas.openxmlformats.org/officeDocument/2006/relationships/image" Target="media/ce3dcc9a910c6fc9b80e1215a4025c2e03d7ae91.png"/><Relationship Id="rId18" Type="http://schemas.openxmlformats.org/officeDocument/2006/relationships/image" Target="media/8f7d48ee1d3a925ebd1d5709598063d3ff8e3925.png"/><Relationship Id="rId19" Type="http://schemas.openxmlformats.org/officeDocument/2006/relationships/image" Target="media/379af060121c595b8dab938b017503bf01d94543.png"/><Relationship Id="rId20" Type="http://schemas.openxmlformats.org/officeDocument/2006/relationships/image" Target="media/3a13ccfef28f9583bfb8ffa6fad6c0cd87ee4e3f.png"/><Relationship Id="rId21" Type="http://schemas.openxmlformats.org/officeDocument/2006/relationships/image" Target="media/c67c351664df141a74ad4841b37c3e4adf06cdc8.png"/><Relationship Id="rId22" Type="http://schemas.openxmlformats.org/officeDocument/2006/relationships/image" Target="media/0dab734b3591fc6e44f28d70c229863ac765dd6c.png"/><Relationship Id="rId23" Type="http://schemas.openxmlformats.org/officeDocument/2006/relationships/image" Target="media/77a7b903f3de550876bb41810cdf2d1e7c0ac7f2.png"/><Relationship Id="rId24" Type="http://schemas.openxmlformats.org/officeDocument/2006/relationships/image" Target="media/05da8f4effe706cf5aafdd89f16572da00d8acd2.png"/><Relationship Id="rId25" Type="http://schemas.openxmlformats.org/officeDocument/2006/relationships/image" Target="media/805969923a09eb562a592f20a51bb66a38a148c2.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HALAH System and Workflow (Implementation, v1.2 Sepolia)</dc:title>
  <dc:creator>HALAH project team</dc:creator>
  <cp:lastModifiedBy>Un-named</cp:lastModifiedBy>
  <cp:revision>1</cp:revision>
  <dcterms:created xsi:type="dcterms:W3CDTF">2026-09-24T11:33:57.370Z</dcterms:created>
  <dcterms:modified xsi:type="dcterms:W3CDTF">2026-09-24T11:33:57.370Z</dcterms:modified>
</cp:coreProperties>
</file>

<file path=docProps/custom.xml><?xml version="1.0" encoding="utf-8"?>
<Properties xmlns="http://schemas.openxmlformats.org/officeDocument/2006/custom-properties" xmlns:vt="http://schemas.openxmlformats.org/officeDocument/2006/docPropsVTypes"/>
</file>