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color w:val="FF0000"/>
        </w:rP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color w:val="FF0000"/>
        </w:rP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rPr>
          <w:color w:val="FF0000"/>
        </w:rPr>
        <w:t>This section details the process adopted to identify the relevant papers to be reviewed in the SLR. A four-step process was adopted:</w:t>
      </w:r>
    </w:p>
    <w:p>
      <w:pPr/>
      <w:r>
        <w:rPr>
          <w:color w:val="FF0000"/>
        </w:rPr>
        <w:t>Step 1: Searching the literature. This step involves defining the search terms, identifying the data sources and the process of data collection.</w:t>
      </w:r>
    </w:p>
    <w:p>
      <w:pPr/>
      <w:r>
        <w:rPr>
          <w:color w:val="FF0000"/>
        </w:rPr>
        <w:t>Step 2: Inclusion and exclusion criteria. Criteria are defined to guide the selection of the most relevant studies.</w:t>
      </w:r>
    </w:p>
    <w:p>
      <w:pPr/>
      <w:r>
        <w:rPr>
          <w:color w:val="FF0000"/>
        </w:rPr>
        <w:t>Step 3: Quality evaluation. Each of the full-text studies is reviewed against six quality evaluation questions, one for each key requirement.</w:t>
      </w:r>
    </w:p>
    <w:p>
      <w:pPr/>
      <w:r>
        <w:rPr>
          <w:color w:val="FF0000"/>
        </w:rP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rPr>
          <w:color w:val="FF0000"/>
        </w:rP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rPr>
          <w:color w:val="FF0000"/>
        </w:rPr>
        <w:t>Table 2.1 shows the seven databases and the number of records retrieved from each.</w:t>
      </w:r>
    </w:p>
    <w:p>
      <w:pPr>
        <w:keepNext/>
        <w:spacing w:before="160" w:after="160"/>
        <w:jc w:val="center"/>
      </w:pPr>
      <w:r>
        <w:rPr>
          <w:color w:val="FF0000"/>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w:t>
            </w:r>
          </w:p>
        </w:tc>
      </w:tr>
    </w:tbl>
    <w:p>
      <w:pPr/>
      <w:r>
        <w:rPr>
          <w:color w:val="FF0000"/>
        </w:rPr>
      </w:r>
    </w:p>
    <w:p>
      <w:pPr>
        <w:pStyle w:val="3"/>
      </w:pPr>
      <w:r>
        <w:t>2.3.2 Step 2: Inclusion and Exclusion Criteria</w:t>
      </w:r>
    </w:p>
    <w:p>
      <w:pPr/>
      <w:r>
        <w:rPr>
          <w:color w:val="FF0000"/>
        </w:rP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rPr>
          <w:color w:val="FF0000"/>
        </w:rPr>
        <w:t>Inclusion criteria:</w:t>
      </w:r>
    </w:p>
    <w:p>
      <w:pPr/>
      <w:r>
        <w:rPr>
          <w:color w:val="FF0000"/>
        </w:rPr>
        <w:t>1. Healthcare data sharing (IC1).</w:t>
      </w:r>
    </w:p>
    <w:p>
      <w:pPr/>
      <w:r>
        <w:rPr>
          <w:color w:val="FF0000"/>
        </w:rPr>
        <w:t>2. Consent or authorisation relevant to data access (IC2).</w:t>
      </w:r>
    </w:p>
    <w:p>
      <w:pPr/>
      <w:r>
        <w:rPr>
          <w:color w:val="FF0000"/>
        </w:rPr>
        <w:t>3. A model, mechanism, system or evaluation that addresses a review question (IC3).</w:t>
      </w:r>
    </w:p>
    <w:p>
      <w:pPr/>
      <w:r>
        <w:rPr>
          <w:color w:val="FF0000"/>
        </w:rPr>
        <w:t>4. Peer-reviewed English paper with full text (IC4 to IC7).</w:t>
      </w:r>
    </w:p>
    <w:p>
      <w:pPr/>
      <w:r>
        <w:rPr>
          <w:color w:val="FF0000"/>
        </w:rPr>
        <w:t>5. Publication between 2020 and 2026.</w:t>
      </w:r>
    </w:p>
    <w:p>
      <w:pPr/>
      <w:r>
        <w:rPr>
          <w:color w:val="FF0000"/>
        </w:rPr>
        <w:t>Exclusion criteria:</w:t>
      </w:r>
    </w:p>
    <w:p>
      <w:pPr/>
      <w:r>
        <w:rPr>
          <w:color w:val="FF0000"/>
        </w:rPr>
        <w:t>1. Outside healthcare or the authorisation scope.</w:t>
      </w:r>
    </w:p>
    <w:p>
      <w:pPr/>
      <w:r>
        <w:rPr>
          <w:color w:val="FF0000"/>
        </w:rPr>
        <w:t>2. Authentication alone or a superficial mention of consent.</w:t>
      </w:r>
    </w:p>
    <w:p>
      <w:pPr/>
      <w:r>
        <w:rPr>
          <w:color w:val="FF0000"/>
        </w:rPr>
        <w:t>3. Non-peer-reviewed work and duplicate publications.</w:t>
      </w:r>
    </w:p>
    <w:p>
      <w:pPr/>
      <w:r>
        <w:rPr>
          <w:color w:val="FF0000"/>
        </w:rPr>
        <w:t>The stages of evaluating and selecting the relevant papers for the SLR are summarised in Table 2.2.</w:t>
      </w:r>
    </w:p>
    <w:p>
      <w:pPr>
        <w:keepNext/>
        <w:spacing w:before="160" w:after="160"/>
        <w:jc w:val="center"/>
      </w:pPr>
      <w:r>
        <w:rPr>
          <w:color w:val="FF0000"/>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 excluded, 25 included</w:t>
            </w:r>
          </w:p>
        </w:tc>
      </w:tr>
    </w:tbl>
    <w:p>
      <w:pPr/>
      <w:r>
        <w:rPr>
          <w:color w:val="FF0000"/>
        </w:r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rPr>
          <w:color w:val="FF0000"/>
        </w:rPr>
        <w:t>The 39 full-text studies were retrieved and critically evaluated based on the six quality evaluation questions, one for each key requirement of Section 2.2, as follows:</w:t>
      </w:r>
    </w:p>
    <w:p>
      <w:pPr>
        <w:spacing w:after="40"/>
      </w:pPr>
      <w:r>
        <w:rPr>
          <w:color w:val="FF0000"/>
        </w:rPr>
        <w:t>QA1: Does the study define a consent model covering identity, authority, policy, and evidence?</w:t>
      </w:r>
    </w:p>
    <w:p>
      <w:pPr>
        <w:spacing w:after="40"/>
      </w:pPr>
      <w:r>
        <w:rPr>
          <w:color w:val="FF0000"/>
        </w:rPr>
        <w:t>QA2: Does the study verify participant identities and their authorisation authority?</w:t>
      </w:r>
    </w:p>
    <w:p>
      <w:pPr>
        <w:spacing w:after="40"/>
      </w:pPr>
      <w:r>
        <w:rPr>
          <w:color w:val="FF0000"/>
        </w:rPr>
        <w:t>QA3: Does the study support consent decisions requiring approval from multiple authorised participants?</w:t>
      </w:r>
    </w:p>
    <w:p>
      <w:pPr>
        <w:spacing w:after="40"/>
      </w:pPr>
      <w:r>
        <w:rPr>
          <w:color w:val="FF0000"/>
        </w:rPr>
        <w:t>QA4: Does the study enforce purpose, data scope, and approval rules before allowing access?</w:t>
      </w:r>
    </w:p>
    <w:p>
      <w:pPr>
        <w:spacing w:after="40"/>
      </w:pPr>
      <w:r>
        <w:rPr>
          <w:color w:val="FF0000"/>
        </w:rPr>
        <w:t>QA5: Does the study manage consent validity, expiry, and revocation?</w:t>
      </w:r>
    </w:p>
    <w:p>
      <w:pPr>
        <w:spacing w:after="40"/>
      </w:pPr>
      <w:r>
        <w:rPr>
          <w:color w:val="FF0000"/>
        </w:rPr>
        <w:t>QA6: Does the study validate security and access decisions through formal analysis or implementation testing?</w:t>
      </w:r>
    </w:p>
    <w:p>
      <w:pPr/>
      <w:r>
        <w:rPr>
          <w:color w:val="FF0000"/>
        </w:rPr>
        <w:t>Quality inclusion uses QA1 to QA4. Each question was answered Yes or No, and any study which has at least three Yes answers to QA1 to QA4 is included in this SLR. QA5 and QA6 were answered for every included study but were not used for inclusion.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t>2.3.4 Step 4: Shortlisted Papers for SLR and Categorising Them into Broad Areas</w:t>
      </w:r>
    </w:p>
    <w:p>
      <w:pPr/>
      <w:r>
        <w:rPr>
          <w:color w:val="FF0000"/>
        </w:rP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color w:val="FF0000"/>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FF0000"/>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FF0000"/>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rPr>
          <w:color w:val="FF0000"/>
        </w:rPr>
        <w:t>Table 2.5 summarises the description, the issues and limitations, and the requirement grades of the studies in this stream.</w:t>
      </w:r>
    </w:p>
    <w:p>
      <w:pPr>
        <w:keepNext/>
        <w:spacing w:before="160" w:after="160"/>
        <w:jc w:val="center"/>
      </w:pPr>
      <w:r>
        <w:rPr>
          <w:color w:val="FF0000"/>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2.4.2 Decentralised identity and authority trust (Req 2)</w:t>
      </w:r>
    </w:p>
    <w:p w14:paraId="5A8E98C4" w14:textId="77777777" w:rsidR="009262C4" w:rsidRDefault="00000000">
      <w:pPr>
        <w:spacing w:after="110" w:line="264" w:lineRule="auto"/>
        <w:jc w:val="both"/>
      </w:pPr>
      <w:r/>
      <w:r>
        <w:rPr>
          <w:color w:val="FF0000"/>
        </w:rP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rPr>
          <w:color w:val="FF0000"/>
        </w:rPr>
        <w:t>Table 2.5 summarises the description, the issues and limitations, and the requirement grades of the studies in this stream.</w:t>
      </w:r>
    </w:p>
    <w:p>
      <w:pPr>
        <w:keepNext/>
        <w:spacing w:before="160" w:after="160"/>
        <w:jc w:val="center"/>
      </w:pPr>
      <w:r>
        <w:rPr>
          <w:color w:val="FF0000"/>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2.4.3 Multi-party authorisation and collaborative consent (Req 3)</w:t>
      </w:r>
    </w:p>
    <w:p w14:paraId="2B876E6C" w14:textId="77777777" w:rsidR="009262C4" w:rsidRDefault="00000000">
      <w:pPr>
        <w:spacing w:after="110" w:line="264" w:lineRule="auto"/>
        <w:jc w:val="both"/>
      </w:pPr>
      <w:r/>
      <w:r>
        <w:rPr>
          <w:color w:val="FF0000"/>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rPr>
          <w:color w:val="FF0000"/>
        </w:rPr>
        <w:t>Table 2.6 summarises the description, the issues and limitations, and the requirement grades of the studies in this stream.</w:t>
      </w:r>
    </w:p>
    <w:p>
      <w:pPr>
        <w:keepNext/>
        <w:spacing w:before="160" w:after="160"/>
        <w:jc w:val="center"/>
      </w:pPr>
      <w:r>
        <w:rPr>
          <w:color w:val="FF0000"/>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color w:val="FF0000"/>
        </w:rPr>
        <w:t>Req 4 is graded Yes in 10 studies and No in 15 in Table 2.10.</w:t>
      </w:r>
      <w:r>
        <w:t xml:space="preserve"> However, purpose-of-use enters the decision in only six studies (Eneh et al. 2026; Panagoulias et al. 2026), </w:t>
      </w:r>
      <w:r>
        <w:rPr>
          <w:color w:val="FF0000"/>
        </w:rPr>
        <w:t>and every one is graded No on Req 3</w:t>
      </w:r>
      <w:r>
        <w:t>. Consequently, purpose and data-scope constraints are not carried by the consent object C and evaluated together with the identity, authority, and multi-party conditions.</w:t>
      </w:r>
    </w:p>
    <w:p>
      <w:pPr/>
      <w:r>
        <w:rPr>
          <w:color w:val="FF0000"/>
        </w:rPr>
        <w:t>Table 2.7 summarises the description, the issues and limitations, and the requirement grades of the studies in this stream.</w:t>
      </w:r>
    </w:p>
    <w:p>
      <w:pPr>
        <w:keepNext/>
        <w:spacing w:before="160" w:after="160"/>
        <w:jc w:val="center"/>
      </w:pPr>
      <w:r>
        <w:rPr>
          <w:color w:val="FF0000"/>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color w:val="FF0000"/>
        </w:rP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rPr>
          <w:color w:val="FF0000"/>
        </w:rPr>
        <w:t>Table 2.8 summarises the description, the issues and limitations, and the requirement grades of the studies in this stream.</w:t>
      </w:r>
    </w:p>
    <w:p>
      <w:pPr>
        <w:keepNext/>
        <w:spacing w:before="160" w:after="160"/>
        <w:jc w:val="center"/>
      </w:pPr>
      <w:r>
        <w:rPr>
          <w:color w:val="FF0000"/>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color w:val="FF0000"/>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rPr>
          <w:color w:val="FF0000"/>
        </w:rPr>
        <w:t>Table 2.9 summarises the description, the issues and limitations, and the requirement grades of the studies in this stream.</w:t>
      </w:r>
    </w:p>
    <w:p>
      <w:pPr>
        <w:keepNext/>
        <w:spacing w:before="160" w:after="160"/>
        <w:jc w:val="center"/>
      </w:pPr>
      <w:r>
        <w:rPr>
          <w:color w:val="FF0000"/>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bl>
    <w:p>
      <w:pPr/>
      <w:r>
        <w:rPr>
          <w:color w:val="FF0000"/>
        </w:r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color w:val="FF0000"/>
        </w:rP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color w:val="FF0000"/>
        </w:rP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color w:val="FF0000"/>
        </w:rP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rPr>
          <w:color w:val="FF0000"/>
        </w:rPr>
        <w:t>Table 2.10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color w:val="FF0000"/>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color w:val="FF0000"/>
        </w:rP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color w:val="FF0000"/>
        </w:rP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rPr>
          <w:color w:val="FF0000"/>
        </w:rP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color w:val="FF0000"/>
        </w:rPr>
        <w:t>stated in Chapter 3</w:t>
      </w:r>
      <w:r>
        <w:t xml:space="preserve">, and each gap corresponds to the research question and objective of the same number </w:t>
      </w:r>
      <w:r>
        <w:rPr>
          <w:color w:val="FF0000"/>
        </w:rP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color w:val="FF0000"/>
          <w:sz w:val="20"/>
          <w:szCs w:val="18"/>
        </w:rPr>
        <w:t>in Table 2.10.</w:t>
      </w:r>
    </w:p>
    <w:p>
      <w:pPr/>
      <w:r>
        <w:rPr>
          <w:color w:val="FF0000"/>
        </w:rP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rPr>
          <w:color w:val="FF0000"/>
        </w:rPr>
        <w:t>•</w:t>
        <w:tab/>
      </w:r>
      <w:r>
        <w:rPr>
          <w:i/>
          <w:color w:val="FF0000"/>
          <w:u w:val="single"/>
        </w:rPr>
        <w:t>Inability to represent consent as an evaluable authorisation object (Req 1):</w:t>
      </w:r>
      <w:r>
        <w:rPr>
          <w:color w:val="FF0000"/>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rPr>
          <w:color w:val="FF0000"/>
        </w:rPr>
        <w:t>•</w:t>
        <w:tab/>
      </w:r>
      <w:r>
        <w:rPr>
          <w:i/>
          <w:color w:val="FF0000"/>
          <w:u w:val="single"/>
        </w:rPr>
        <w:t>Inability to verify authority separately from identity (Req 2):</w:t>
      </w:r>
      <w:r>
        <w:rPr>
          <w:color w:val="FF0000"/>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rPr>
          <w:color w:val="FF0000"/>
        </w:rPr>
        <w:t>•</w:t>
        <w:tab/>
      </w:r>
      <w:r>
        <w:rPr>
          <w:i/>
          <w:color w:val="FF0000"/>
          <w:u w:val="single"/>
        </w:rPr>
        <w:t>Absence of multi-party approval as a standing condition of every access decision (Req 3):</w:t>
      </w:r>
      <w:r>
        <w:rPr>
          <w:color w:val="FF0000"/>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rPr>
          <w:color w:val="FF0000"/>
        </w:rPr>
        <w:t>•</w:t>
        <w:tab/>
      </w:r>
      <w:r>
        <w:rPr>
          <w:i/>
          <w:color w:val="FF0000"/>
          <w:u w:val="single"/>
        </w:rPr>
        <w:t>Inability to bind purpose and data scope to the same decision as identity, authority and approval (Req 4):</w:t>
      </w:r>
      <w:r>
        <w:rPr>
          <w:color w:val="FF0000"/>
        </w:rP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rPr>
          <w:color w:val="FF0000"/>
        </w:rPr>
        <w:t>•</w:t>
        <w:tab/>
      </w:r>
      <w:r>
        <w:rPr>
          <w:i/>
          <w:color w:val="FF0000"/>
          <w:u w:val="single"/>
        </w:rPr>
        <w:t>Absence of temporal and lifecycle evaluation at the time of each access request (Req 5):</w:t>
      </w:r>
      <w:r>
        <w:rPr>
          <w:color w:val="FF0000"/>
        </w:rP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rPr>
          <w:color w:val="FF0000"/>
        </w:rPr>
        <w:t>•</w:t>
        <w:tab/>
      </w:r>
      <w:r>
        <w:rPr>
          <w:i/>
          <w:color w:val="FF0000"/>
          <w:u w:val="single"/>
        </w:rPr>
        <w:t>Absence of formal and empirical assurance of the complete decision (Req 6):</w:t>
      </w:r>
      <w:r>
        <w:rPr>
          <w:color w:val="FF0000"/>
        </w:rP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rPr>
          <w:color w:val="FF0000"/>
        </w:rP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rPr>
          <w:color w:val="FF0000"/>
        </w:rP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rPr>
          <w:color w:val="FF0000"/>
        </w:rP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rPr>
          <w:color w:val="FF0000"/>
        </w:rP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rPr>
          <w:color w:val="FF0000"/>
        </w:rP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rPr>
          <w:color w:val="FF0000"/>
        </w:rP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rPr>
          <w:color w:val="FF0000"/>
        </w:rP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rPr>
          <w:color w:val="FF0000"/>
        </w:rPr>
        <w:t>This requirement is delivered by RO6, presented in Chapter 10.</w:t>
      </w:r>
    </w:p>
    <w:p>
      <w:pPr>
        <w:pStyle w:val="2"/>
      </w:pPr>
      <w:r>
        <w:rPr>
          <w:color w:val="FF0000"/>
        </w:rPr>
        <w:t>2.6 Conclusion</w:t>
      </w:r>
    </w:p>
    <w:p>
      <w:pPr/>
      <w:r>
        <w:rPr>
          <w:color w:val="FF0000"/>
        </w:rP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rPr>
          <w:color w:val="FF0000"/>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2026-10-22T09:02:02Z</dcterms:created>
  <dcterms:modified xsi:type="dcterms:W3CDTF">2026-10-22T09:02:02Z</dcterms:modified>
</cp:coreProperties>
</file>