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in which a recorded entry cannot be altered retroactively without altering the blocks that follow it (Wood 2014). In HALAH the chain holds no medical content; it anchors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The contract was deployed and its transactions sent through the MetaMask wallet (Consensys 2026), and every transaction is publicly visible on Etherscan.</w:t>
      </w:r>
    </w:p>
    <w:p>
      <w:pPr>
        <w:pStyle w:val="a4"/>
        <w:tabs>
          <w:tab w:pos="624" w:val="left"/>
        </w:tabs>
        <w:ind w:left="624" w:hanging="397"/>
      </w:pPr>
      <w:r>
        <w:t>2.</w:t>
        <w:tab/>
      </w:r>
      <w:r>
        <w:rPr>
          <w:b/>
        </w:rPr>
        <w:t xml:space="preserve">Solidity: </w:t>
      </w:r>
      <w: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t>4.</w:t>
        <w:tab/>
      </w:r>
      <w:r>
        <w:rPr>
          <w:b/>
        </w:rPr>
        <w:t xml:space="preserve">Decentralised identifiers and verifiable credentials: </w:t>
      </w:r>
      <w:r>
        <w:t>Every participant is named by a decentralised identifier (W3C 2022) and holds a role credential (W3C 2025) signed by a trusted issuer, so the identity of a participant and the authority of that participant are verified as two separate conditions, as Chapter 6 presents.</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w:t>
      </w:r>
      <w:r>
        <w:t>since a Validity Proof Service checks the consent once more before any data are released, as Chapter 8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pPr>
        <w:jc w:val="center"/>
      </w:pPr>
      <w:r>
        <w:drawing>
          <wp:inline xmlns:a="http://schemas.openxmlformats.org/drawingml/2006/main" xmlns:pic="http://schemas.openxmlformats.org/drawingml/2006/picture">
            <wp:extent cx="5400000" cy="3436780"/>
            <wp:docPr id="2086885383" name="Picture 2086885383"/>
            <wp:cNvGraphicFramePr>
              <a:graphicFrameLocks noChangeAspect="1"/>
            </wp:cNvGraphicFramePr>
            <a:graphic>
              <a:graphicData uri="http://schemas.openxmlformats.org/drawingml/2006/picture">
                <pic:pic>
                  <pic:nvPicPr>
                    <pic:cNvPr id="0" name="ch5_gates.png"/>
                    <pic:cNvPicPr/>
                  </pic:nvPicPr>
                  <pic:blipFill>
                    <a:blip r:embed="rId37"/>
                    <a:stretch>
                      <a:fillRect/>
                    </a:stretch>
                  </pic:blipFill>
                  <pic:spPr>
                    <a:xfrm>
                      <a:off x="0" y="0"/>
                      <a:ext cx="5400000" cy="3436780"/>
                    </a:xfrm>
                    <a:prstGeom prst="rect"/>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Central identity provider;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DID for every participant;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All listed guardians sign (EIP-712);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evaluated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4" name="Picture 2086885384"/>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5" name="Picture 2086885385"/>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Identifiers without a valid credential rejected before anything is stored; valid identifiers holding valid credentials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3 and 7: the guardian set G, and the threshold N derived from it as |G|; no guardian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Duplicate guardian rejected; consent created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4 and 5: the purpose and the data scope; the data scope must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Empty scope rejected; purpose and scope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6: the validity interval T = (ts, te); the expiry time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Scenario 1 recorded a validity window ending on 31 December 2026; the prototype refuses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Validity interval recorded; the interval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to 10: the consent identifier is generated, the object is constructed and persisted, and its state becomes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2026-10-23T08:55:09Z</dcterms:created>
  <dcterms:modified xsi:type="dcterms:W3CDTF">2026-10-23T08:55:09Z</dcterms:modified>
</cp:coreProperties>
</file>