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line="480" w:lineRule="auto"/>
        <w:jc w:val="center"/>
      </w:pPr>
      <w:r>
        <w:rPr>
          <w:b/>
          <w:bCs/>
          <w:sz w:val="40"/>
          <w:szCs w:val="40"/>
        </w:rPr>
        <w:t xml:space="preserve">A Trusted Authorisation Framework for Multi-Party Patient Consent in Healthcare Data Sharing</w:t>
      </w:r>
    </w:p>
    <w:p>
      <w:pPr>
        <w:spacing w:after="80" w:before="400"/>
        <w:jc w:val="center"/>
      </w:pPr>
      <w:r>
        <w:rPr>
          <w:b/>
          <w:bCs/>
          <w:sz w:val="28"/>
          <w:szCs w:val="28"/>
        </w:rPr>
        <w:t xml:space="preserve">CA2 Progress Report</w:t>
      </w:r>
    </w:p>
    <w:p>
      <w:pPr>
        <w:spacing w:after="60"/>
        <w:jc w:val="center"/>
      </w:pPr>
      <w:r>
        <w:rPr>
          <w:b/>
          <w:bCs/>
          <w:i/>
          <w:iCs/>
          <w:sz w:val="24"/>
          <w:szCs w:val="24"/>
        </w:rPr>
        <w:t xml:space="preserve">Principl Supervisor: Professor Farookh Hussain</w:t>
      </w:r>
    </w:p>
    <w:p>
      <w:pPr>
        <w:spacing w:after="60"/>
        <w:jc w:val="center"/>
      </w:pPr>
      <w:r>
        <w:rPr>
          <w:b/>
          <w:bCs/>
          <w:i/>
          <w:iCs/>
          <w:sz w:val="24"/>
          <w:szCs w:val="24"/>
        </w:rPr>
        <w:t xml:space="preserve">Co-Supervisor: Dr. Firas Al-Doghman</w:t>
      </w:r>
    </w:p>
    <w:p>
      <w:pPr>
        <w:spacing w:after="60"/>
        <w:jc w:val="center"/>
      </w:pPr>
      <w:r>
        <w:rPr>
          <w:b/>
          <w:bCs/>
          <w:i/>
          <w:iCs/>
          <w:sz w:val="24"/>
          <w:szCs w:val="24"/>
        </w:rPr>
        <w:t xml:space="preserve">Presenter: Yasir Dhaifallah O Alyoubi</w:t>
      </w:r>
    </w:p>
    <w:p>
      <w:pPr>
        <w:spacing w:after="60"/>
        <w:jc w:val="center"/>
      </w:pPr>
      <w:r>
        <w:rPr>
          <w:b/>
          <w:bCs/>
          <w:i/>
          <w:iCs/>
          <w:sz w:val="24"/>
          <w:szCs w:val="24"/>
        </w:rPr>
        <w:t xml:space="preserve">STUDENT ID #:24724078</w:t>
      </w:r>
    </w:p>
    <w:p>
      <w:r>
        <w:br w:type="page"/>
      </w:r>
    </w:p>
    <w:p>
      <w:pPr>
        <w:spacing w:after="200"/>
      </w:pPr>
      <w:r>
        <w:rPr>
          <w:b/>
          <w:bCs/>
          <w:sz w:val="30"/>
          <w:szCs w:val="30"/>
        </w:rPr>
        <w:t xml:space="preserve">Contents</w:t>
      </w:r>
    </w:p>
    <w:p>
      <w:pPr>
        <w:tabs>
          <w:tab w:val="right" w:pos="9360" w:leader="dot"/>
        </w:tabs>
        <w:spacing w:after="120"/>
      </w:pPr>
      <w:r>
        <w:rPr>
          <w:sz w:val="24"/>
          <w:szCs w:val="24"/>
        </w:rPr>
        <w:t xml:space="preserve">1. Introduction</w:t>
      </w:r>
      <w:r>
        <w:rPr>
          <w:sz w:val="24"/>
          <w:szCs w:val="24"/>
        </w:rPr>
        <w:t xml:space="preserve">	3</w:t>
      </w:r>
    </w:p>
    <w:p>
      <w:pPr>
        <w:tabs>
          <w:tab w:val="right" w:pos="9360" w:leader="dot"/>
        </w:tabs>
        <w:spacing w:after="120"/>
      </w:pPr>
      <w:r>
        <w:rPr>
          <w:sz w:val="24"/>
          <w:szCs w:val="24"/>
        </w:rPr>
        <w:t xml:space="preserve">2. Systematic Literature Review</w:t>
      </w:r>
      <w:r>
        <w:rPr>
          <w:sz w:val="24"/>
          <w:szCs w:val="24"/>
        </w:rPr>
        <w:t xml:space="preserve">	4</w:t>
      </w:r>
    </w:p>
    <w:p>
      <w:pPr>
        <w:tabs>
          <w:tab w:val="right" w:pos="9360" w:leader="dot"/>
        </w:tabs>
        <w:spacing w:after="120"/>
      </w:pPr>
      <w:r>
        <w:rPr>
          <w:sz w:val="24"/>
          <w:szCs w:val="24"/>
        </w:rPr>
        <w:t xml:space="preserve">3. Research Gaps &amp; Questions</w:t>
      </w:r>
      <w:r>
        <w:rPr>
          <w:sz w:val="24"/>
          <w:szCs w:val="24"/>
        </w:rPr>
        <w:t xml:space="preserve">	5</w:t>
      </w:r>
    </w:p>
    <w:p>
      <w:pPr>
        <w:tabs>
          <w:tab w:val="right" w:pos="9360" w:leader="dot"/>
        </w:tabs>
        <w:spacing w:after="120"/>
      </w:pPr>
      <w:r>
        <w:rPr>
          <w:sz w:val="24"/>
          <w:szCs w:val="24"/>
        </w:rPr>
        <w:t xml:space="preserve">4. Research Objectives</w:t>
      </w:r>
      <w:r>
        <w:rPr>
          <w:sz w:val="24"/>
          <w:szCs w:val="24"/>
        </w:rPr>
        <w:t xml:space="preserve">	6</w:t>
      </w:r>
    </w:p>
    <w:p>
      <w:pPr>
        <w:tabs>
          <w:tab w:val="right" w:pos="9360" w:leader="dot"/>
        </w:tabs>
        <w:spacing w:after="120"/>
      </w:pPr>
      <w:r>
        <w:rPr>
          <w:sz w:val="24"/>
          <w:szCs w:val="24"/>
        </w:rPr>
        <w:t xml:space="preserve">5. Research Architecture: MVC</w:t>
      </w:r>
      <w:r>
        <w:rPr>
          <w:sz w:val="24"/>
          <w:szCs w:val="24"/>
        </w:rPr>
        <w:t xml:space="preserve">	6</w:t>
      </w:r>
    </w:p>
    <w:p>
      <w:pPr>
        <w:tabs>
          <w:tab w:val="right" w:pos="9360" w:leader="dot"/>
        </w:tabs>
        <w:spacing w:after="120"/>
      </w:pPr>
      <w:r>
        <w:rPr>
          <w:sz w:val="24"/>
          <w:szCs w:val="24"/>
        </w:rPr>
        <w:t xml:space="preserve">6. The Proposed Solution for RQ1</w:t>
      </w:r>
      <w:r>
        <w:rPr>
          <w:sz w:val="24"/>
          <w:szCs w:val="24"/>
        </w:rPr>
        <w:t xml:space="preserve">	8</w:t>
      </w:r>
    </w:p>
    <w:p>
      <w:pPr>
        <w:tabs>
          <w:tab w:val="right" w:pos="9360" w:leader="dot"/>
        </w:tabs>
        <w:spacing w:after="120"/>
      </w:pPr>
      <w:r>
        <w:rPr>
          <w:sz w:val="24"/>
          <w:szCs w:val="24"/>
        </w:rPr>
        <w:t xml:space="preserve">7. The Proposed Solution for RQ2</w:t>
      </w:r>
      <w:r>
        <w:rPr>
          <w:sz w:val="24"/>
          <w:szCs w:val="24"/>
        </w:rPr>
        <w:t xml:space="preserve">	10</w:t>
      </w:r>
    </w:p>
    <w:p>
      <w:pPr>
        <w:tabs>
          <w:tab w:val="right" w:pos="9360" w:leader="dot"/>
        </w:tabs>
        <w:spacing w:after="120"/>
      </w:pPr>
      <w:r>
        <w:rPr>
          <w:sz w:val="24"/>
          <w:szCs w:val="24"/>
        </w:rPr>
        <w:t xml:space="preserve">8. The Proposed Solution for RQ3</w:t>
      </w:r>
      <w:r>
        <w:rPr>
          <w:sz w:val="24"/>
          <w:szCs w:val="24"/>
        </w:rPr>
        <w:t xml:space="preserve">	12</w:t>
      </w:r>
    </w:p>
    <w:p>
      <w:pPr>
        <w:tabs>
          <w:tab w:val="right" w:pos="9360" w:leader="dot"/>
        </w:tabs>
        <w:spacing w:after="120"/>
      </w:pPr>
      <w:r>
        <w:rPr>
          <w:sz w:val="24"/>
          <w:szCs w:val="24"/>
        </w:rPr>
        <w:t xml:space="preserve">9. The Proposed Solution for RQ4</w:t>
      </w:r>
      <w:r>
        <w:rPr>
          <w:sz w:val="24"/>
          <w:szCs w:val="24"/>
        </w:rPr>
        <w:t xml:space="preserve">	16</w:t>
      </w:r>
    </w:p>
    <w:p>
      <w:pPr>
        <w:tabs>
          <w:tab w:val="right" w:pos="9360" w:leader="dot"/>
        </w:tabs>
        <w:spacing w:after="120"/>
      </w:pPr>
      <w:r>
        <w:rPr>
          <w:sz w:val="24"/>
          <w:szCs w:val="24"/>
        </w:rPr>
        <w:t xml:space="preserve">10. The Proposed Solution for RQ5</w:t>
      </w:r>
      <w:r>
        <w:rPr>
          <w:sz w:val="24"/>
          <w:szCs w:val="24"/>
        </w:rPr>
        <w:t xml:space="preserve">	16</w:t>
      </w:r>
    </w:p>
    <w:p>
      <w:pPr>
        <w:tabs>
          <w:tab w:val="right" w:pos="9360" w:leader="dot"/>
        </w:tabs>
        <w:spacing w:after="120"/>
      </w:pPr>
      <w:r>
        <w:rPr>
          <w:sz w:val="24"/>
          <w:szCs w:val="24"/>
        </w:rPr>
        <w:t xml:space="preserve">11. The Proposed Solution for RQ6</w:t>
      </w:r>
      <w:r>
        <w:rPr>
          <w:sz w:val="24"/>
          <w:szCs w:val="24"/>
        </w:rPr>
        <w:t xml:space="preserve">	17</w:t>
      </w:r>
    </w:p>
    <w:p>
      <w:pPr>
        <w:tabs>
          <w:tab w:val="right" w:pos="9360" w:leader="dot"/>
        </w:tabs>
        <w:spacing w:after="120"/>
      </w:pPr>
      <w:r>
        <w:rPr>
          <w:sz w:val="24"/>
          <w:szCs w:val="24"/>
        </w:rPr>
        <w:t xml:space="preserve">12. Publications Summary</w:t>
      </w:r>
      <w:r>
        <w:rPr>
          <w:sz w:val="24"/>
          <w:szCs w:val="24"/>
        </w:rPr>
        <w:t xml:space="preserve">	20</w:t>
      </w:r>
    </w:p>
    <w:p>
      <w:pPr>
        <w:tabs>
          <w:tab w:val="right" w:pos="9360" w:leader="dot"/>
        </w:tabs>
        <w:spacing w:after="120"/>
      </w:pPr>
      <w:r>
        <w:rPr>
          <w:sz w:val="24"/>
          <w:szCs w:val="24"/>
        </w:rPr>
        <w:t xml:space="preserve">13. Research Plan</w:t>
      </w:r>
      <w:r>
        <w:rPr>
          <w:sz w:val="24"/>
          <w:szCs w:val="24"/>
        </w:rPr>
        <w:t xml:space="preserve">	20</w:t>
      </w:r>
    </w:p>
    <w:p>
      <w:r>
        <w:br w:type="page"/>
      </w:r>
    </w:p>
    <w:p>
      <w:pPr>
        <w:pStyle w:val="Heading1"/>
        <w:spacing w:after="180" w:before="340"/>
      </w:pPr>
      <w:r>
        <w:t xml:space="preserve">1. Introduction</w:t>
      </w:r>
    </w:p>
    <w:p>
      <w:pPr>
        <w:pStyle w:val="Heading2"/>
        <w:spacing w:after="120" w:before="240"/>
      </w:pPr>
      <w:r>
        <w:t xml:space="preserve">1.1 Research Context</w:t>
      </w:r>
    </w:p>
    <w:p>
      <w:pPr>
        <w:spacing w:after="160" w:line="300"/>
        <w:jc w:val="bot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60" w:line="300"/>
        <w:jc w:val="both"/>
      </w:pPr>
      <w: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[31, 14, 32].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pStyle w:val="Heading2"/>
        <w:spacing w:after="120" w:before="240"/>
      </w:pPr>
      <w:r>
        <w:t xml:space="preserve">1.2 Problem Statement</w:t>
      </w:r>
    </w:p>
    <w:p>
      <w:pPr>
        <w:spacing w:after="160" w:line="300"/>
        <w:jc w:val="bot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60" w:line="300"/>
        <w:jc w:val="both"/>
      </w:pPr>
      <w: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Heading2"/>
        <w:spacing w:after="120" w:before="240"/>
      </w:pPr>
      <w:r>
        <w:t xml:space="preserve">1.3 Research Motivation</w:t>
      </w:r>
    </w:p>
    <w:p>
      <w:pPr>
        <w:spacing w:after="160" w:line="300"/>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60" w:line="300"/>
        <w:jc w:val="both"/>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Heading1"/>
        <w:spacing w:after="180" w:before="340"/>
      </w:pPr>
      <w:r>
        <w:t xml:space="preserve">2. Systematic Literature Review</w:t>
      </w:r>
    </w:p>
    <w:p>
      <w:pPr>
        <w:pStyle w:val="Heading2"/>
        <w:spacing w:after="120" w:before="240"/>
      </w:pPr>
      <w:r>
        <w:t xml:space="preserve">2.1 Overview and Methodology</w:t>
      </w:r>
    </w:p>
    <w:p>
      <w:pPr>
        <w:spacing w:after="160" w:line="300"/>
        <w:jc w:val="bot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60" w:line="300"/>
        <w:jc w:val="both"/>
      </w:pPr>
      <w: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decentralised consent management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pStyle w:val="Heading2"/>
        <w:spacing w:after="120" w:before="240"/>
      </w:pPr>
      <w:r>
        <w:t xml:space="preserve">2.2 Synthesis of Findings</w:t>
      </w:r>
    </w:p>
    <w:p>
      <w:pPr>
        <w:spacing w:after="160" w:line="300"/>
        <w:jc w:val="bot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spacing w:after="160" w:line="300"/>
        <w:jc w:val="both"/>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Heading2"/>
        <w:spacing w:after="120" w:before="240"/>
      </w:pPr>
      <w:r>
        <w:t xml:space="preserve">2.3 Gap Identified in the Literature</w:t>
      </w:r>
    </w:p>
    <w:p>
      <w:pPr>
        <w:spacing w:after="160" w:line="300"/>
        <w:jc w:val="bot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spacing w:after="160" w:line="300"/>
        <w:jc w:val="both"/>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Heading1"/>
        <w:spacing w:after="180" w:before="340"/>
      </w:pPr>
      <w:r>
        <w:t xml:space="preserve">3. Research Gaps &amp; Questions</w:t>
      </w:r>
    </w:p>
    <w:p>
      <w:pPr>
        <w:pStyle w:val="Heading2"/>
        <w:spacing w:after="120" w:before="240"/>
      </w:pPr>
      <w:r>
        <w:t xml:space="preserve">3.1 Research Gaps</w:t>
      </w:r>
    </w:p>
    <w:p>
      <w:pPr>
        <w:spacing w:after="160" w:line="300"/>
        <w:jc w:val="both"/>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Heading2"/>
        <w:spacing w:after="120" w:before="240"/>
      </w:pPr>
      <w:r>
        <w:t xml:space="preserve">3.2 Main Research Question</w:t>
      </w:r>
    </w:p>
    <w:p>
      <w:pPr>
        <w:spacing w:after="160" w:line="300"/>
        <w:jc w:val="both"/>
      </w:pPr>
      <w:r>
        <w:t xml:space="preserve">How can a trust-oriented computing framework establish and enforce trustworthy multi-party consent for decentralised healthcare data sharing under identity, authority, and policy constraints?</w:t>
      </w:r>
    </w:p>
    <w:p>
      <w:pPr>
        <w:pStyle w:val="Heading2"/>
        <w:spacing w:after="120" w:before="240"/>
      </w:pPr>
      <w:r>
        <w:t xml:space="preserve">3.3 Sub-Research Questions</w:t>
      </w:r>
    </w:p>
    <w:p>
      <w:pPr>
        <w:pStyle w:val="ListParagraph"/>
        <w:numPr>
          <w:ilvl w:val="0"/>
          <w:numId w:val="1"/>
        </w:numPr>
        <w:spacing w:after="80" w:line="288"/>
        <w:jc w:val="both"/>
      </w:pPr>
      <w:r>
        <w:rPr>
          <w:b/>
          <w:bCs/>
        </w:rPr>
        <w:t xml:space="preserve">SRQ1:</w:t>
      </w:r>
      <w: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b/>
          <w:bCs/>
        </w:rPr>
        <w:t xml:space="preserve">SRQ2:</w:t>
      </w:r>
      <w: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b/>
          <w:bCs/>
        </w:rPr>
        <w:t xml:space="preserve">SRQ3:</w:t>
      </w:r>
      <w: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b/>
          <w:bCs/>
        </w:rPr>
        <w:t xml:space="preserve">SRQ4:</w:t>
      </w:r>
      <w: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b/>
          <w:bCs/>
        </w:rPr>
        <w:t xml:space="preserve">SRQ5:</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b/>
          <w:bCs/>
        </w:rPr>
        <w:t xml:space="preserve">SRQ6:</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Heading1"/>
        <w:spacing w:after="180" w:before="340"/>
      </w:pPr>
      <w:r>
        <w:t xml:space="preserve">4. Research Objectives</w:t>
      </w:r>
    </w:p>
    <w:p>
      <w:pPr>
        <w:pStyle w:val="ListParagraph"/>
        <w:numPr>
          <w:ilvl w:val="0"/>
          <w:numId w:val="1"/>
        </w:numPr>
        <w:spacing w:after="80" w:line="288"/>
        <w:jc w:val="both"/>
      </w:pPr>
      <w:r>
        <w:rPr>
          <w:b/>
          <w:bCs/>
        </w:rPr>
        <w:t xml:space="preserve">RO1 — Trust-Centric Consent Model:</w:t>
      </w:r>
      <w:r>
        <w:t xml:space="preserve"> 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ListParagraph"/>
        <w:numPr>
          <w:ilvl w:val="0"/>
          <w:numId w:val="1"/>
        </w:numPr>
        <w:spacing w:after="80" w:line="288"/>
        <w:jc w:val="both"/>
      </w:pPr>
      <w:r>
        <w:rPr>
          <w:b/>
          <w:bCs/>
        </w:rPr>
        <w:t xml:space="preserve">RO2 — Decentralised Identity and Authority Trust:</w:t>
      </w:r>
      <w:r>
        <w:t xml:space="preserve"> 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ListParagraph"/>
        <w:numPr>
          <w:ilvl w:val="0"/>
          <w:numId w:val="1"/>
        </w:numPr>
        <w:spacing w:after="80" w:line="288"/>
        <w:jc w:val="both"/>
      </w:pPr>
      <w:r>
        <w:rPr>
          <w:b/>
          <w:bCs/>
        </w:rPr>
        <w:t xml:space="preserve">RO3 — Trustworthy Multi-Party Authorisation:</w:t>
      </w:r>
      <w:r>
        <w:t xml:space="preserve"> The third research objective is to develop a threshold-based multi-party authorisation mechanism through which multiple independently verified participants can jointly establish a trustworthy consent decision.</w:t>
      </w:r>
    </w:p>
    <w:p>
      <w:pPr>
        <w:pStyle w:val="ListParagraph"/>
        <w:numPr>
          <w:ilvl w:val="0"/>
          <w:numId w:val="1"/>
        </w:numPr>
        <w:spacing w:after="80" w:line="288"/>
        <w:jc w:val="both"/>
      </w:pPr>
      <w:r>
        <w:rPr>
          <w:b/>
          <w:bCs/>
        </w:rPr>
        <w:t xml:space="preserve">RO4 — Policy- and Context-Aware Access Control:</w:t>
      </w:r>
      <w:r>
        <w:t xml:space="preserve"> The fourth research objective is to develop a policy-aware authorisation mechanism that evaluates the purpose and data scope of a requested operation against the constraints defined by the consent.</w:t>
      </w:r>
    </w:p>
    <w:p>
      <w:pPr>
        <w:pStyle w:val="ListParagraph"/>
        <w:numPr>
          <w:ilvl w:val="0"/>
          <w:numId w:val="1"/>
        </w:numPr>
        <w:spacing w:after="80" w:line="288"/>
        <w:jc w:val="both"/>
      </w:pPr>
      <w:r>
        <w:rPr>
          <w:b/>
          <w:bCs/>
        </w:rPr>
        <w:t xml:space="preserve">RO5 — Temporal and Lifecycle Trust:</w:t>
      </w:r>
      <w:r>
        <w:t xml:space="preserve"> 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ListParagraph"/>
        <w:numPr>
          <w:ilvl w:val="0"/>
          <w:numId w:val="1"/>
        </w:numPr>
        <w:spacing w:after="80" w:line="288"/>
        <w:jc w:val="both"/>
      </w:pPr>
      <w:r>
        <w:rPr>
          <w:b/>
          <w:bCs/>
        </w:rPr>
        <w:t xml:space="preserve">RO6 — Formal Security Assurance and Empirical Validation:</w:t>
      </w:r>
      <w:r>
        <w:t xml:space="preserve"> The sixth research objective is to formally analyse and empirically evaluate whether the implemented framework satisfies its defined trust and authorisation properties under representative healthcare data-sharing scenarios.</w:t>
      </w:r>
    </w:p>
    <w:p>
      <w:pPr>
        <w:pStyle w:val="Heading1"/>
        <w:spacing w:after="180" w:before="340"/>
      </w:pPr>
      <w:r>
        <w:t xml:space="preserve">5. Research Architecture: MVC</w:t>
      </w:r>
    </w:p>
    <w:p>
      <w:pPr>
        <w:spacing w:after="160" w:line="300"/>
        <w:jc w:val="bot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spacing w:after="160" w:line="300"/>
        <w:jc w:val="both"/>
      </w:pPr>
      <w:r>
        <w:t xml:space="preserve">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spacing w:after="160" w:line="300"/>
        <w:jc w:val="both"/>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spacing w:after="160" w:line="300"/>
        <w:jc w:val="both"/>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keepNext/>
        <w:spacing w:after="60" w:before="120"/>
        <w:jc w:val="center"/>
      </w:pPr>
      <w:r>
        <w:drawing>
          <wp:inline distT="0" distB="0" distL="0" distR="0">
            <wp:extent cx="5905500" cy="3657600"/>
            <wp:effectExtent t="0" r="0" b="0" l="0"/>
            <wp:docPr id="1" name="fig3" descr="Figure 3: Layered MVC Architecture and Component Decomposition of the HALAH Framework"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57600"/>
                    </a:xfrm>
                    <a:prstGeom prst="rect">
                      <a:avLst/>
                    </a:prstGeom>
                  </pic:spPr>
                </pic:pic>
              </a:graphicData>
            </a:graphic>
          </wp:inline>
        </w:drawing>
      </w:r>
    </w:p>
    <w:p>
      <w:pPr>
        <w:spacing w:after="180"/>
        <w:jc w:val="center"/>
      </w:pPr>
      <w:r>
        <w:rPr>
          <w:i/>
          <w:iCs/>
          <w:sz w:val="19"/>
          <w:szCs w:val="19"/>
        </w:rPr>
        <w:t xml:space="preserve">Figure 3: Layered MVC Architecture and Component Decomposition of the HALAH Framework</w:t>
      </w:r>
    </w:p>
    <w:p>
      <w:pPr>
        <w:keepNext/>
        <w:spacing w:after="60" w:before="120"/>
        <w:jc w:val="center"/>
      </w:pPr>
      <w:r>
        <w:drawing>
          <wp:inline distT="0" distB="0" distL="0" distR="0">
            <wp:extent cx="5905500" cy="2247900"/>
            <wp:effectExtent t="0" r="0" b="0" l="0"/>
            <wp:docPr id="1" name="fig4" descr="Figure 4: Functional Decomposition of the MVC Components" titl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47900"/>
                    </a:xfrm>
                    <a:prstGeom prst="rect">
                      <a:avLst/>
                    </a:prstGeom>
                  </pic:spPr>
                </pic:pic>
              </a:graphicData>
            </a:graphic>
          </wp:inline>
        </w:drawing>
      </w:r>
    </w:p>
    <w:p>
      <w:pPr>
        <w:spacing w:after="180"/>
        <w:jc w:val="center"/>
      </w:pPr>
      <w:r>
        <w:rPr>
          <w:i/>
          <w:iCs/>
          <w:sz w:val="19"/>
          <w:szCs w:val="19"/>
        </w:rPr>
        <w:t xml:space="preserve">Figure 4: Functional Decomposition of the MVC Components</w:t>
      </w:r>
    </w:p>
    <w:p>
      <w:pPr>
        <w:keepNext/>
        <w:spacing w:after="60" w:before="120"/>
        <w:jc w:val="center"/>
      </w:pPr>
      <w:r>
        <w:drawing>
          <wp:inline distT="0" distB="0" distL="0" distR="0">
            <wp:extent cx="3810000" cy="5391150"/>
            <wp:effectExtent t="0" r="0" b="0" l="0"/>
            <wp:docPr id="1" name="fig5" descr="Figure 5: Trust Predicate Evaluation and Authorisation Decision Flow" titl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5391150"/>
                    </a:xfrm>
                    <a:prstGeom prst="rect">
                      <a:avLst/>
                    </a:prstGeom>
                  </pic:spPr>
                </pic:pic>
              </a:graphicData>
            </a:graphic>
          </wp:inline>
        </w:drawing>
      </w:r>
    </w:p>
    <w:p>
      <w:pPr>
        <w:spacing w:after="180"/>
        <w:jc w:val="center"/>
      </w:pPr>
      <w:r>
        <w:rPr>
          <w:i/>
          <w:iCs/>
          <w:sz w:val="19"/>
          <w:szCs w:val="19"/>
        </w:rPr>
        <w:t xml:space="preserve">Figure 5: Trust Predicate Evaluation and Authorisation Decision Flow</w:t>
      </w:r>
    </w:p>
    <w:p>
      <w:pPr>
        <w:pStyle w:val="Heading1"/>
        <w:spacing w:after="180" w:before="340"/>
      </w:pPr>
      <w:r>
        <w:t xml:space="preserve">6. The Proposed Solution for RQ1</w:t>
      </w:r>
    </w:p>
    <w:p>
      <w:pPr>
        <w:spacing w:after="160" w:before="60"/>
      </w:pPr>
      <w:r>
        <w:rPr>
          <w:b/>
          <w:bCs/>
          <w:sz w:val="24"/>
          <w:szCs w:val="24"/>
        </w:rPr>
        <w:t xml:space="preserve">Status: </w:t>
      </w:r>
      <w:r>
        <w:rPr>
          <w:b/>
          <w:bCs/>
          <w:color w:val="1F7A1F"/>
          <w:sz w:val="24"/>
          <w:szCs w:val="24"/>
        </w:rPr>
        <w:t xml:space="preserve">Done</w:t>
      </w:r>
    </w:p>
    <w:p>
      <w:pPr>
        <w:spacing w:after="160" w:line="300"/>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spacing w:after="160" w:before="80"/>
        <w:jc w:val="center"/>
      </w:pPr>
      <w:r>
        <w:rPr>
          <w:rFonts w:ascii="Cambria Math" w:cs="Cambria Math" w:eastAsia="Cambria Math" w:hAnsi="Cambria Math"/>
          <w:i/>
          <w:iCs/>
          <w:sz w:val="22"/>
          <w:szCs w:val="22"/>
        </w:rPr>
        <w:t xml:space="preserve">C = (I, A, P, E)</w:t>
      </w:r>
    </w:p>
    <w:p>
      <w:pPr>
        <w:spacing w:after="160" w:line="300"/>
        <w:jc w:val="both"/>
      </w:pPr>
      <w: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spacing w:after="160" w:line="300"/>
        <w:jc w:val="both"/>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spacing w:after="160" w:line="300"/>
        <w:jc w:val="both"/>
      </w:pPr>
      <w:r>
        <w:t xml:space="preserve">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Bdr>
          <w:top w:val="single" w:color="000000" w:sz="12"/>
          <w:bottom w:val="single" w:color="000000" w:sz="6"/>
        </w:pBdr>
        <w:spacing w:after="40" w:before="200"/>
      </w:pPr>
      <w:r>
        <w:rPr>
          <w:rFonts w:ascii="Cambria" w:cs="Cambria" w:eastAsia="Cambria" w:hAnsi="Cambria"/>
          <w:b/>
          <w:bCs/>
          <w:sz w:val="20"/>
          <w:szCs w:val="20"/>
        </w:rPr>
        <w:t xml:space="preserve">Algorithm 1 </w:t>
      </w:r>
      <w:r>
        <w:rPr>
          <w:rFonts w:ascii="Cambria" w:cs="Cambria" w:eastAsia="Cambria" w:hAnsi="Cambria"/>
          <w:sz w:val="20"/>
          <w:szCs w:val="20"/>
        </w:rPr>
        <w:t xml:space="preserve">Trust-Aware Consent Creation</w:t>
      </w:r>
    </w:p>
    <w:p>
      <w:pPr>
        <w:spacing w:after="20"/>
      </w:pPr>
      <w:r>
        <w:rPr>
          <w:rFonts w:ascii="Cambria" w:cs="Cambria" w:eastAsia="Cambria" w:hAnsi="Cambria"/>
          <w:b/>
          <w:bCs/>
          <w:sz w:val="20"/>
          <w:szCs w:val="20"/>
        </w:rPr>
        <w:t xml:space="preserve">Require: </w:t>
      </w:r>
      <w:r>
        <w:rPr>
          <w:rFonts w:ascii="Cambria" w:cs="Cambria" w:eastAsia="Cambria" w:hAnsi="Cambria"/>
          <w:sz w:val="20"/>
          <w:szCs w:val="20"/>
        </w:rPr>
        <w:t xml:space="preserve">Patient identity I</w:t>
      </w:r>
      <w:r>
        <w:rPr>
          <w:rFonts w:ascii="Cambria" w:cs="Cambria" w:eastAsia="Cambria" w:hAnsi="Cambria"/>
          <w:sz w:val="20"/>
          <w:szCs w:val="20"/>
          <w:vertAlign w:val="subscript"/>
        </w:rPr>
        <w:t xml:space="preserve">p</w:t>
      </w:r>
      <w:r>
        <w:rPr>
          <w:rFonts w:ascii="Cambria" w:cs="Cambria" w:eastAsia="Cambria" w:hAnsi="Cambria"/>
          <w:sz w:val="20"/>
          <w:szCs w:val="20"/>
        </w:rPr>
        <w:t xml:space="preserve">, authorised doctor D, guardian set G, purpose P</w:t>
      </w:r>
      <w:r>
        <w:rPr>
          <w:rFonts w:ascii="Cambria" w:cs="Cambria" w:eastAsia="Cambria" w:hAnsi="Cambria"/>
          <w:sz w:val="20"/>
          <w:szCs w:val="20"/>
          <w:vertAlign w:val="subscript"/>
        </w:rPr>
        <w:t xml:space="preserve">u</w:t>
      </w:r>
      <w:r>
        <w:rPr>
          <w:rFonts w:ascii="Cambria" w:cs="Cambria" w:eastAsia="Cambria" w:hAnsi="Cambria"/>
          <w:sz w:val="20"/>
          <w:szCs w:val="20"/>
        </w:rPr>
        <w:t xml:space="preserve">, data scope S</w:t>
      </w:r>
      <w:r>
        <w:rPr>
          <w:rFonts w:ascii="Cambria" w:cs="Cambria" w:eastAsia="Cambria" w:hAnsi="Cambria"/>
          <w:sz w:val="20"/>
          <w:szCs w:val="20"/>
          <w:vertAlign w:val="subscript"/>
        </w:rPr>
        <w:t xml:space="preserve">C</w:t>
      </w:r>
      <w:r>
        <w:rPr>
          <w:rFonts w:ascii="Cambria" w:cs="Cambria" w:eastAsia="Cambria" w:hAnsi="Cambria"/>
          <w:sz w:val="20"/>
          <w:szCs w:val="20"/>
        </w:rPr>
        <w:t xml:space="preserve">, validity interval T</w:t>
      </w:r>
    </w:p>
    <w:p>
      <w:pPr>
        <w:spacing w:after="40"/>
      </w:pPr>
      <w:r>
        <w:rPr>
          <w:rFonts w:ascii="Cambria" w:cs="Cambria" w:eastAsia="Cambria" w:hAnsi="Cambria"/>
          <w:b/>
          <w:bCs/>
          <w:sz w:val="20"/>
          <w:szCs w:val="20"/>
        </w:rPr>
        <w:t xml:space="preserve">Ensure: </w:t>
      </w:r>
      <w:r>
        <w:rPr>
          <w:rFonts w:ascii="Cambria" w:cs="Cambria" w:eastAsia="Cambria" w:hAnsi="Cambria"/>
          <w:sz w:val="20"/>
          <w:szCs w:val="20"/>
        </w:rPr>
        <w:t xml:space="preserve">Consent object C or rejection</w:t>
      </w:r>
    </w:p>
    <w:p>
      <w:pPr>
        <w:spacing w:after="20"/>
        <w:ind w:left="240" w:hanging="0"/>
      </w:pPr>
      <w:r>
        <w:rPr>
          <w:rFonts w:ascii="Cambria" w:cs="Cambria" w:eastAsia="Cambria" w:hAnsi="Cambria"/>
          <w:color w:val="555555"/>
          <w:sz w:val="17"/>
          <w:szCs w:val="17"/>
        </w:rPr>
        <w:t xml:space="preserve">1:  </w:t>
      </w:r>
      <w:r>
        <w:rPr>
          <w:rFonts w:ascii="Cambria" w:cs="Cambria" w:eastAsia="Cambria" w:hAnsi="Cambria"/>
          <w:sz w:val="20"/>
          <w:szCs w:val="20"/>
        </w:rPr>
        <w:t xml:space="preserve">Validate I</w:t>
      </w:r>
      <w:r>
        <w:rPr>
          <w:rFonts w:ascii="Cambria" w:cs="Cambria" w:eastAsia="Cambria" w:hAnsi="Cambria"/>
          <w:sz w:val="20"/>
          <w:szCs w:val="20"/>
          <w:vertAlign w:val="subscript"/>
        </w:rPr>
        <w:t xml:space="preserve">p</w:t>
      </w:r>
    </w:p>
    <w:p>
      <w:pPr>
        <w:spacing w:after="20"/>
        <w:ind w:left="240" w:hanging="0"/>
      </w:pPr>
      <w:r>
        <w:rPr>
          <w:rFonts w:ascii="Cambria" w:cs="Cambria" w:eastAsia="Cambria" w:hAnsi="Cambria"/>
          <w:color w:val="555555"/>
          <w:sz w:val="17"/>
          <w:szCs w:val="17"/>
        </w:rPr>
        <w:t xml:space="preserve">2:  </w:t>
      </w:r>
      <w:r>
        <w:rPr>
          <w:rFonts w:ascii="Cambria" w:cs="Cambria" w:eastAsia="Cambria" w:hAnsi="Cambria"/>
          <w:b/>
          <w:bCs/>
          <w:sz w:val="20"/>
          <w:szCs w:val="20"/>
        </w:rPr>
        <w:t xml:space="preserve">if</w:t>
      </w:r>
      <w:r>
        <w:rPr>
          <w:rFonts w:ascii="Cambria" w:cs="Cambria" w:eastAsia="Cambria" w:hAnsi="Cambria"/>
          <w:sz w:val="20"/>
          <w:szCs w:val="20"/>
        </w:rPr>
        <w:t xml:space="preserve"> I</w:t>
      </w:r>
      <w:r>
        <w:rPr>
          <w:rFonts w:ascii="Cambria" w:cs="Cambria" w:eastAsia="Cambria" w:hAnsi="Cambria"/>
          <w:sz w:val="20"/>
          <w:szCs w:val="20"/>
          <w:vertAlign w:val="subscript"/>
        </w:rPr>
        <w:t xml:space="preserve">p</w:t>
      </w:r>
      <w:r>
        <w:rPr>
          <w:rFonts w:ascii="Cambria" w:cs="Cambria" w:eastAsia="Cambria" w:hAnsi="Cambria"/>
          <w:sz w:val="20"/>
          <w:szCs w:val="20"/>
        </w:rPr>
        <w:t xml:space="preserve"> is invalid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3:  </w:t>
      </w:r>
      <w:r>
        <w:rPr>
          <w:rFonts w:ascii="Cambria" w:cs="Cambria" w:eastAsia="Cambria" w:hAnsi="Cambria"/>
          <w:b/>
          <w:bCs/>
          <w:sz w:val="20"/>
          <w:szCs w:val="20"/>
        </w:rPr>
        <w:t xml:space="preserve">return</w:t>
      </w:r>
      <w:r>
        <w:rPr>
          <w:rFonts w:ascii="Cambria" w:cs="Cambria" w:eastAsia="Cambria" w:hAnsi="Cambria"/>
          <w:sz w:val="20"/>
          <w:szCs w:val="20"/>
        </w:rPr>
        <w:t xml:space="preserve"> REJECT</w:t>
      </w:r>
    </w:p>
    <w:p>
      <w:pPr>
        <w:spacing w:after="20"/>
        <w:ind w:left="240" w:hanging="0"/>
      </w:pPr>
      <w:r>
        <w:rPr>
          <w:rFonts w:ascii="Cambria" w:cs="Cambria" w:eastAsia="Cambria" w:hAnsi="Cambria"/>
          <w:color w:val="555555"/>
          <w:sz w:val="17"/>
          <w:szCs w:val="17"/>
        </w:rPr>
        <w:t xml:space="preserve">4: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5:  </w:t>
      </w:r>
      <w:r>
        <w:rPr>
          <w:rFonts w:ascii="Cambria" w:cs="Cambria" w:eastAsia="Cambria" w:hAnsi="Cambria"/>
          <w:sz w:val="20"/>
          <w:szCs w:val="20"/>
        </w:rPr>
        <w:t xml:space="preserve">Validate authorised doctor D</w:t>
      </w:r>
    </w:p>
    <w:p>
      <w:pPr>
        <w:spacing w:after="20"/>
        <w:ind w:left="240" w:hanging="0"/>
      </w:pPr>
      <w:r>
        <w:rPr>
          <w:rFonts w:ascii="Cambria" w:cs="Cambria" w:eastAsia="Cambria" w:hAnsi="Cambria"/>
          <w:color w:val="555555"/>
          <w:sz w:val="17"/>
          <w:szCs w:val="17"/>
        </w:rPr>
        <w:t xml:space="preserve">6:  </w:t>
      </w:r>
      <w:r>
        <w:rPr>
          <w:rFonts w:ascii="Cambria" w:cs="Cambria" w:eastAsia="Cambria" w:hAnsi="Cambria"/>
          <w:sz w:val="20"/>
          <w:szCs w:val="20"/>
        </w:rPr>
        <w:t xml:space="preserve">Validate guardian set G</w:t>
      </w:r>
    </w:p>
    <w:p>
      <w:pPr>
        <w:spacing w:after="20"/>
        <w:ind w:left="240" w:hanging="0"/>
      </w:pPr>
      <w:r>
        <w:rPr>
          <w:rFonts w:ascii="Cambria" w:cs="Cambria" w:eastAsia="Cambria" w:hAnsi="Cambria"/>
          <w:color w:val="555555"/>
          <w:sz w:val="17"/>
          <w:szCs w:val="17"/>
        </w:rPr>
        <w:t xml:space="preserve">7:  </w:t>
      </w:r>
      <w:r>
        <w:rPr>
          <w:rFonts w:ascii="Cambria" w:cs="Cambria" w:eastAsia="Cambria" w:hAnsi="Cambria"/>
          <w:sz w:val="20"/>
          <w:szCs w:val="20"/>
        </w:rPr>
        <w:t xml:space="preserve">Validate purpose P</w:t>
      </w:r>
      <w:r>
        <w:rPr>
          <w:rFonts w:ascii="Cambria" w:cs="Cambria" w:eastAsia="Cambria" w:hAnsi="Cambria"/>
          <w:sz w:val="20"/>
          <w:szCs w:val="20"/>
          <w:vertAlign w:val="subscript"/>
        </w:rPr>
        <w:t xml:space="preserve">u</w:t>
      </w:r>
    </w:p>
    <w:p>
      <w:pPr>
        <w:spacing w:after="20"/>
        <w:ind w:left="240" w:hanging="0"/>
      </w:pPr>
      <w:r>
        <w:rPr>
          <w:rFonts w:ascii="Cambria" w:cs="Cambria" w:eastAsia="Cambria" w:hAnsi="Cambria"/>
          <w:color w:val="555555"/>
          <w:sz w:val="17"/>
          <w:szCs w:val="17"/>
        </w:rPr>
        <w:t xml:space="preserve">8:  </w:t>
      </w:r>
      <w:r>
        <w:rPr>
          <w:rFonts w:ascii="Cambria" w:cs="Cambria" w:eastAsia="Cambria" w:hAnsi="Cambria"/>
          <w:sz w:val="20"/>
          <w:szCs w:val="20"/>
        </w:rPr>
        <w:t xml:space="preserve">Validate data scope S</w:t>
      </w:r>
      <w:r>
        <w:rPr>
          <w:rFonts w:ascii="Cambria" w:cs="Cambria" w:eastAsia="Cambria" w:hAnsi="Cambria"/>
          <w:sz w:val="20"/>
          <w:szCs w:val="20"/>
          <w:vertAlign w:val="subscript"/>
        </w:rPr>
        <w:t xml:space="preserve">C</w:t>
      </w:r>
    </w:p>
    <w:p>
      <w:pPr>
        <w:spacing w:after="20"/>
        <w:ind w:left="240" w:hanging="0"/>
      </w:pPr>
      <w:r>
        <w:rPr>
          <w:rFonts w:ascii="Cambria" w:cs="Cambria" w:eastAsia="Cambria" w:hAnsi="Cambria"/>
          <w:color w:val="555555"/>
          <w:sz w:val="17"/>
          <w:szCs w:val="17"/>
        </w:rPr>
        <w:t xml:space="preserve">9:  </w:t>
      </w:r>
      <w:r>
        <w:rPr>
          <w:rFonts w:ascii="Cambria" w:cs="Cambria" w:eastAsia="Cambria" w:hAnsi="Cambria"/>
          <w:sz w:val="20"/>
          <w:szCs w:val="20"/>
        </w:rPr>
        <w:t xml:space="preserve">Validate validity interval T = (t</w:t>
      </w:r>
      <w:r>
        <w:rPr>
          <w:rFonts w:ascii="Cambria" w:cs="Cambria" w:eastAsia="Cambria" w:hAnsi="Cambria"/>
          <w:sz w:val="20"/>
          <w:szCs w:val="20"/>
          <w:vertAlign w:val="subscript"/>
        </w:rPr>
        <w:t xml:space="preserve">s</w:t>
      </w:r>
      <w:r>
        <w:rPr>
          <w:rFonts w:ascii="Cambria" w:cs="Cambria" w:eastAsia="Cambria" w:hAnsi="Cambria"/>
          <w:sz w:val="20"/>
          <w:szCs w:val="20"/>
        </w:rPr>
        <w:t xml:space="preserve">, t</w:t>
      </w:r>
      <w:r>
        <w:rPr>
          <w:rFonts w:ascii="Cambria" w:cs="Cambria" w:eastAsia="Cambria" w:hAnsi="Cambria"/>
          <w:sz w:val="20"/>
          <w:szCs w:val="20"/>
          <w:vertAlign w:val="subscript"/>
        </w:rPr>
        <w:t xml:space="preserve">e</w:t>
      </w:r>
      <w:r>
        <w:rPr>
          <w:rFonts w:ascii="Cambria" w:cs="Cambria" w:eastAsia="Cambria" w:hAnsi="Cambria"/>
          <w:sz w:val="20"/>
          <w:szCs w:val="20"/>
        </w:rPr>
        <w:t xml:space="preserve">)</w:t>
      </w:r>
    </w:p>
    <w:p>
      <w:pPr>
        <w:spacing w:after="20"/>
        <w:ind w:left="240" w:hanging="0"/>
      </w:pPr>
      <w:r>
        <w:rPr>
          <w:rFonts w:ascii="Cambria" w:cs="Cambria" w:eastAsia="Cambria" w:hAnsi="Cambria"/>
          <w:color w:val="555555"/>
          <w:sz w:val="17"/>
          <w:szCs w:val="17"/>
        </w:rPr>
        <w:t xml:space="preserve">10:  </w:t>
      </w:r>
      <w:r>
        <w:rPr>
          <w:rFonts w:ascii="Cambria" w:cs="Cambria" w:eastAsia="Cambria" w:hAnsi="Cambria"/>
          <w:b/>
          <w:bCs/>
          <w:sz w:val="20"/>
          <w:szCs w:val="20"/>
        </w:rPr>
        <w:t xml:space="preserve">if</w:t>
      </w:r>
      <w:r>
        <w:rPr>
          <w:rFonts w:ascii="Cambria" w:cs="Cambria" w:eastAsia="Cambria" w:hAnsi="Cambria"/>
          <w:sz w:val="20"/>
          <w:szCs w:val="20"/>
        </w:rPr>
        <w:t xml:space="preserve"> t</w:t>
      </w:r>
      <w:r>
        <w:rPr>
          <w:rFonts w:ascii="Cambria" w:cs="Cambria" w:eastAsia="Cambria" w:hAnsi="Cambria"/>
          <w:sz w:val="20"/>
          <w:szCs w:val="20"/>
          <w:vertAlign w:val="subscript"/>
        </w:rPr>
        <w:t xml:space="preserve">e</w:t>
      </w:r>
      <w:r>
        <w:rPr>
          <w:rFonts w:ascii="Cambria" w:cs="Cambria" w:eastAsia="Cambria" w:hAnsi="Cambria"/>
          <w:sz w:val="20"/>
          <w:szCs w:val="20"/>
        </w:rPr>
        <w:t xml:space="preserve"> ≤ t</w:t>
      </w:r>
      <w:r>
        <w:rPr>
          <w:rFonts w:ascii="Cambria" w:cs="Cambria" w:eastAsia="Cambria" w:hAnsi="Cambria"/>
          <w:sz w:val="20"/>
          <w:szCs w:val="20"/>
          <w:vertAlign w:val="subscript"/>
        </w:rPr>
        <w:t xml:space="preserve">s</w:t>
      </w:r>
      <w:r>
        <w:rPr>
          <w:rFonts w:ascii="Cambria" w:cs="Cambria" w:eastAsia="Cambria" w:hAnsi="Cambria"/>
          <w:sz w:val="20"/>
          <w:szCs w:val="20"/>
        </w:rPr>
        <w:t xml:space="preserve">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11:  </w:t>
      </w:r>
      <w:r>
        <w:rPr>
          <w:rFonts w:ascii="Cambria" w:cs="Cambria" w:eastAsia="Cambria" w:hAnsi="Cambria"/>
          <w:b/>
          <w:bCs/>
          <w:sz w:val="20"/>
          <w:szCs w:val="20"/>
        </w:rPr>
        <w:t xml:space="preserve">return</w:t>
      </w:r>
      <w:r>
        <w:rPr>
          <w:rFonts w:ascii="Cambria" w:cs="Cambria" w:eastAsia="Cambria" w:hAnsi="Cambria"/>
          <w:sz w:val="20"/>
          <w:szCs w:val="20"/>
        </w:rPr>
        <w:t xml:space="preserve"> REJECT</w:t>
      </w:r>
    </w:p>
    <w:p>
      <w:pPr>
        <w:spacing w:after="20"/>
        <w:ind w:left="240" w:hanging="0"/>
      </w:pPr>
      <w:r>
        <w:rPr>
          <w:rFonts w:ascii="Cambria" w:cs="Cambria" w:eastAsia="Cambria" w:hAnsi="Cambria"/>
          <w:color w:val="555555"/>
          <w:sz w:val="17"/>
          <w:szCs w:val="17"/>
        </w:rPr>
        <w:t xml:space="preserve">12: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13:  </w:t>
      </w:r>
      <w:r>
        <w:rPr>
          <w:rFonts w:ascii="Cambria" w:cs="Cambria" w:eastAsia="Cambria" w:hAnsi="Cambria"/>
          <w:sz w:val="20"/>
          <w:szCs w:val="20"/>
        </w:rPr>
        <w:t xml:space="preserve">Define authorisation requirement A</w:t>
      </w:r>
    </w:p>
    <w:p>
      <w:pPr>
        <w:spacing w:after="20"/>
        <w:ind w:left="240" w:hanging="0"/>
      </w:pPr>
      <w:r>
        <w:rPr>
          <w:rFonts w:ascii="Cambria" w:cs="Cambria" w:eastAsia="Cambria" w:hAnsi="Cambria"/>
          <w:color w:val="555555"/>
          <w:sz w:val="17"/>
          <w:szCs w:val="17"/>
        </w:rPr>
        <w:t xml:space="preserve">14:  </w:t>
      </w:r>
      <w:r>
        <w:rPr>
          <w:rFonts w:ascii="Cambria" w:cs="Cambria" w:eastAsia="Cambria" w:hAnsi="Cambria"/>
          <w:sz w:val="20"/>
          <w:szCs w:val="20"/>
        </w:rPr>
        <w:t xml:space="preserve">Generate consent identifier id</w:t>
      </w:r>
      <w:r>
        <w:rPr>
          <w:rFonts w:ascii="Cambria" w:cs="Cambria" w:eastAsia="Cambria" w:hAnsi="Cambria"/>
          <w:sz w:val="20"/>
          <w:szCs w:val="20"/>
          <w:vertAlign w:val="subscript"/>
        </w:rPr>
        <w:t xml:space="preserve">C</w:t>
      </w:r>
    </w:p>
    <w:p>
      <w:pPr>
        <w:spacing w:after="20"/>
        <w:ind w:left="240" w:hanging="0"/>
      </w:pPr>
      <w:r>
        <w:rPr>
          <w:rFonts w:ascii="Cambria" w:cs="Cambria" w:eastAsia="Cambria" w:hAnsi="Cambria"/>
          <w:color w:val="555555"/>
          <w:sz w:val="17"/>
          <w:szCs w:val="17"/>
        </w:rPr>
        <w:t xml:space="preserve">15:  </w:t>
      </w:r>
      <w:r>
        <w:rPr>
          <w:rFonts w:ascii="Cambria" w:cs="Cambria" w:eastAsia="Cambria" w:hAnsi="Cambria"/>
          <w:sz w:val="20"/>
          <w:szCs w:val="20"/>
        </w:rPr>
        <w:t xml:space="preserve">Construct C = (I, A, P, E)</w:t>
      </w:r>
    </w:p>
    <w:p>
      <w:pPr>
        <w:spacing w:after="20"/>
        <w:ind w:left="240" w:hanging="0"/>
      </w:pPr>
      <w:r>
        <w:rPr>
          <w:rFonts w:ascii="Cambria" w:cs="Cambria" w:eastAsia="Cambria" w:hAnsi="Cambria"/>
          <w:color w:val="555555"/>
          <w:sz w:val="17"/>
          <w:szCs w:val="17"/>
        </w:rPr>
        <w:t xml:space="preserve">16:  </w:t>
      </w:r>
      <w:r>
        <w:rPr>
          <w:rFonts w:ascii="Cambria" w:cs="Cambria" w:eastAsia="Cambria" w:hAnsi="Cambria"/>
          <w:sz w:val="20"/>
          <w:szCs w:val="20"/>
        </w:rPr>
        <w:t xml:space="preserve">Persist C</w:t>
      </w:r>
    </w:p>
    <w:p>
      <w:pPr>
        <w:spacing w:after="20"/>
        <w:ind w:left="240" w:hanging="0"/>
      </w:pPr>
      <w:r>
        <w:rPr>
          <w:rFonts w:ascii="Cambria" w:cs="Cambria" w:eastAsia="Cambria" w:hAnsi="Cambria"/>
          <w:color w:val="555555"/>
          <w:sz w:val="17"/>
          <w:szCs w:val="17"/>
        </w:rPr>
        <w:t xml:space="preserve">17:  </w:t>
      </w:r>
      <w:r>
        <w:rPr>
          <w:rFonts w:ascii="Cambria" w:cs="Cambria" w:eastAsia="Cambria" w:hAnsi="Cambria"/>
          <w:sz w:val="20"/>
          <w:szCs w:val="20"/>
        </w:rPr>
        <w:t xml:space="preserve">Record consent creation evidence</w:t>
      </w:r>
    </w:p>
    <w:p>
      <w:pPr>
        <w:pBdr>
          <w:bottom w:val="single" w:color="000000" w:sz="12"/>
        </w:pBdr>
        <w:spacing w:after="60"/>
        <w:ind w:left="240" w:hanging="0"/>
      </w:pPr>
      <w:r>
        <w:rPr>
          <w:rFonts w:ascii="Cambria" w:cs="Cambria" w:eastAsia="Cambria" w:hAnsi="Cambria"/>
          <w:color w:val="555555"/>
          <w:sz w:val="17"/>
          <w:szCs w:val="17"/>
        </w:rPr>
        <w:t xml:space="preserve">18:  </w:t>
      </w:r>
      <w:r>
        <w:rPr>
          <w:rFonts w:ascii="Cambria" w:cs="Cambria" w:eastAsia="Cambria" w:hAnsi="Cambria"/>
          <w:b/>
          <w:bCs/>
          <w:sz w:val="20"/>
          <w:szCs w:val="20"/>
        </w:rPr>
        <w:t xml:space="preserve">return</w:t>
      </w:r>
      <w:r>
        <w:rPr>
          <w:rFonts w:ascii="Cambria" w:cs="Cambria" w:eastAsia="Cambria" w:hAnsi="Cambria"/>
          <w:sz w:val="20"/>
          <w:szCs w:val="20"/>
        </w:rPr>
        <w:t xml:space="preserve"> C</w:t>
      </w:r>
    </w:p>
    <w:p>
      <w:pPr>
        <w:spacing w:after="160"/>
      </w:pPr>
    </w:p>
    <w:p>
      <w:pPr>
        <w:keepNext/>
        <w:spacing w:after="60" w:before="120"/>
        <w:jc w:val="center"/>
      </w:pPr>
      <w:r>
        <w:drawing>
          <wp:inline distT="0" distB="0" distL="0" distR="0">
            <wp:extent cx="5334000" cy="3943350"/>
            <wp:effectExtent t="0" r="0" b="0" l="0"/>
            <wp:docPr id="1" name="M1" descr="The patient subsystem after consent creation: four EMR modules, two designated guardians, jurisdiction AU, and the state PENDING_SIGNATURE." title="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943350"/>
                    </a:xfrm>
                    <a:prstGeom prst="rect">
                      <a:avLst/>
                    </a:prstGeom>
                  </pic:spPr>
                </pic:pic>
              </a:graphicData>
            </a:graphic>
          </wp:inline>
        </w:drawing>
      </w:r>
    </w:p>
    <w:p>
      <w:pPr>
        <w:spacing w:after="180"/>
        <w:jc w:val="center"/>
      </w:pPr>
      <w:r>
        <w:rPr>
          <w:i/>
          <w:iCs/>
          <w:sz w:val="19"/>
          <w:szCs w:val="19"/>
        </w:rPr>
        <w:t xml:space="preserve">The patient subsystem after consent creation: four EMR modules, two designated guardians, jurisdiction AU, and the state PENDING_SIGNATURE.</w:t>
      </w:r>
    </w:p>
    <w:p>
      <w:pPr>
        <w:spacing w:after="160" w:line="300"/>
        <w:jc w:val="both"/>
      </w:pPr>
      <w: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line="300"/>
        <w:jc w:val="both"/>
      </w:pPr>
      <w: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pStyle w:val="Heading1"/>
        <w:spacing w:after="180" w:before="340"/>
      </w:pPr>
      <w:r>
        <w:t xml:space="preserve">7. The Proposed Solution for RQ2</w:t>
      </w:r>
    </w:p>
    <w:p>
      <w:pPr>
        <w:spacing w:after="160" w:before="60"/>
      </w:pPr>
      <w:r>
        <w:rPr>
          <w:b/>
          <w:bCs/>
          <w:sz w:val="24"/>
          <w:szCs w:val="24"/>
        </w:rPr>
        <w:t xml:space="preserve">Status: </w:t>
      </w:r>
      <w:r>
        <w:rPr>
          <w:b/>
          <w:bCs/>
          <w:color w:val="1F7A1F"/>
          <w:sz w:val="24"/>
          <w:szCs w:val="24"/>
        </w:rPr>
        <w:t xml:space="preserve">Done</w:t>
      </w:r>
    </w:p>
    <w:p>
      <w:pPr>
        <w:spacing w:after="160" w:line="300"/>
        <w:jc w:val="both"/>
      </w:pPr>
      <w: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60" w:before="80"/>
        <w:jc w:val="center"/>
      </w:pPr>
      <w:r>
        <w:rPr>
          <w:rFonts w:ascii="Cambria Math" w:cs="Cambria Math" w:eastAsia="Cambria Math" w:hAnsi="Cambria Math"/>
          <w:i/>
          <w:iCs/>
          <w:sz w:val="22"/>
          <w:szCs w:val="22"/>
        </w:rPr>
        <w:t xml:space="preserve">Identity ≠ Authorisation.</w:t>
      </w:r>
    </w:p>
    <w:p>
      <w:pPr>
        <w:spacing w:after="160" w:line="300"/>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w:t>
      </w:r>
    </w:p>
    <w:p>
      <w:pPr>
        <w:spacing w:after="160" w:before="80"/>
        <w:jc w:val="center"/>
      </w:pPr>
      <w:r>
        <w:rPr>
          <w:rFonts w:ascii="Cambria Math" w:cs="Cambria Math" w:eastAsia="Cambria Math" w:hAnsi="Cambria Math"/>
          <w:i/>
          <w:iCs/>
          <w:sz w:val="22"/>
          <w:szCs w:val="22"/>
        </w:rPr>
        <w:t xml:space="preserve">Identity(u) ∧ CredentialValidity(u) ∧ Authority(u, C) ⇒ V_I(u) = VALID.</w:t>
      </w:r>
    </w:p>
    <w:p>
      <w:pPr>
        <w:spacing w:after="160" w:line="300"/>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spacing w:after="160" w:line="300"/>
        <w:jc w:val="both"/>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00"/>
      </w:pPr>
      <w:r>
        <w:rPr>
          <w:rFonts w:ascii="Cambria" w:cs="Cambria" w:eastAsia="Cambria" w:hAnsi="Cambria"/>
          <w:b/>
          <w:bCs/>
          <w:sz w:val="20"/>
          <w:szCs w:val="20"/>
        </w:rPr>
        <w:t xml:space="preserve">Algorithm 2 </w:t>
      </w:r>
      <w:r>
        <w:rPr>
          <w:rFonts w:ascii="Cambria" w:cs="Cambria" w:eastAsia="Cambria" w:hAnsi="Cambria"/>
          <w:sz w:val="20"/>
          <w:szCs w:val="20"/>
        </w:rPr>
        <w:t xml:space="preserve">DID and VC Identity and Authority Verification</w:t>
      </w:r>
    </w:p>
    <w:p>
      <w:pPr>
        <w:spacing w:after="20"/>
      </w:pPr>
      <w:r>
        <w:rPr>
          <w:rFonts w:ascii="Cambria" w:cs="Cambria" w:eastAsia="Cambria" w:hAnsi="Cambria"/>
          <w:b/>
          <w:bCs/>
          <w:sz w:val="20"/>
          <w:szCs w:val="20"/>
        </w:rPr>
        <w:t xml:space="preserve">Require: </w:t>
      </w:r>
      <w:r>
        <w:rPr>
          <w:rFonts w:ascii="Cambria" w:cs="Cambria" w:eastAsia="Cambria" w:hAnsi="Cambria"/>
          <w:sz w:val="20"/>
          <w:szCs w:val="20"/>
        </w:rPr>
        <w:t xml:space="preserve">Participant u, consent object C</w:t>
      </w:r>
    </w:p>
    <w:p>
      <w:pPr>
        <w:spacing w:after="40"/>
      </w:pPr>
      <w:r>
        <w:rPr>
          <w:rFonts w:ascii="Cambria" w:cs="Cambria" w:eastAsia="Cambria" w:hAnsi="Cambria"/>
          <w:b/>
          <w:bCs/>
          <w:sz w:val="20"/>
          <w:szCs w:val="20"/>
        </w:rPr>
        <w:t xml:space="preserve">Ensure: </w:t>
      </w:r>
      <w:r>
        <w:rPr>
          <w:rFonts w:ascii="Cambria" w:cs="Cambria" w:eastAsia="Cambria" w:hAnsi="Cambria"/>
          <w:sz w:val="20"/>
          <w:szCs w:val="20"/>
        </w:rPr>
        <w:t xml:space="preserve">Verification result V</w:t>
      </w:r>
      <w:r>
        <w:rPr>
          <w:rFonts w:ascii="Cambria" w:cs="Cambria" w:eastAsia="Cambria" w:hAnsi="Cambria"/>
          <w:sz w:val="20"/>
          <w:szCs w:val="20"/>
          <w:vertAlign w:val="subscript"/>
        </w:rPr>
        <w:t xml:space="preserve">I</w:t>
      </w:r>
      <w:r>
        <w:rPr>
          <w:rFonts w:ascii="Cambria" w:cs="Cambria" w:eastAsia="Cambria" w:hAnsi="Cambria"/>
          <w:sz w:val="20"/>
          <w:szCs w:val="20"/>
        </w:rPr>
        <w:t xml:space="preserve">(u)</w:t>
      </w:r>
    </w:p>
    <w:p>
      <w:pPr>
        <w:spacing w:after="20"/>
        <w:ind w:left="240" w:hanging="0"/>
      </w:pPr>
      <w:r>
        <w:rPr>
          <w:rFonts w:ascii="Cambria" w:cs="Cambria" w:eastAsia="Cambria" w:hAnsi="Cambria"/>
          <w:color w:val="555555"/>
          <w:sz w:val="17"/>
          <w:szCs w:val="17"/>
        </w:rPr>
        <w:t xml:space="preserve">1:  </w:t>
      </w:r>
      <w:r>
        <w:rPr>
          <w:rFonts w:ascii="Cambria" w:cs="Cambria" w:eastAsia="Cambria" w:hAnsi="Cambria"/>
          <w:sz w:val="20"/>
          <w:szCs w:val="20"/>
        </w:rPr>
        <w:t xml:space="preserve">Resolve DID of u</w:t>
      </w:r>
    </w:p>
    <w:p>
      <w:pPr>
        <w:spacing w:after="20"/>
        <w:ind w:left="240" w:hanging="0"/>
      </w:pPr>
      <w:r>
        <w:rPr>
          <w:rFonts w:ascii="Cambria" w:cs="Cambria" w:eastAsia="Cambria" w:hAnsi="Cambria"/>
          <w:color w:val="555555"/>
          <w:sz w:val="17"/>
          <w:szCs w:val="17"/>
        </w:rPr>
        <w:t xml:space="preserve">2:  </w:t>
      </w:r>
      <w:r>
        <w:rPr>
          <w:rFonts w:ascii="Cambria" w:cs="Cambria" w:eastAsia="Cambria" w:hAnsi="Cambria"/>
          <w:b/>
          <w:bCs/>
          <w:sz w:val="20"/>
          <w:szCs w:val="20"/>
        </w:rPr>
        <w:t xml:space="preserve">if</w:t>
      </w:r>
      <w:r>
        <w:rPr>
          <w:rFonts w:ascii="Cambria" w:cs="Cambria" w:eastAsia="Cambria" w:hAnsi="Cambria"/>
          <w:sz w:val="20"/>
          <w:szCs w:val="20"/>
        </w:rPr>
        <w:t xml:space="preserve"> DID resolution fails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3:  </w:t>
      </w:r>
      <w:r>
        <w:rPr>
          <w:rFonts w:ascii="Cambria" w:cs="Cambria" w:eastAsia="Cambria" w:hAnsi="Cambria"/>
          <w:b/>
          <w:bCs/>
          <w:sz w:val="20"/>
          <w:szCs w:val="20"/>
        </w:rPr>
        <w:t xml:space="preserve">return</w:t>
      </w:r>
      <w:r>
        <w:rPr>
          <w:rFonts w:ascii="Cambria" w:cs="Cambria" w:eastAsia="Cambria" w:hAnsi="Cambria"/>
          <w:sz w:val="20"/>
          <w:szCs w:val="20"/>
        </w:rPr>
        <w:t xml:space="preserve"> INVALID</w:t>
      </w:r>
    </w:p>
    <w:p>
      <w:pPr>
        <w:spacing w:after="20"/>
        <w:ind w:left="240" w:hanging="0"/>
      </w:pPr>
      <w:r>
        <w:rPr>
          <w:rFonts w:ascii="Cambria" w:cs="Cambria" w:eastAsia="Cambria" w:hAnsi="Cambria"/>
          <w:color w:val="555555"/>
          <w:sz w:val="17"/>
          <w:szCs w:val="17"/>
        </w:rPr>
        <w:t xml:space="preserve">4: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5:  </w:t>
      </w:r>
      <w:r>
        <w:rPr>
          <w:rFonts w:ascii="Cambria" w:cs="Cambria" w:eastAsia="Cambria" w:hAnsi="Cambria"/>
          <w:sz w:val="20"/>
          <w:szCs w:val="20"/>
        </w:rPr>
        <w:t xml:space="preserve">Verify DID document and associated identity information</w:t>
      </w:r>
    </w:p>
    <w:p>
      <w:pPr>
        <w:spacing w:after="20"/>
        <w:ind w:left="240" w:hanging="0"/>
      </w:pPr>
      <w:r>
        <w:rPr>
          <w:rFonts w:ascii="Cambria" w:cs="Cambria" w:eastAsia="Cambria" w:hAnsi="Cambria"/>
          <w:color w:val="555555"/>
          <w:sz w:val="17"/>
          <w:szCs w:val="17"/>
        </w:rPr>
        <w:t xml:space="preserve">6:  </w:t>
      </w:r>
      <w:r>
        <w:rPr>
          <w:rFonts w:ascii="Cambria" w:cs="Cambria" w:eastAsia="Cambria" w:hAnsi="Cambria"/>
          <w:b/>
          <w:bCs/>
          <w:sz w:val="20"/>
          <w:szCs w:val="20"/>
        </w:rPr>
        <w:t xml:space="preserve">if</w:t>
      </w:r>
      <w:r>
        <w:rPr>
          <w:rFonts w:ascii="Cambria" w:cs="Cambria" w:eastAsia="Cambria" w:hAnsi="Cambria"/>
          <w:sz w:val="20"/>
          <w:szCs w:val="20"/>
        </w:rPr>
        <w:t xml:space="preserve"> DID verification fails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7:  </w:t>
      </w:r>
      <w:r>
        <w:rPr>
          <w:rFonts w:ascii="Cambria" w:cs="Cambria" w:eastAsia="Cambria" w:hAnsi="Cambria"/>
          <w:b/>
          <w:bCs/>
          <w:sz w:val="20"/>
          <w:szCs w:val="20"/>
        </w:rPr>
        <w:t xml:space="preserve">return</w:t>
      </w:r>
      <w:r>
        <w:rPr>
          <w:rFonts w:ascii="Cambria" w:cs="Cambria" w:eastAsia="Cambria" w:hAnsi="Cambria"/>
          <w:sz w:val="20"/>
          <w:szCs w:val="20"/>
        </w:rPr>
        <w:t xml:space="preserve"> INVALID</w:t>
      </w:r>
    </w:p>
    <w:p>
      <w:pPr>
        <w:spacing w:after="20"/>
        <w:ind w:left="240" w:hanging="0"/>
      </w:pPr>
      <w:r>
        <w:rPr>
          <w:rFonts w:ascii="Cambria" w:cs="Cambria" w:eastAsia="Cambria" w:hAnsi="Cambria"/>
          <w:color w:val="555555"/>
          <w:sz w:val="17"/>
          <w:szCs w:val="17"/>
        </w:rPr>
        <w:t xml:space="preserve">8: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9:  </w:t>
      </w:r>
      <w:r>
        <w:rPr>
          <w:rFonts w:ascii="Cambria" w:cs="Cambria" w:eastAsia="Cambria" w:hAnsi="Cambria"/>
          <w:sz w:val="20"/>
          <w:szCs w:val="20"/>
        </w:rPr>
        <w:t xml:space="preserve">Retrieve VC associated with u</w:t>
      </w:r>
    </w:p>
    <w:p>
      <w:pPr>
        <w:spacing w:after="20"/>
        <w:ind w:left="240" w:hanging="0"/>
      </w:pPr>
      <w:r>
        <w:rPr>
          <w:rFonts w:ascii="Cambria" w:cs="Cambria" w:eastAsia="Cambria" w:hAnsi="Cambria"/>
          <w:color w:val="555555"/>
          <w:sz w:val="17"/>
          <w:szCs w:val="17"/>
        </w:rPr>
        <w:t xml:space="preserve">10:  </w:t>
      </w:r>
      <w:r>
        <w:rPr>
          <w:rFonts w:ascii="Cambria" w:cs="Cambria" w:eastAsia="Cambria" w:hAnsi="Cambria"/>
          <w:b/>
          <w:bCs/>
          <w:sz w:val="20"/>
          <w:szCs w:val="20"/>
        </w:rPr>
        <w:t xml:space="preserve">if</w:t>
      </w:r>
      <w:r>
        <w:rPr>
          <w:rFonts w:ascii="Cambria" w:cs="Cambria" w:eastAsia="Cambria" w:hAnsi="Cambria"/>
          <w:sz w:val="20"/>
          <w:szCs w:val="20"/>
        </w:rPr>
        <w:t xml:space="preserve"> VC retrieval fails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11:  </w:t>
      </w:r>
      <w:r>
        <w:rPr>
          <w:rFonts w:ascii="Cambria" w:cs="Cambria" w:eastAsia="Cambria" w:hAnsi="Cambria"/>
          <w:b/>
          <w:bCs/>
          <w:sz w:val="20"/>
          <w:szCs w:val="20"/>
        </w:rPr>
        <w:t xml:space="preserve">return</w:t>
      </w:r>
      <w:r>
        <w:rPr>
          <w:rFonts w:ascii="Cambria" w:cs="Cambria" w:eastAsia="Cambria" w:hAnsi="Cambria"/>
          <w:sz w:val="20"/>
          <w:szCs w:val="20"/>
        </w:rPr>
        <w:t xml:space="preserve"> INVALID</w:t>
      </w:r>
    </w:p>
    <w:p>
      <w:pPr>
        <w:spacing w:after="20"/>
        <w:ind w:left="240" w:hanging="0"/>
      </w:pPr>
      <w:r>
        <w:rPr>
          <w:rFonts w:ascii="Cambria" w:cs="Cambria" w:eastAsia="Cambria" w:hAnsi="Cambria"/>
          <w:color w:val="555555"/>
          <w:sz w:val="17"/>
          <w:szCs w:val="17"/>
        </w:rPr>
        <w:t xml:space="preserve">12: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13:  </w:t>
      </w:r>
      <w:r>
        <w:rPr>
          <w:rFonts w:ascii="Cambria" w:cs="Cambria" w:eastAsia="Cambria" w:hAnsi="Cambria"/>
          <w:sz w:val="20"/>
          <w:szCs w:val="20"/>
        </w:rPr>
        <w:t xml:space="preserve">Verify VC signature, issuer, subject, and validity</w:t>
      </w:r>
    </w:p>
    <w:p>
      <w:pPr>
        <w:spacing w:after="20"/>
        <w:ind w:left="240" w:hanging="0"/>
      </w:pPr>
      <w:r>
        <w:rPr>
          <w:rFonts w:ascii="Cambria" w:cs="Cambria" w:eastAsia="Cambria" w:hAnsi="Cambria"/>
          <w:color w:val="555555"/>
          <w:sz w:val="17"/>
          <w:szCs w:val="17"/>
        </w:rPr>
        <w:t xml:space="preserve">14:  </w:t>
      </w:r>
      <w:r>
        <w:rPr>
          <w:rFonts w:ascii="Cambria" w:cs="Cambria" w:eastAsia="Cambria" w:hAnsi="Cambria"/>
          <w:b/>
          <w:bCs/>
          <w:sz w:val="20"/>
          <w:szCs w:val="20"/>
        </w:rPr>
        <w:t xml:space="preserve">if</w:t>
      </w:r>
      <w:r>
        <w:rPr>
          <w:rFonts w:ascii="Cambria" w:cs="Cambria" w:eastAsia="Cambria" w:hAnsi="Cambria"/>
          <w:sz w:val="20"/>
          <w:szCs w:val="20"/>
        </w:rPr>
        <w:t xml:space="preserve"> VC verification fails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15:  </w:t>
      </w:r>
      <w:r>
        <w:rPr>
          <w:rFonts w:ascii="Cambria" w:cs="Cambria" w:eastAsia="Cambria" w:hAnsi="Cambria"/>
          <w:b/>
          <w:bCs/>
          <w:sz w:val="20"/>
          <w:szCs w:val="20"/>
        </w:rPr>
        <w:t xml:space="preserve">return</w:t>
      </w:r>
      <w:r>
        <w:rPr>
          <w:rFonts w:ascii="Cambria" w:cs="Cambria" w:eastAsia="Cambria" w:hAnsi="Cambria"/>
          <w:sz w:val="20"/>
          <w:szCs w:val="20"/>
        </w:rPr>
        <w:t xml:space="preserve"> INVALID</w:t>
      </w:r>
    </w:p>
    <w:p>
      <w:pPr>
        <w:spacing w:after="20"/>
        <w:ind w:left="240" w:hanging="0"/>
      </w:pPr>
      <w:r>
        <w:rPr>
          <w:rFonts w:ascii="Cambria" w:cs="Cambria" w:eastAsia="Cambria" w:hAnsi="Cambria"/>
          <w:color w:val="555555"/>
          <w:sz w:val="17"/>
          <w:szCs w:val="17"/>
        </w:rPr>
        <w:t xml:space="preserve">16: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17:  </w:t>
      </w:r>
      <w:r>
        <w:rPr>
          <w:rFonts w:ascii="Cambria" w:cs="Cambria" w:eastAsia="Cambria" w:hAnsi="Cambria"/>
          <w:sz w:val="20"/>
          <w:szCs w:val="20"/>
        </w:rPr>
        <w:t xml:space="preserve">Extract role and authority claims from VC</w:t>
      </w:r>
    </w:p>
    <w:p>
      <w:pPr>
        <w:spacing w:after="20"/>
        <w:ind w:left="240" w:hanging="0"/>
      </w:pPr>
      <w:r>
        <w:rPr>
          <w:rFonts w:ascii="Cambria" w:cs="Cambria" w:eastAsia="Cambria" w:hAnsi="Cambria"/>
          <w:color w:val="555555"/>
          <w:sz w:val="17"/>
          <w:szCs w:val="17"/>
        </w:rPr>
        <w:t xml:space="preserve">18:  </w:t>
      </w:r>
      <w:r>
        <w:rPr>
          <w:rFonts w:ascii="Cambria" w:cs="Cambria" w:eastAsia="Cambria" w:hAnsi="Cambria"/>
          <w:b/>
          <w:bCs/>
          <w:sz w:val="20"/>
          <w:szCs w:val="20"/>
        </w:rPr>
        <w:t xml:space="preserve">if</w:t>
      </w:r>
      <w:r>
        <w:rPr>
          <w:rFonts w:ascii="Cambria" w:cs="Cambria" w:eastAsia="Cambria" w:hAnsi="Cambria"/>
          <w:sz w:val="20"/>
          <w:szCs w:val="20"/>
        </w:rPr>
        <w:t xml:space="preserve"> claims do not satisfy the authority requirements of C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19:  </w:t>
      </w:r>
      <w:r>
        <w:rPr>
          <w:rFonts w:ascii="Cambria" w:cs="Cambria" w:eastAsia="Cambria" w:hAnsi="Cambria"/>
          <w:b/>
          <w:bCs/>
          <w:sz w:val="20"/>
          <w:szCs w:val="20"/>
        </w:rPr>
        <w:t xml:space="preserve">return</w:t>
      </w:r>
      <w:r>
        <w:rPr>
          <w:rFonts w:ascii="Cambria" w:cs="Cambria" w:eastAsia="Cambria" w:hAnsi="Cambria"/>
          <w:sz w:val="20"/>
          <w:szCs w:val="20"/>
        </w:rPr>
        <w:t xml:space="preserve"> INVALID</w:t>
      </w:r>
    </w:p>
    <w:p>
      <w:pPr>
        <w:spacing w:after="20"/>
        <w:ind w:left="240" w:hanging="0"/>
      </w:pPr>
      <w:r>
        <w:rPr>
          <w:rFonts w:ascii="Cambria" w:cs="Cambria" w:eastAsia="Cambria" w:hAnsi="Cambria"/>
          <w:color w:val="555555"/>
          <w:sz w:val="17"/>
          <w:szCs w:val="17"/>
        </w:rPr>
        <w:t xml:space="preserve">20: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21:  </w:t>
      </w:r>
      <w:r>
        <w:rPr>
          <w:rFonts w:ascii="Cambria" w:cs="Cambria" w:eastAsia="Cambria" w:hAnsi="Cambria"/>
          <w:sz w:val="20"/>
          <w:szCs w:val="20"/>
        </w:rPr>
        <w:t xml:space="preserve">Record identity and authority verification evidence</w:t>
      </w:r>
    </w:p>
    <w:p>
      <w:pPr>
        <w:pBdr>
          <w:bottom w:val="single" w:color="000000" w:sz="12"/>
        </w:pBdr>
        <w:spacing w:after="60"/>
        <w:ind w:left="240" w:hanging="0"/>
      </w:pPr>
      <w:r>
        <w:rPr>
          <w:rFonts w:ascii="Cambria" w:cs="Cambria" w:eastAsia="Cambria" w:hAnsi="Cambria"/>
          <w:color w:val="555555"/>
          <w:sz w:val="17"/>
          <w:szCs w:val="17"/>
        </w:rPr>
        <w:t xml:space="preserve">22:  </w:t>
      </w:r>
      <w:r>
        <w:rPr>
          <w:rFonts w:ascii="Cambria" w:cs="Cambria" w:eastAsia="Cambria" w:hAnsi="Cambria"/>
          <w:b/>
          <w:bCs/>
          <w:sz w:val="20"/>
          <w:szCs w:val="20"/>
        </w:rPr>
        <w:t xml:space="preserve">return</w:t>
      </w:r>
      <w:r>
        <w:rPr>
          <w:rFonts w:ascii="Cambria" w:cs="Cambria" w:eastAsia="Cambria" w:hAnsi="Cambria"/>
          <w:sz w:val="20"/>
          <w:szCs w:val="20"/>
        </w:rPr>
        <w:t xml:space="preserve"> VALID</w:t>
      </w:r>
    </w:p>
    <w:p>
      <w:pPr>
        <w:spacing w:after="160"/>
      </w:pPr>
    </w:p>
    <w:p>
      <w:pPr>
        <w:keepNext/>
        <w:spacing w:after="60" w:before="120"/>
        <w:jc w:val="center"/>
      </w:pPr>
      <w:r>
        <w:drawing>
          <wp:inline distT="0" distB="0" distL="0" distR="0">
            <wp:extent cx="5143500" cy="1847850"/>
            <wp:effectExtent t="0" r="0" b="0" l="0"/>
            <wp:docPr id="1" name="n_guardA" descr="The guardian subsystem at the first approval: the EIP-712 signature of did:parent:A is verified and the multi-signature count is 1/2." title="n_guar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180"/>
        <w:jc w:val="center"/>
      </w:pPr>
      <w:r>
        <w:rPr>
          <w:i/>
          <w:iCs/>
          <w:sz w:val="19"/>
          <w:szCs w:val="19"/>
        </w:rPr>
        <w:t xml:space="preserve">The guardian subsystem at the first approval: the EIP-712 signature of did:parent:A is verified and the multi-signature count is 1/2.</w:t>
      </w:r>
    </w:p>
    <w:p>
      <w:pPr>
        <w:spacing w:after="160" w:line="300"/>
        <w:jc w:val="both"/>
      </w:pPr>
      <w: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spacing w:after="160" w:line="300"/>
        <w:jc w:val="both"/>
      </w:pPr>
      <w: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pStyle w:val="Heading1"/>
        <w:spacing w:after="180" w:before="340"/>
      </w:pPr>
      <w:r>
        <w:t xml:space="preserve">8. The Proposed Solution for RQ3</w:t>
      </w:r>
    </w:p>
    <w:p>
      <w:pPr>
        <w:spacing w:after="160" w:before="60"/>
      </w:pPr>
      <w:r>
        <w:rPr>
          <w:b/>
          <w:bCs/>
          <w:sz w:val="24"/>
          <w:szCs w:val="24"/>
        </w:rPr>
        <w:t xml:space="preserve">Status: </w:t>
      </w:r>
      <w:r>
        <w:rPr>
          <w:b/>
          <w:bCs/>
          <w:color w:val="1F7A1F"/>
          <w:sz w:val="24"/>
          <w:szCs w:val="24"/>
        </w:rPr>
        <w:t xml:space="preserve">Done</w:t>
      </w:r>
    </w:p>
    <w:p>
      <w:pPr>
        <w:spacing w:after="160" w:line="300"/>
        <w:jc w:val="both"/>
      </w:pPr>
      <w: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A_v denote the set of valid approvals and let N denote the required authorisation threshold. The threshold condition is defined as</w:t>
      </w:r>
    </w:p>
    <w:p>
      <w:pPr>
        <w:spacing w:after="160" w:before="80"/>
        <w:jc w:val="center"/>
      </w:pPr>
      <w:r>
        <w:rPr>
          <w:rFonts w:ascii="Cambria Math" w:cs="Cambria Math" w:eastAsia="Cambria Math" w:hAnsi="Cambria Math"/>
          <w:i/>
          <w:iCs/>
          <w:sz w:val="22"/>
          <w:szCs w:val="22"/>
        </w:rPr>
        <w:t xml:space="preserve">V_A(C) = 1, |A_v| ≥ N; 0, |A_v| &lt; N.</w:t>
      </w:r>
    </w:p>
    <w:p>
      <w:pPr>
        <w:spacing w:after="160" w:line="300"/>
        <w:jc w:val="both"/>
      </w:pPr>
      <w:r>
        <w:t xml:space="preserve">Algorithm 3 explicitly distinguishes between invalid, duplicate, and valid approvals. This distinction is important because simply counting submitted signatures could incorrectly treat unauthorised or repeated approvals as independent evidence.</w:t>
      </w:r>
    </w:p>
    <w:p>
      <w:pPr>
        <w:spacing w:after="160" w:line="300"/>
        <w:jc w:val="both"/>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00"/>
      </w:pPr>
      <w:r>
        <w:rPr>
          <w:rFonts w:ascii="Cambria" w:cs="Cambria" w:eastAsia="Cambria" w:hAnsi="Cambria"/>
          <w:b/>
          <w:bCs/>
          <w:sz w:val="20"/>
          <w:szCs w:val="20"/>
        </w:rPr>
        <w:t xml:space="preserve">Algorithm 3 </w:t>
      </w:r>
      <w:r>
        <w:rPr>
          <w:rFonts w:ascii="Cambria" w:cs="Cambria" w:eastAsia="Cambria" w:hAnsi="Cambria"/>
          <w:sz w:val="20"/>
          <w:szCs w:val="20"/>
        </w:rPr>
        <w:t xml:space="preserve">Threshold-Based Multi-Party Authorisation</w:t>
      </w:r>
    </w:p>
    <w:p>
      <w:pPr>
        <w:spacing w:after="20"/>
      </w:pPr>
      <w:r>
        <w:rPr>
          <w:rFonts w:ascii="Cambria" w:cs="Cambria" w:eastAsia="Cambria" w:hAnsi="Cambria"/>
          <w:b/>
          <w:bCs/>
          <w:sz w:val="20"/>
          <w:szCs w:val="20"/>
        </w:rPr>
        <w:t xml:space="preserve">Require: </w:t>
      </w:r>
      <w:r>
        <w:rPr>
          <w:rFonts w:ascii="Cambria" w:cs="Cambria" w:eastAsia="Cambria" w:hAnsi="Cambria"/>
          <w:sz w:val="20"/>
          <w:szCs w:val="20"/>
        </w:rPr>
        <w:t xml:space="preserve">Consent object C, participant approval a, threshold N</w:t>
      </w:r>
    </w:p>
    <w:p>
      <w:pPr>
        <w:spacing w:after="40"/>
      </w:pPr>
      <w:r>
        <w:rPr>
          <w:rFonts w:ascii="Cambria" w:cs="Cambria" w:eastAsia="Cambria" w:hAnsi="Cambria"/>
          <w:b/>
          <w:bCs/>
          <w:sz w:val="20"/>
          <w:szCs w:val="20"/>
        </w:rPr>
        <w:t xml:space="preserve">Ensure: </w:t>
      </w:r>
      <w:r>
        <w:rPr>
          <w:rFonts w:ascii="Cambria" w:cs="Cambria" w:eastAsia="Cambria" w:hAnsi="Cambria"/>
          <w:sz w:val="20"/>
          <w:szCs w:val="20"/>
        </w:rPr>
        <w:t xml:space="preserve">Authorisation result</w:t>
      </w:r>
    </w:p>
    <w:p>
      <w:pPr>
        <w:spacing w:after="20"/>
        <w:ind w:left="240" w:hanging="0"/>
      </w:pPr>
      <w:r>
        <w:rPr>
          <w:rFonts w:ascii="Cambria" w:cs="Cambria" w:eastAsia="Cambria" w:hAnsi="Cambria"/>
          <w:color w:val="555555"/>
          <w:sz w:val="17"/>
          <w:szCs w:val="17"/>
        </w:rPr>
        <w:t xml:space="preserve">1:  </w:t>
      </w:r>
      <w:r>
        <w:rPr>
          <w:rFonts w:ascii="Cambria" w:cs="Cambria" w:eastAsia="Cambria" w:hAnsi="Cambria"/>
          <w:sz w:val="20"/>
          <w:szCs w:val="20"/>
        </w:rPr>
        <w:t xml:space="preserve">Retrieve required participant set G</w:t>
      </w:r>
    </w:p>
    <w:p>
      <w:pPr>
        <w:spacing w:after="20"/>
        <w:ind w:left="240" w:hanging="0"/>
      </w:pPr>
      <w:r>
        <w:rPr>
          <w:rFonts w:ascii="Cambria" w:cs="Cambria" w:eastAsia="Cambria" w:hAnsi="Cambria"/>
          <w:color w:val="555555"/>
          <w:sz w:val="17"/>
          <w:szCs w:val="17"/>
        </w:rPr>
        <w:t xml:space="preserve">2:  </w:t>
      </w:r>
      <w:r>
        <w:rPr>
          <w:rFonts w:ascii="Cambria" w:cs="Cambria" w:eastAsia="Cambria" w:hAnsi="Cambria"/>
          <w:sz w:val="20"/>
          <w:szCs w:val="20"/>
        </w:rPr>
        <w:t xml:space="preserve">Verify identity and authority of participant submitting a</w:t>
      </w:r>
    </w:p>
    <w:p>
      <w:pPr>
        <w:spacing w:after="20"/>
        <w:ind w:left="240" w:hanging="0"/>
      </w:pPr>
      <w:r>
        <w:rPr>
          <w:rFonts w:ascii="Cambria" w:cs="Cambria" w:eastAsia="Cambria" w:hAnsi="Cambria"/>
          <w:color w:val="555555"/>
          <w:sz w:val="17"/>
          <w:szCs w:val="17"/>
        </w:rPr>
        <w:t xml:space="preserve">3:  </w:t>
      </w:r>
      <w:r>
        <w:rPr>
          <w:rFonts w:ascii="Cambria" w:cs="Cambria" w:eastAsia="Cambria" w:hAnsi="Cambria"/>
          <w:b/>
          <w:bCs/>
          <w:sz w:val="20"/>
          <w:szCs w:val="20"/>
        </w:rPr>
        <w:t xml:space="preserve">if</w:t>
      </w:r>
      <w:r>
        <w:rPr>
          <w:rFonts w:ascii="Cambria" w:cs="Cambria" w:eastAsia="Cambria" w:hAnsi="Cambria"/>
          <w:sz w:val="20"/>
          <w:szCs w:val="20"/>
        </w:rPr>
        <w:t xml:space="preserve"> verification fails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4:  </w:t>
      </w:r>
      <w:r>
        <w:rPr>
          <w:rFonts w:ascii="Cambria" w:cs="Cambria" w:eastAsia="Cambria" w:hAnsi="Cambria"/>
          <w:sz w:val="20"/>
          <w:szCs w:val="20"/>
        </w:rPr>
        <w:t xml:space="preserve">Record invalid approval</w:t>
      </w:r>
    </w:p>
    <w:p>
      <w:pPr>
        <w:spacing w:after="20"/>
        <w:ind w:left="600" w:hanging="0"/>
      </w:pPr>
      <w:r>
        <w:rPr>
          <w:rFonts w:ascii="Cambria" w:cs="Cambria" w:eastAsia="Cambria" w:hAnsi="Cambria"/>
          <w:color w:val="555555"/>
          <w:sz w:val="17"/>
          <w:szCs w:val="17"/>
        </w:rPr>
        <w:t xml:space="preserve">5:  </w:t>
      </w:r>
      <w:r>
        <w:rPr>
          <w:rFonts w:ascii="Cambria" w:cs="Cambria" w:eastAsia="Cambria" w:hAnsi="Cambria"/>
          <w:b/>
          <w:bCs/>
          <w:sz w:val="20"/>
          <w:szCs w:val="20"/>
        </w:rPr>
        <w:t xml:space="preserve">return</w:t>
      </w:r>
      <w:r>
        <w:rPr>
          <w:rFonts w:ascii="Cambria" w:cs="Cambria" w:eastAsia="Cambria" w:hAnsi="Cambria"/>
          <w:sz w:val="20"/>
          <w:szCs w:val="20"/>
        </w:rPr>
        <w:t xml:space="preserve"> DENY</w:t>
      </w:r>
    </w:p>
    <w:p>
      <w:pPr>
        <w:spacing w:after="20"/>
        <w:ind w:left="240" w:hanging="0"/>
      </w:pPr>
      <w:r>
        <w:rPr>
          <w:rFonts w:ascii="Cambria" w:cs="Cambria" w:eastAsia="Cambria" w:hAnsi="Cambria"/>
          <w:color w:val="555555"/>
          <w:sz w:val="17"/>
          <w:szCs w:val="17"/>
        </w:rPr>
        <w:t xml:space="preserve">6: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7:  </w:t>
      </w:r>
      <w:r>
        <w:rPr>
          <w:rFonts w:ascii="Cambria" w:cs="Cambria" w:eastAsia="Cambria" w:hAnsi="Cambria"/>
          <w:b/>
          <w:bCs/>
          <w:sz w:val="20"/>
          <w:szCs w:val="20"/>
        </w:rPr>
        <w:t xml:space="preserve">if</w:t>
      </w:r>
      <w:r>
        <w:rPr>
          <w:rFonts w:ascii="Cambria" w:cs="Cambria" w:eastAsia="Cambria" w:hAnsi="Cambria"/>
          <w:sz w:val="20"/>
          <w:szCs w:val="20"/>
        </w:rPr>
        <w:t xml:space="preserve"> participant is not in G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8:  </w:t>
      </w:r>
      <w:r>
        <w:rPr>
          <w:rFonts w:ascii="Cambria" w:cs="Cambria" w:eastAsia="Cambria" w:hAnsi="Cambria"/>
          <w:sz w:val="20"/>
          <w:szCs w:val="20"/>
        </w:rPr>
        <w:t xml:space="preserve">Record unauthorised approval attempt</w:t>
      </w:r>
    </w:p>
    <w:p>
      <w:pPr>
        <w:spacing w:after="20"/>
        <w:ind w:left="600" w:hanging="0"/>
      </w:pPr>
      <w:r>
        <w:rPr>
          <w:rFonts w:ascii="Cambria" w:cs="Cambria" w:eastAsia="Cambria" w:hAnsi="Cambria"/>
          <w:color w:val="555555"/>
          <w:sz w:val="17"/>
          <w:szCs w:val="17"/>
        </w:rPr>
        <w:t xml:space="preserve">9:  </w:t>
      </w:r>
      <w:r>
        <w:rPr>
          <w:rFonts w:ascii="Cambria" w:cs="Cambria" w:eastAsia="Cambria" w:hAnsi="Cambria"/>
          <w:b/>
          <w:bCs/>
          <w:sz w:val="20"/>
          <w:szCs w:val="20"/>
        </w:rPr>
        <w:t xml:space="preserve">return</w:t>
      </w:r>
      <w:r>
        <w:rPr>
          <w:rFonts w:ascii="Cambria" w:cs="Cambria" w:eastAsia="Cambria" w:hAnsi="Cambria"/>
          <w:sz w:val="20"/>
          <w:szCs w:val="20"/>
        </w:rPr>
        <w:t xml:space="preserve"> DENY</w:t>
      </w:r>
    </w:p>
    <w:p>
      <w:pPr>
        <w:spacing w:after="20"/>
        <w:ind w:left="240" w:hanging="0"/>
      </w:pPr>
      <w:r>
        <w:rPr>
          <w:rFonts w:ascii="Cambria" w:cs="Cambria" w:eastAsia="Cambria" w:hAnsi="Cambria"/>
          <w:color w:val="555555"/>
          <w:sz w:val="17"/>
          <w:szCs w:val="17"/>
        </w:rPr>
        <w:t xml:space="preserve">10: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11:  </w:t>
      </w:r>
      <w:r>
        <w:rPr>
          <w:rFonts w:ascii="Cambria" w:cs="Cambria" w:eastAsia="Cambria" w:hAnsi="Cambria"/>
          <w:b/>
          <w:bCs/>
          <w:sz w:val="20"/>
          <w:szCs w:val="20"/>
        </w:rPr>
        <w:t xml:space="preserve">if</w:t>
      </w:r>
      <w:r>
        <w:rPr>
          <w:rFonts w:ascii="Cambria" w:cs="Cambria" w:eastAsia="Cambria" w:hAnsi="Cambria"/>
          <w:sz w:val="20"/>
          <w:szCs w:val="20"/>
        </w:rPr>
        <w:t xml:space="preserve"> participant has already approved C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12:  </w:t>
      </w:r>
      <w:r>
        <w:rPr>
          <w:rFonts w:ascii="Cambria" w:cs="Cambria" w:eastAsia="Cambria" w:hAnsi="Cambria"/>
          <w:sz w:val="20"/>
          <w:szCs w:val="20"/>
        </w:rPr>
        <w:t xml:space="preserve">Record duplicate approval</w:t>
      </w:r>
    </w:p>
    <w:p>
      <w:pPr>
        <w:spacing w:after="20"/>
        <w:ind w:left="600" w:hanging="0"/>
      </w:pPr>
      <w:r>
        <w:rPr>
          <w:rFonts w:ascii="Cambria" w:cs="Cambria" w:eastAsia="Cambria" w:hAnsi="Cambria"/>
          <w:color w:val="555555"/>
          <w:sz w:val="17"/>
          <w:szCs w:val="17"/>
        </w:rPr>
        <w:t xml:space="preserve">13:  </w:t>
      </w:r>
      <w:r>
        <w:rPr>
          <w:rFonts w:ascii="Cambria" w:cs="Cambria" w:eastAsia="Cambria" w:hAnsi="Cambria"/>
          <w:b/>
          <w:bCs/>
          <w:sz w:val="20"/>
          <w:szCs w:val="20"/>
        </w:rPr>
        <w:t xml:space="preserve">return</w:t>
      </w:r>
      <w:r>
        <w:rPr>
          <w:rFonts w:ascii="Cambria" w:cs="Cambria" w:eastAsia="Cambria" w:hAnsi="Cambria"/>
          <w:sz w:val="20"/>
          <w:szCs w:val="20"/>
        </w:rPr>
        <w:t xml:space="preserve"> DENY</w:t>
      </w:r>
    </w:p>
    <w:p>
      <w:pPr>
        <w:spacing w:after="20"/>
        <w:ind w:left="240" w:hanging="0"/>
      </w:pPr>
      <w:r>
        <w:rPr>
          <w:rFonts w:ascii="Cambria" w:cs="Cambria" w:eastAsia="Cambria" w:hAnsi="Cambria"/>
          <w:color w:val="555555"/>
          <w:sz w:val="17"/>
          <w:szCs w:val="17"/>
        </w:rPr>
        <w:t xml:space="preserve">14:  </w:t>
      </w:r>
      <w:r>
        <w:rPr>
          <w:rFonts w:ascii="Cambria" w:cs="Cambria" w:eastAsia="Cambria" w:hAnsi="Cambria"/>
          <w:b/>
          <w:bCs/>
          <w:sz w:val="20"/>
          <w:szCs w:val="20"/>
        </w:rPr>
        <w:t xml:space="preserve">end if</w:t>
      </w:r>
    </w:p>
    <w:p>
      <w:pPr>
        <w:spacing w:after="20"/>
        <w:ind w:left="240" w:hanging="0"/>
      </w:pPr>
      <w:r>
        <w:rPr>
          <w:rFonts w:ascii="Cambria" w:cs="Cambria" w:eastAsia="Cambria" w:hAnsi="Cambria"/>
          <w:color w:val="555555"/>
          <w:sz w:val="17"/>
          <w:szCs w:val="17"/>
        </w:rPr>
        <w:t xml:space="preserve">15:  </w:t>
      </w:r>
      <w:r>
        <w:rPr>
          <w:rFonts w:ascii="Cambria" w:cs="Cambria" w:eastAsia="Cambria" w:hAnsi="Cambria"/>
          <w:sz w:val="20"/>
          <w:szCs w:val="20"/>
        </w:rPr>
        <w:t xml:space="preserve">Record valid approval a</w:t>
      </w:r>
    </w:p>
    <w:p>
      <w:pPr>
        <w:spacing w:after="20"/>
        <w:ind w:left="240" w:hanging="0"/>
      </w:pPr>
      <w:r>
        <w:rPr>
          <w:rFonts w:ascii="Cambria" w:cs="Cambria" w:eastAsia="Cambria" w:hAnsi="Cambria"/>
          <w:color w:val="555555"/>
          <w:sz w:val="17"/>
          <w:szCs w:val="17"/>
        </w:rPr>
        <w:t xml:space="preserve">16:  </w:t>
      </w:r>
      <w:r>
        <w:rPr>
          <w:rFonts w:ascii="Cambria" w:cs="Cambria" w:eastAsia="Cambria" w:hAnsi="Cambria"/>
          <w:sz w:val="20"/>
          <w:szCs w:val="20"/>
        </w:rPr>
        <w:t xml:space="preserve">Update valid approval set A</w:t>
      </w:r>
      <w:r>
        <w:rPr>
          <w:rFonts w:ascii="Cambria" w:cs="Cambria" w:eastAsia="Cambria" w:hAnsi="Cambria"/>
          <w:sz w:val="20"/>
          <w:szCs w:val="20"/>
          <w:vertAlign w:val="subscript"/>
        </w:rPr>
        <w:t xml:space="preserve">v</w:t>
      </w:r>
    </w:p>
    <w:p>
      <w:pPr>
        <w:spacing w:after="20"/>
        <w:ind w:left="240" w:hanging="0"/>
      </w:pPr>
      <w:r>
        <w:rPr>
          <w:rFonts w:ascii="Cambria" w:cs="Cambria" w:eastAsia="Cambria" w:hAnsi="Cambria"/>
          <w:color w:val="555555"/>
          <w:sz w:val="17"/>
          <w:szCs w:val="17"/>
        </w:rPr>
        <w:t xml:space="preserve">17:  </w:t>
      </w:r>
      <w:r>
        <w:rPr>
          <w:rFonts w:ascii="Cambria" w:cs="Cambria" w:eastAsia="Cambria" w:hAnsi="Cambria"/>
          <w:b/>
          <w:bCs/>
          <w:sz w:val="20"/>
          <w:szCs w:val="20"/>
        </w:rPr>
        <w:t xml:space="preserve">if</w:t>
      </w:r>
      <w:r>
        <w:rPr>
          <w:rFonts w:ascii="Cambria" w:cs="Cambria" w:eastAsia="Cambria" w:hAnsi="Cambria"/>
          <w:sz w:val="20"/>
          <w:szCs w:val="20"/>
        </w:rPr>
        <w:t xml:space="preserve"> |A</w:t>
      </w:r>
      <w:r>
        <w:rPr>
          <w:rFonts w:ascii="Cambria" w:cs="Cambria" w:eastAsia="Cambria" w:hAnsi="Cambria"/>
          <w:sz w:val="20"/>
          <w:szCs w:val="20"/>
          <w:vertAlign w:val="subscript"/>
        </w:rPr>
        <w:t xml:space="preserve">v</w:t>
      </w:r>
      <w:r>
        <w:rPr>
          <w:rFonts w:ascii="Cambria" w:cs="Cambria" w:eastAsia="Cambria" w:hAnsi="Cambria"/>
          <w:sz w:val="20"/>
          <w:szCs w:val="20"/>
        </w:rPr>
        <w:t xml:space="preserve">| ≥ N </w:t>
      </w:r>
      <w:r>
        <w:rPr>
          <w:rFonts w:ascii="Cambria" w:cs="Cambria" w:eastAsia="Cambria" w:hAnsi="Cambria"/>
          <w:b/>
          <w:bCs/>
          <w:sz w:val="20"/>
          <w:szCs w:val="20"/>
        </w:rPr>
        <w:t xml:space="preserve">then</w:t>
      </w:r>
    </w:p>
    <w:p>
      <w:pPr>
        <w:spacing w:after="20"/>
        <w:ind w:left="600" w:hanging="0"/>
      </w:pPr>
      <w:r>
        <w:rPr>
          <w:rFonts w:ascii="Cambria" w:cs="Cambria" w:eastAsia="Cambria" w:hAnsi="Cambria"/>
          <w:color w:val="555555"/>
          <w:sz w:val="17"/>
          <w:szCs w:val="17"/>
        </w:rPr>
        <w:t xml:space="preserve">18:  </w:t>
      </w:r>
      <w:r>
        <w:rPr>
          <w:rFonts w:ascii="Cambria" w:cs="Cambria" w:eastAsia="Cambria" w:hAnsi="Cambria"/>
          <w:sz w:val="20"/>
          <w:szCs w:val="20"/>
        </w:rPr>
        <w:t xml:space="preserve">Activate authorisation</w:t>
      </w:r>
    </w:p>
    <w:p>
      <w:pPr>
        <w:spacing w:after="20"/>
        <w:ind w:left="600" w:hanging="0"/>
      </w:pPr>
      <w:r>
        <w:rPr>
          <w:rFonts w:ascii="Cambria" w:cs="Cambria" w:eastAsia="Cambria" w:hAnsi="Cambria"/>
          <w:color w:val="555555"/>
          <w:sz w:val="17"/>
          <w:szCs w:val="17"/>
        </w:rPr>
        <w:t xml:space="preserve">19:  </w:t>
      </w:r>
      <w:r>
        <w:rPr>
          <w:rFonts w:ascii="Cambria" w:cs="Cambria" w:eastAsia="Cambria" w:hAnsi="Cambria"/>
          <w:sz w:val="20"/>
          <w:szCs w:val="20"/>
        </w:rPr>
        <w:t xml:space="preserve">Generate activation or token evidence</w:t>
      </w:r>
    </w:p>
    <w:p>
      <w:pPr>
        <w:spacing w:after="20"/>
        <w:ind w:left="600" w:hanging="0"/>
      </w:pPr>
      <w:r>
        <w:rPr>
          <w:rFonts w:ascii="Cambria" w:cs="Cambria" w:eastAsia="Cambria" w:hAnsi="Cambria"/>
          <w:color w:val="555555"/>
          <w:sz w:val="17"/>
          <w:szCs w:val="17"/>
        </w:rPr>
        <w:t xml:space="preserve">20:  </w:t>
      </w:r>
      <w:r>
        <w:rPr>
          <w:rFonts w:ascii="Cambria" w:cs="Cambria" w:eastAsia="Cambria" w:hAnsi="Cambria"/>
          <w:sz w:val="20"/>
          <w:szCs w:val="20"/>
        </w:rPr>
        <w:t xml:space="preserve">Record threshold-satisfied event</w:t>
      </w:r>
    </w:p>
    <w:p>
      <w:pPr>
        <w:spacing w:after="20"/>
        <w:ind w:left="600" w:hanging="0"/>
      </w:pPr>
      <w:r>
        <w:rPr>
          <w:rFonts w:ascii="Cambria" w:cs="Cambria" w:eastAsia="Cambria" w:hAnsi="Cambria"/>
          <w:color w:val="555555"/>
          <w:sz w:val="17"/>
          <w:szCs w:val="17"/>
        </w:rPr>
        <w:t xml:space="preserve">21:  </w:t>
      </w:r>
      <w:r>
        <w:rPr>
          <w:rFonts w:ascii="Cambria" w:cs="Cambria" w:eastAsia="Cambria" w:hAnsi="Cambria"/>
          <w:b/>
          <w:bCs/>
          <w:sz w:val="20"/>
          <w:szCs w:val="20"/>
        </w:rPr>
        <w:t xml:space="preserve">return</w:t>
      </w:r>
      <w:r>
        <w:rPr>
          <w:rFonts w:ascii="Cambria" w:cs="Cambria" w:eastAsia="Cambria" w:hAnsi="Cambria"/>
          <w:sz w:val="20"/>
          <w:szCs w:val="20"/>
        </w:rPr>
        <w:t xml:space="preserve"> ALLOW</w:t>
      </w:r>
    </w:p>
    <w:p>
      <w:pPr>
        <w:spacing w:after="20"/>
        <w:ind w:left="240" w:hanging="0"/>
      </w:pPr>
      <w:r>
        <w:rPr>
          <w:rFonts w:ascii="Cambria" w:cs="Cambria" w:eastAsia="Cambria" w:hAnsi="Cambria"/>
          <w:color w:val="555555"/>
          <w:sz w:val="17"/>
          <w:szCs w:val="17"/>
        </w:rPr>
        <w:t xml:space="preserve">22:  </w:t>
      </w:r>
      <w:r>
        <w:rPr>
          <w:rFonts w:ascii="Cambria" w:cs="Cambria" w:eastAsia="Cambria" w:hAnsi="Cambria"/>
          <w:b/>
          <w:bCs/>
          <w:sz w:val="20"/>
          <w:szCs w:val="20"/>
        </w:rPr>
        <w:t xml:space="preserve">else</w:t>
      </w:r>
    </w:p>
    <w:p>
      <w:pPr>
        <w:spacing w:after="20"/>
        <w:ind w:left="600" w:hanging="0"/>
      </w:pPr>
      <w:r>
        <w:rPr>
          <w:rFonts w:ascii="Cambria" w:cs="Cambria" w:eastAsia="Cambria" w:hAnsi="Cambria"/>
          <w:color w:val="555555"/>
          <w:sz w:val="17"/>
          <w:szCs w:val="17"/>
        </w:rPr>
        <w:t xml:space="preserve">23:  </w:t>
      </w:r>
      <w:r>
        <w:rPr>
          <w:rFonts w:ascii="Cambria" w:cs="Cambria" w:eastAsia="Cambria" w:hAnsi="Cambria"/>
          <w:sz w:val="20"/>
          <w:szCs w:val="20"/>
        </w:rPr>
        <w:t xml:space="preserve">Keep consent in pending state</w:t>
      </w:r>
    </w:p>
    <w:p>
      <w:pPr>
        <w:spacing w:after="20"/>
        <w:ind w:left="600" w:hanging="0"/>
      </w:pPr>
      <w:r>
        <w:rPr>
          <w:rFonts w:ascii="Cambria" w:cs="Cambria" w:eastAsia="Cambria" w:hAnsi="Cambria"/>
          <w:color w:val="555555"/>
          <w:sz w:val="17"/>
          <w:szCs w:val="17"/>
        </w:rPr>
        <w:t xml:space="preserve">24:  </w:t>
      </w:r>
      <w:r>
        <w:rPr>
          <w:rFonts w:ascii="Cambria" w:cs="Cambria" w:eastAsia="Cambria" w:hAnsi="Cambria"/>
          <w:sz w:val="20"/>
          <w:szCs w:val="20"/>
        </w:rPr>
        <w:t xml:space="preserve">Record threshold-pending event</w:t>
      </w:r>
    </w:p>
    <w:p>
      <w:pPr>
        <w:spacing w:after="20"/>
        <w:ind w:left="600" w:hanging="0"/>
      </w:pPr>
      <w:r>
        <w:rPr>
          <w:rFonts w:ascii="Cambria" w:cs="Cambria" w:eastAsia="Cambria" w:hAnsi="Cambria"/>
          <w:color w:val="555555"/>
          <w:sz w:val="17"/>
          <w:szCs w:val="17"/>
        </w:rPr>
        <w:t xml:space="preserve">25:  </w:t>
      </w:r>
      <w:r>
        <w:rPr>
          <w:rFonts w:ascii="Cambria" w:cs="Cambria" w:eastAsia="Cambria" w:hAnsi="Cambria"/>
          <w:b/>
          <w:bCs/>
          <w:sz w:val="20"/>
          <w:szCs w:val="20"/>
        </w:rPr>
        <w:t xml:space="preserve">return</w:t>
      </w:r>
      <w:r>
        <w:rPr>
          <w:rFonts w:ascii="Cambria" w:cs="Cambria" w:eastAsia="Cambria" w:hAnsi="Cambria"/>
          <w:sz w:val="20"/>
          <w:szCs w:val="20"/>
        </w:rPr>
        <w:t xml:space="preserve"> PENDING</w:t>
      </w:r>
    </w:p>
    <w:p>
      <w:pPr>
        <w:pBdr>
          <w:bottom w:val="single" w:color="000000" w:sz="12"/>
        </w:pBdr>
        <w:spacing w:after="60"/>
        <w:ind w:left="240" w:hanging="0"/>
      </w:pPr>
      <w:r>
        <w:rPr>
          <w:rFonts w:ascii="Cambria" w:cs="Cambria" w:eastAsia="Cambria" w:hAnsi="Cambria"/>
          <w:color w:val="555555"/>
          <w:sz w:val="17"/>
          <w:szCs w:val="17"/>
        </w:rPr>
        <w:t xml:space="preserve">26:  </w:t>
      </w:r>
      <w:r>
        <w:rPr>
          <w:rFonts w:ascii="Cambria" w:cs="Cambria" w:eastAsia="Cambria" w:hAnsi="Cambria"/>
          <w:b/>
          <w:bCs/>
          <w:sz w:val="20"/>
          <w:szCs w:val="20"/>
        </w:rPr>
        <w:t xml:space="preserve">end if</w:t>
      </w:r>
    </w:p>
    <w:p>
      <w:pPr>
        <w:spacing w:after="160"/>
      </w:pPr>
    </w:p>
    <w:p>
      <w:pPr>
        <w:keepNext/>
        <w:spacing w:after="60" w:before="120"/>
        <w:jc w:val="center"/>
      </w:pPr>
      <w:r>
        <w:drawing>
          <wp:inline distT="0" distB="0" distL="0" distR="0">
            <wp:extent cx="4095750" cy="6324600"/>
            <wp:effectExtent t="0" r="0" b="0" l="0"/>
            <wp:docPr id="1" name="fig6" descr="Figure 6: End-to-End Workflow of Trust-Oriented Consent Authorization Framework"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6324600"/>
                    </a:xfrm>
                    <a:prstGeom prst="rect">
                      <a:avLst/>
                    </a:prstGeom>
                  </pic:spPr>
                </pic:pic>
              </a:graphicData>
            </a:graphic>
          </wp:inline>
        </w:drawing>
      </w:r>
    </w:p>
    <w:p>
      <w:pPr>
        <w:spacing w:after="180"/>
        <w:jc w:val="center"/>
      </w:pPr>
      <w:r>
        <w:rPr>
          <w:i/>
          <w:iCs/>
          <w:sz w:val="19"/>
          <w:szCs w:val="19"/>
        </w:rPr>
        <w:t xml:space="preserve">Figure 6: End-to-End Workflow of Trust-Oriented Consent Authorization Framework</w:t>
      </w:r>
    </w:p>
    <w:p>
      <w:pPr>
        <w:keepNext/>
        <w:spacing w:after="60" w:before="120"/>
        <w:jc w:val="center"/>
      </w:pPr>
      <w:r>
        <w:drawing>
          <wp:inline distT="0" distB="0" distL="0" distR="0">
            <wp:extent cx="5334000" cy="3133725"/>
            <wp:effectExtent t="0" r="0" b="0" l="0"/>
            <wp:docPr id="1" name="M2" descr="The guardian subsystem at the moment of the second approval: the EIP-712 signature is verified, the 2/2 threshold is reached, the SBT is minted in the local ledger and the Sepolia anchoring starts in the background." title="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133725"/>
                    </a:xfrm>
                    <a:prstGeom prst="rect">
                      <a:avLst/>
                    </a:prstGeom>
                  </pic:spPr>
                </pic:pic>
              </a:graphicData>
            </a:graphic>
          </wp:inline>
        </w:drawing>
      </w:r>
    </w:p>
    <w:p>
      <w:pPr>
        <w:spacing w:after="180"/>
        <w:jc w:val="center"/>
      </w:pPr>
      <w:r>
        <w:rPr>
          <w:i/>
          <w:iCs/>
          <w:sz w:val="19"/>
          <w:szCs w:val="19"/>
        </w:rPr>
        <w:t xml:space="preserve">The guardian subsystem at the moment of the second approval: the EIP-712 signature is verified, the 2/2 threshold is reached, the SBT is minted in the local ledger and the Sepolia anchoring starts in the background.</w:t>
      </w:r>
    </w:p>
    <w:p>
      <w:pPr>
        <w:spacing w:after="160" w:line="300"/>
        <w:jc w:val="both"/>
      </w:pPr>
      <w:r>
        <w:t xml:space="preserve">For the demonstrated two-guardian configuration, the approval process can also be represented as:</w:t>
      </w:r>
    </w:p>
    <w:p>
      <w:pPr>
        <w:spacing w:after="160" w:before="80"/>
        <w:jc w:val="center"/>
      </w:pPr>
      <w:r>
        <w:rPr>
          <w:rFonts w:ascii="Cambria Math" w:cs="Cambria Math" w:eastAsia="Cambria Math" w:hAnsi="Cambria Math"/>
          <w:i/>
          <w:iCs/>
          <w:sz w:val="22"/>
          <w:szCs w:val="22"/>
        </w:rPr>
        <w:t xml:space="preserve">Σ g∈G Sign(g, C) ≥ |G| = 2</w:t>
      </w:r>
    </w:p>
    <w:p>
      <w:pPr>
        <w:spacing w:after="160" w:line="300"/>
        <w:jc w:val="both"/>
      </w:pPr>
      <w: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20"/>
        <w:jc w:val="center"/>
      </w:pPr>
      <w:r>
        <w:drawing>
          <wp:inline distT="0" distB="0" distL="0" distR="0">
            <wp:extent cx="5715000" cy="4181475"/>
            <wp:effectExtent t="0" r="0" b="0" l="0"/>
            <wp:docPr id="1" name="M3" descr="The anchoring transaction of the evaluated consent on Sepolia Etherscan: status Success, block 11,771,243, 'Mint 1 of MedicalConsent' to the pseudonymous patient address (function selector 0x1e1e7c76, mintConsentV3)." title="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81475"/>
                    </a:xfrm>
                    <a:prstGeom prst="rect">
                      <a:avLst/>
                    </a:prstGeom>
                  </pic:spPr>
                </pic:pic>
              </a:graphicData>
            </a:graphic>
          </wp:inline>
        </w:drawing>
      </w:r>
    </w:p>
    <w:p>
      <w:pPr>
        <w:spacing w:after="180"/>
        <w:jc w:val="center"/>
      </w:pPr>
      <w:r>
        <w:rPr>
          <w:i/>
          <w:iCs/>
          <w:sz w:val="19"/>
          <w:szCs w:val="19"/>
        </w:rPr>
        <w:t xml:space="preserve">The anchoring transaction of the evaluated consent on Sepolia Etherscan: status Success, block 11,771,243, 'Mint 1 of MedicalConsent' to the pseudonymous patient address (function selector 0x1e1e7c76, mintConsentV3).</w:t>
      </w:r>
    </w:p>
    <w:p>
      <w:pPr>
        <w:spacing w:after="160" w:line="300"/>
        <w:jc w:val="both"/>
      </w:pPr>
      <w: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at [Etherscan: mint transaction](https://sepolia.etherscan.io/tx/0x8be1b99e9b7054d427bdee0a0b5cc56ae99030a399f4b11d3629ed5d98daf13d). This provides an implementation-level demonstration that consent activation can be verified independently of the application.</w:t>
      </w:r>
    </w:p>
    <w:p>
      <w:pPr>
        <w:pStyle w:val="Heading1"/>
        <w:spacing w:after="180" w:before="340"/>
      </w:pPr>
      <w:r>
        <w:t xml:space="preserve">9. The Proposed Solution for RQ4</w:t>
      </w:r>
    </w:p>
    <w:p>
      <w:pPr>
        <w:spacing w:after="160" w:before="60"/>
      </w:pPr>
      <w:r>
        <w:rPr>
          <w:b/>
          <w:bCs/>
          <w:sz w:val="24"/>
          <w:szCs w:val="24"/>
        </w:rPr>
        <w:t xml:space="preserve">Status: </w:t>
      </w:r>
      <w:r>
        <w:rPr>
          <w:b/>
          <w:bCs/>
          <w:color w:val="1F7A1F"/>
          <w:sz w:val="24"/>
          <w:szCs w:val="24"/>
        </w:rPr>
        <w:t xml:space="preserve">Completed</w:t>
      </w:r>
    </w:p>
    <w:p>
      <w:pPr>
        <w:spacing w:after="160" w:line="300"/>
        <w:jc w:val="both"/>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spacing w:after="160" w:line="300"/>
        <w:jc w:val="both"/>
      </w:pPr>
      <w:r>
        <w:rPr>
          <w:color w:val="C00000"/>
        </w:rPr>
        <w:t xml:space="preserve">The policy dimension of RO4 is implemented and enforced in the prototype: every access request is evaluated against the authorised data scope, the temporal validity window, and the jurisdiction recorded in the consent, and the doctor subsystem refuses an out-of-jurisdiction request with an explicit listing of the failed checks. The full policy-language enforcement layer remains the objective of the next stage.</w:t>
      </w:r>
    </w:p>
    <w:p>
      <w:pPr>
        <w:keepNext w:val="false"/>
        <w:spacing w:after="60" w:before="120"/>
        <w:jc w:val="center"/>
      </w:pPr>
      <w:r>
        <w:drawing>
          <wp:inline distT="0" distB="0" distL="0" distR="0">
            <wp:extent cx="5334000" cy="4200525"/>
            <wp:effectExtent t="0" r="0" b="0" l="0"/>
            <wp:docPr id="1" name="g_doc_sa" descr="g_doc_sa" title="g_doc_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200525"/>
                    </a:xfrm>
                    <a:prstGeom prst="rect">
                      <a:avLst/>
                    </a:prstGeom>
                  </pic:spPr>
                </pic:pic>
              </a:graphicData>
            </a:graphic>
          </wp:inline>
        </w:drawing>
      </w:r>
    </w:p>
    <w:p>
      <w:pPr>
        <w:spacing w:after="180"/>
        <w:jc w:val="center"/>
      </w:pPr>
      <w:r>
        <w:rPr>
          <w:i/>
          <w:iCs/>
          <w:color w:val="C00000"/>
          <w:sz w:val="19"/>
          <w:szCs w:val="19"/>
        </w:rPr>
        <w:t xml:space="preserve">The doctor subsystem with requester jurisdiction SA: VL reports FAIL and consequently ALLOW = FAIL, although the consent state remains ACTIVE.</w:t>
      </w:r>
    </w:p>
    <w:p>
      <w:pPr>
        <w:pStyle w:val="Heading1"/>
        <w:spacing w:after="180" w:before="340"/>
      </w:pPr>
      <w:r>
        <w:t xml:space="preserve">10. The Proposed Solution for RQ5</w:t>
      </w:r>
    </w:p>
    <w:p>
      <w:pPr>
        <w:spacing w:after="160" w:before="60"/>
      </w:pPr>
      <w:r>
        <w:rPr>
          <w:b/>
          <w:bCs/>
          <w:sz w:val="24"/>
          <w:szCs w:val="24"/>
        </w:rPr>
        <w:t xml:space="preserve">Status: </w:t>
      </w:r>
      <w:r>
        <w:rPr>
          <w:b/>
          <w:bCs/>
          <w:color w:val="946000"/>
          <w:sz w:val="24"/>
          <w:szCs w:val="24"/>
        </w:rPr>
        <w:t xml:space="preserve">Largely Completed</w:t>
      </w:r>
    </w:p>
    <w:p>
      <w:pPr>
        <w:spacing w:after="160" w:line="300"/>
        <w:jc w:val="both"/>
      </w:pPr>
      <w:r>
        <w:t xml:space="preserve">The objective is to ensure that an authorisation remains valid only within its permitted time interval and lifecycle state, and that expiration, revocation, and unauthorised state transitions are correctly enforced. It will investigate how temporal and lifecycle conditions can be incorporated into the authorisation decision without weakening the trust relationships established by the current stage mechanisms.</w:t>
      </w:r>
    </w:p>
    <w:p>
      <w:pPr>
        <w:spacing w:after="160" w:line="300"/>
        <w:jc w:val="both"/>
      </w:pPr>
      <w:r>
        <w:rPr>
          <w:color w:val="C00000"/>
        </w:rPr>
        <w:t xml:space="preserve">The lifecycle dimension of RO5 is partially demonstrated in the current prototype: every consent progresses through the controlled states PENDING_SIGNATURE, PENDING_TOKEN, ACTIVE and REVOKED, and revocation is executed as a real Sepolia transaction (block 11,771,307), after which the doctor's authorisation check V</w:t>
      </w:r>
      <w:r>
        <w:rPr>
          <w:color w:val="C00000"/>
          <w:vertAlign w:val="subscript"/>
        </w:rPr>
        <w:t xml:space="preserve">A</w:t>
      </w:r>
      <w:r>
        <w:rPr>
          <w:color w:val="C00000"/>
        </w:rPr>
        <w:t xml:space="preserve"> fails and access is refused. The formal lifecycle-trust model and expiry-driven transitions remain next-stage work.</w:t>
      </w:r>
    </w:p>
    <w:p>
      <w:pPr>
        <w:keepNext w:val="false"/>
        <w:spacing w:after="60" w:before="120"/>
        <w:jc w:val="center"/>
      </w:pPr>
      <w:r>
        <w:drawing>
          <wp:inline distT="0" distB="0" distL="0" distR="0">
            <wp:extent cx="5334000" cy="3533775"/>
            <wp:effectExtent t="0" r="0" b="0" l="0"/>
            <wp:docPr id="1" name="g_revoked" descr="g_revoked" title="g_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33775"/>
                    </a:xfrm>
                    <a:prstGeom prst="rect">
                      <a:avLst/>
                    </a:prstGeom>
                  </pic:spPr>
                </pic:pic>
              </a:graphicData>
            </a:graphic>
          </wp:inline>
        </w:drawing>
      </w:r>
    </w:p>
    <w:p>
      <w:pPr>
        <w:spacing w:after="180"/>
        <w:jc w:val="center"/>
      </w:pPr>
      <w:r>
        <w:rPr>
          <w:i/>
          <w:iCs/>
          <w:color w:val="C00000"/>
          <w:sz w:val="19"/>
          <w:szCs w:val="19"/>
        </w:rPr>
        <w:t xml:space="preserve">The patient subsystem after revocation: the evaluated consent is REVOKED together with its on-chain token number.</w:t>
      </w:r>
    </w:p>
    <w:p>
      <w:pPr>
        <w:pStyle w:val="Heading1"/>
        <w:spacing w:after="180" w:before="340"/>
      </w:pPr>
      <w:r>
        <w:t xml:space="preserve">11. The Proposed Solution for RQ6</w:t>
      </w:r>
    </w:p>
    <w:p>
      <w:pPr>
        <w:spacing w:after="160" w:before="60"/>
      </w:pPr>
      <w:r>
        <w:rPr>
          <w:b/>
          <w:bCs/>
          <w:sz w:val="24"/>
          <w:szCs w:val="24"/>
        </w:rPr>
        <w:t xml:space="preserve">Status: </w:t>
      </w:r>
      <w:r>
        <w:rPr>
          <w:b/>
          <w:bCs/>
          <w:color w:val="946000"/>
          <w:sz w:val="24"/>
          <w:szCs w:val="24"/>
        </w:rPr>
        <w:t xml:space="preserve">Partially completed (for RQ1, RQ2, RQ3)</w:t>
      </w:r>
    </w:p>
    <w:p>
      <w:pPr>
        <w:keepNext/>
        <w:spacing w:after="60" w:before="120"/>
        <w:jc w:val="center"/>
      </w:pPr>
      <w:r>
        <w:drawing>
          <wp:inline distT="0" distB="0" distL="0" distR="0">
            <wp:extent cx="5334000" cy="4200525"/>
            <wp:effectExtent t="0" r="0" b="0" l="0"/>
            <wp:docPr id="1" name="g_doc_au" descr="The doctor subsystem with requester jurisdiction AU: the decision matrix reports PASS on every evaluated check, ALLOW = PASS, and the consent state is ACTIVE." title="g_doc_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200525"/>
                    </a:xfrm>
                    <a:prstGeom prst="rect">
                      <a:avLst/>
                    </a:prstGeom>
                  </pic:spPr>
                </pic:pic>
              </a:graphicData>
            </a:graphic>
          </wp:inline>
        </w:drawing>
      </w:r>
    </w:p>
    <w:p>
      <w:pPr>
        <w:spacing w:after="180"/>
        <w:jc w:val="center"/>
      </w:pPr>
      <w:r>
        <w:rPr>
          <w:i/>
          <w:iCs/>
          <w:sz w:val="19"/>
          <w:szCs w:val="19"/>
        </w:rPr>
        <w:t xml:space="preserve">The doctor subsystem with requester jurisdiction AU: the decision matrix reports PASS on every evaluated check, ALLOW = PASS, and the consent state is ACTIVE.</w:t>
      </w:r>
    </w:p>
    <w:p>
      <w:pPr>
        <w:spacing w:after="160" w:line="300"/>
        <w:jc w:val="both"/>
      </w:pPr>
      <w: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w:t>
      </w:r>
    </w:p>
    <w:p>
      <w:pPr>
        <w:keepNext/>
        <w:spacing w:after="60" w:before="120"/>
        <w:jc w:val="center"/>
      </w:pPr>
      <w:r>
        <w:drawing>
          <wp:inline distT="0" distB="0" distL="0" distR="0">
            <wp:extent cx="5334000" cy="6229350"/>
            <wp:effectExtent t="0" r="0" b="0" l="0"/>
            <wp:docPr id="1" name="M4" descr="The doctor subsystem after verification: access granted and the authorised medical records displayed per EMR module; the Observation module's Download CSV control is visible." title="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6229350"/>
                    </a:xfrm>
                    <a:prstGeom prst="rect">
                      <a:avLst/>
                    </a:prstGeom>
                  </pic:spPr>
                </pic:pic>
              </a:graphicData>
            </a:graphic>
          </wp:inline>
        </w:drawing>
      </w:r>
    </w:p>
    <w:p>
      <w:pPr>
        <w:spacing w:after="180"/>
        <w:jc w:val="center"/>
      </w:pPr>
      <w:r>
        <w:rPr>
          <w:i/>
          <w:iCs/>
          <w:sz w:val="19"/>
          <w:szCs w:val="19"/>
        </w:rPr>
        <w:t xml:space="preserve">The doctor subsystem after verification: access granted and the authorised medical records displayed per EMR module; the Observation module's Download CSV control is visible.</w:t>
      </w:r>
    </w:p>
    <w:p>
      <w:pPr>
        <w:keepNext/>
        <w:spacing w:after="60" w:before="120"/>
        <w:jc w:val="center"/>
      </w:pPr>
      <w:r>
        <w:drawing>
          <wp:inline distT="0" distB="0" distL="0" distR="0">
            <wp:extent cx="5715000" cy="3343275"/>
            <wp:effectExtent t="0" r="0" b="0" l="0"/>
            <wp:docPr id="1" name="M7" descr="The auditor subsystem with the evaluated consent selected: aggregate indicators and the Detailed Audit Records, in which the on-chain events carry their transaction hashes and block numbers." title="M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343275"/>
                    </a:xfrm>
                    <a:prstGeom prst="rect">
                      <a:avLst/>
                    </a:prstGeom>
                  </pic:spPr>
                </pic:pic>
              </a:graphicData>
            </a:graphic>
          </wp:inline>
        </w:drawing>
      </w:r>
    </w:p>
    <w:p>
      <w:pPr>
        <w:spacing w:after="180"/>
        <w:jc w:val="center"/>
      </w:pPr>
      <w:r>
        <w:rPr>
          <w:i/>
          <w:iCs/>
          <w:sz w:val="19"/>
          <w:szCs w:val="19"/>
        </w:rPr>
        <w:t xml:space="preserve">The auditor subsystem with the evaluated consent selected: aggregate indicators and the Detailed Audit Records, in which the on-chain events carry their transaction hashes and block numbers.</w:t>
      </w:r>
    </w:p>
    <w:p>
      <w:pPr>
        <w:spacing w:after="160" w:line="300"/>
        <w:jc w:val="both"/>
      </w:pPr>
      <w:r>
        <w:t xml:space="preserve">As shown in the figure above, the system first provides aggregate indicators including: Total Events = 60 Consent Events = 8 Access Requests = 9 On-chain Anchors = 5. 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keepNext/>
        <w:spacing w:after="60" w:before="120"/>
        <w:jc w:val="center"/>
      </w:pPr>
      <w:r>
        <w:drawing>
          <wp:inline distT="0" distB="0" distL="0" distR="0">
            <wp:extent cx="5334000" cy="1057275"/>
            <wp:effectExtent t="0" r="0" b="0" l="0"/>
            <wp:docPr id="1" name="M8" descr="The final verdict of the independent verification: RESULT: ALL CHECKS PASSED." title="M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057275"/>
                    </a:xfrm>
                    <a:prstGeom prst="rect">
                      <a:avLst/>
                    </a:prstGeom>
                  </pic:spPr>
                </pic:pic>
              </a:graphicData>
            </a:graphic>
          </wp:inline>
        </w:drawing>
      </w:r>
    </w:p>
    <w:p>
      <w:pPr>
        <w:spacing w:after="180"/>
        <w:jc w:val="center"/>
      </w:pPr>
      <w:r>
        <w:rPr>
          <w:i/>
          <w:iCs/>
          <w:sz w:val="19"/>
          <w:szCs w:val="19"/>
        </w:rPr>
        <w:t xml:space="preserve">The final verdict of the independent verification: RESULT: ALL CHECKS PASSED.</w:t>
      </w:r>
    </w:p>
    <w:p>
      <w:pPr>
        <w:spacing w:after="160" w:line="300"/>
        <w:jc w:val="both"/>
      </w:pPr>
      <w: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1"/>
        <w:spacing w:after="180" w:before="340"/>
      </w:pPr>
      <w:r>
        <w:t xml:space="preserve">12. Publications Summary</w:t>
      </w:r>
    </w:p>
    <w:p>
      <w:pPr>
        <w:pStyle w:val="ListParagraph"/>
        <w:numPr>
          <w:ilvl w:val="0"/>
          <w:numId w:val="1"/>
        </w:numPr>
        <w:spacing w:after="80" w:line="288"/>
        <w:jc w:val="both"/>
      </w:pPr>
      <w:r>
        <w:t xml:space="preserve">Trust-Centric Consent Framework (Model architecture and multi-party authorisation policies) / Elsevier/IEEE — Status: Almost Ready</w:t>
      </w:r>
    </w:p>
    <w:p>
      <w:pPr>
        <w:pStyle w:val="ListParagraph"/>
        <w:numPr>
          <w:ilvl w:val="0"/>
          <w:numId w:val="1"/>
        </w:numPr>
        <w:spacing w:after="80" w:line="288"/>
        <w:jc w:val="both"/>
      </w:pPr>
      <w:r>
        <w:t xml:space="preserve">HALAH Prototype &amp; Validation (Decentralised implementation and performance evaluation) / Systems / Security Conference — Status: In Progress</w:t>
      </w:r>
    </w:p>
    <w:p>
      <w:pPr>
        <w:pStyle w:val="ListParagraph"/>
        <w:numPr>
          <w:ilvl w:val="0"/>
          <w:numId w:val="1"/>
        </w:numPr>
        <w:spacing w:after="80" w:line="288"/>
        <w:jc w:val="both"/>
      </w:pPr>
      <w:r>
        <w:t xml:space="preserve">Formal Security &amp; Lifecycle Analysis (Verification of temporal constraints and state transitions) / Specialized Workshop / Journal — Status: Planned</w:t>
      </w:r>
    </w:p>
    <w:p>
      <w:pPr>
        <w:pStyle w:val="Heading1"/>
        <w:spacing w:after="180" w:before="340"/>
      </w:pPr>
      <w:r>
        <w:t xml:space="preserve">13. Research Plan</w:t>
      </w:r>
    </w:p>
    <w:p>
      <w:pPr>
        <w:spacing w:after="160" w:line="300"/>
        <w:jc w:val="bot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in which RO1, RO2, and RO3 have been implemented and initially validated through the HALAH prototype. RO4 represents the current transition towards policy-aware access control.</w:t>
      </w:r>
    </w:p>
    <w:p>
      <w:pPr>
        <w:spacing w:after="160" w:line="300"/>
        <w:jc w:val="both"/>
      </w:pPr>
      <w: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pStyle w:val="ListParagraph"/>
        <w:numPr>
          <w:ilvl w:val="0"/>
          <w:numId w:val="1"/>
        </w:numPr>
        <w:spacing w:after="80" w:line="288"/>
        <w:jc w:val="both"/>
      </w:pPr>
      <w:r>
        <w:t xml:space="preserve">Temporal and Lifecycle Trust (Dynamic Consent States): Extend the consent model to incorporate validity periods, dynamic expiration, immediate revocation, and controlled lifecycle transitions. Evaluate access decisions under varying temporal and consent-state constraints. — A robust, dynamic consent management mechanism capable of validating whether an authorisation remains active at the precise point of access.</w:t>
      </w:r>
    </w:p>
    <w:p>
      <w:pPr>
        <w:pStyle w:val="ListParagraph"/>
        <w:numPr>
          <w:ilvl w:val="0"/>
          <w:numId w:val="1"/>
        </w:numPr>
        <w:spacing w:after="80" w:line="288"/>
        <w:jc w:val="both"/>
      </w:pPr>
      <w:r>
        <w:t xml:space="preserve">Formal Security Assurance (Properties &amp; Verification): Formally define critical security properties and analyse system behaviour under adverse conditions, including invalid identities, insufficient multi-party approvals, policy violations, expired/revoked states, and illegal transitions. — A rigorous formal security model and verification proof establishing explicit security guarantees for the trust-oriented authorisation framework.</w:t>
      </w:r>
    </w:p>
    <w:p>
      <w:pPr>
        <w:pStyle w:val="ListParagraph"/>
        <w:numPr>
          <w:ilvl w:val="0"/>
          <w:numId w:val="1"/>
        </w:numPr>
        <w:spacing w:after="80" w:line="288"/>
        <w:jc w:val="both"/>
      </w:pPr>
      <w:r>
        <w:t xml:space="preserve">Comprehensive Empirical Validation (HALAH Prototype Scenarios): Scale and extend HALAH prototype experiments using representative positive and negative healthcare data-sharing scenarios. Measure and compare observed system runtime performance, overhead, and enforcement accuracy. — Empirical evidence and benchmark datasets demonstrating that the implementation consistently and efficiently enforces the proposed authorisation model.</w:t>
      </w:r>
    </w:p>
    <w:p>
      <w:pPr>
        <w:pStyle w:val="ListParagraph"/>
        <w:numPr>
          <w:ilvl w:val="0"/>
          <w:numId w:val="1"/>
        </w:numPr>
        <w:spacing w:after="80" w:line="288"/>
        <w:jc w:val="both"/>
      </w:pPr>
      <w:r>
        <w:t xml:space="preserve">Integrated Framework Evaluation (Synthesis &amp; End-to-End): Integrate temporal, lifecycle, formal verification, and empirical modules into a unified, cohesive framework. Evaluate cross-component interactions, scalability bottlenecks, and end-to-end feasibility in real-world settings. — A fully integrated, validated Trust Computing framework providing secure, multi-party patient consent and decentralised healthcare data sharing.</w:t>
      </w:r>
    </w:p>
    <w:sectPr>
      <w:foot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5A78"/>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b536558d832546ec393dd67925c929dd6236fad.png"/><Relationship Id="rId9" Type="http://schemas.openxmlformats.org/officeDocument/2006/relationships/image" Target="media/e698f47fea018ba4e2802cc16cd6dfd9035c7463.png"/><Relationship Id="rId10" Type="http://schemas.openxmlformats.org/officeDocument/2006/relationships/image" Target="media/580bfb808c41b68f58dd6143da2bda07a4fdfcd6.png"/><Relationship Id="rId11" Type="http://schemas.openxmlformats.org/officeDocument/2006/relationships/image" Target="media/3b43f208c34e619a9b1fcd7a8da9990014f117c8.png"/><Relationship Id="rId12" Type="http://schemas.openxmlformats.org/officeDocument/2006/relationships/image" Target="media/86a2658ddba90ee4c38a66206a6a68c15d95f581.png"/><Relationship Id="rId13" Type="http://schemas.openxmlformats.org/officeDocument/2006/relationships/image" Target="media/cfb68299954ed8f8f5e10a9a9db637b9bb1e6943.png"/><Relationship Id="rId14" Type="http://schemas.openxmlformats.org/officeDocument/2006/relationships/image" Target="media/b042baccd1b6ddb409d02825dcbf0a0b42cf8600.png"/><Relationship Id="rId15" Type="http://schemas.openxmlformats.org/officeDocument/2006/relationships/image" Target="media/dca988adf54061cfd18e3b65d04cc93b4c0821a5.png"/><Relationship Id="rId16" Type="http://schemas.openxmlformats.org/officeDocument/2006/relationships/image" Target="media/8f7d48ee1d3a925ebd1d5709598063d3ff8e3925.png"/><Relationship Id="rId17" Type="http://schemas.openxmlformats.org/officeDocument/2006/relationships/image" Target="media/c67c351664df141a74ad4841b37c3e4adf06cdc8.png"/><Relationship Id="rId18" Type="http://schemas.openxmlformats.org/officeDocument/2006/relationships/image" Target="media/ced20419b26ad52dabc386ca8fa03e512cf67f8c.png"/><Relationship Id="rId19" Type="http://schemas.openxmlformats.org/officeDocument/2006/relationships/image" Target="media/31dcbc50059ae2791ce05a42c041185014378f3f.png"/><Relationship Id="rId20" Type="http://schemas.openxmlformats.org/officeDocument/2006/relationships/image" Target="media/05da8f4effe706cf5aafdd89f16572da00d8acd2.png"/><Relationship Id="rId21" Type="http://schemas.openxmlformats.org/officeDocument/2006/relationships/image" Target="media/6b7e22f48fdfc9e07041ced9d20ba658e28a949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Yasir Dhaifallah O Alyoubi</dc:creator>
  <cp:lastModifiedBy>Un-named</cp:lastModifiedBy>
  <cp:revision>1</cp:revision>
  <dcterms:created xsi:type="dcterms:W3CDTF">2026-09-26T11:35:57.286Z</dcterms:created>
  <dcterms:modified xsi:type="dcterms:W3CDTF">2026-09-26T11:35:57.287Z</dcterms:modified>
</cp:coreProperties>
</file>

<file path=docProps/custom.xml><?xml version="1.0" encoding="utf-8"?>
<Properties xmlns="http://schemas.openxmlformats.org/officeDocument/2006/custom-properties" xmlns:vt="http://schemas.openxmlformats.org/officeDocument/2006/docPropsVTypes"/>
</file>