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2</w:t>
            </w:r>
          </w:p>
        </w:tc>
      </w:tr>
    </w:tbl>
    <w:p>
      <w:pPr>
        <w:pStyle w:val="1"/>
        <w:keepNext/>
        <w:spacing w:before="360"/>
      </w:pPr>
      <w:r/>
      <w:r>
        <w:rPr>
          <w:color w:val="FFFFFF"/>
          <w:sz w:val="2"/>
        </w:rPr>
        <w:t xml:space="preserve">2. </w:t>
      </w:r>
      <w:r>
        <w:rPr>
          <w:smallCaps/>
        </w:rPr>
        <w:t>A Systematic Literature Review</w:t>
      </w:r>
    </w:p>
    <w:p>
      <w:pPr>
        <w:pStyle w:val="2"/>
        <w:keepNext/>
      </w:pPr>
      <w:r>
        <w:t>2.1 Introduction</w:t>
      </w:r>
    </w:p>
    <w:p w14:paraId="33176616" w14:textId="77777777" w:rsidR="009262C4" w:rsidRDefault="00000000">
      <w:pPr>
        <w:spacing w:after="110" w:line="264" w:lineRule="auto"/>
        <w:jc w:val="both"/>
      </w:pPr>
      <w:r>
        <w:t xml:space="preserve">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t>The structure of this chapter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keepNext/>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t>(Chapter 3)</w:t>
      </w:r>
      <w:r>
        <w:t>, and each sub-research question addresses a distinct dimension of the proposed trust-oriented healthcare authorisation framework.</w:t>
      </w:r>
    </w:p>
    <w:p>
      <w:pPr>
        <w:pStyle w:val="3"/>
        <w:keepNext/>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keepNext/>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keepNext/>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keepNext/>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keepNext/>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keepNext/>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keepNext/>
      </w:pPr>
      <w:r>
        <w:t>2.3 Process Adopted for Shortlisting the Papers for SLR</w:t>
      </w:r>
    </w:p>
    <w:p>
      <w:pPr/>
      <w:r>
        <w:t>This section details the process adopted to identify the relevant papers to be reviewed in the SLR. A four-step process was adopted:</w:t>
      </w:r>
    </w:p>
    <w:p>
      <w:pPr/>
      <w:r>
        <w:t>Step 1: Searching the literature. This step involves defining the search terms, identifying the data sources and the process of data collection.</w:t>
      </w:r>
    </w:p>
    <w:p>
      <w:pPr/>
      <w:r>
        <w:t>Step 2: Inclusion and exclusion criteria. Criteria are defined to guide the selection of the most relevant studies.</w:t>
      </w:r>
    </w:p>
    <w:p>
      <w:pPr/>
      <w:r>
        <w:t>Step 3: Quality evaluation. Each of the full-text studies is reviewed against six quality evaluation questions, one for each key requirement.</w:t>
      </w:r>
    </w:p>
    <w:p>
      <w:pPr/>
      <w:r>
        <w:t>Step 4: Data analysis. After reviewing the selected studies, data are extracted, recorded and categorised into streams.</w:t>
      </w:r>
    </w:p>
    <w:p w14:paraId="323E63C8" w14:textId="77777777" w:rsidR="009262C4" w:rsidRDefault="00000000">
      <w:pPr>
        <w:spacing w:after="110" w:line="264" w:lineRule="auto"/>
        <w:jc w:val="both"/>
      </w:pPr>
      <w:r>
        <w:t xml:space="preserve">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w:t>
      </w:r>
      <w:r>
        <w:t>The review is guided by the six key requirements of Section 2.2, and the six quality evaluation questions of Step 3 are derived from them, one for each requirement.</w:t>
      </w:r>
    </w:p>
    <w:p>
      <w:pPr>
        <w:pStyle w:val="3"/>
        <w:keepNext/>
      </w:pPr>
      <w:r>
        <w:t>2.3.1 Step 1: Criteria for Searching the Literature</w:t>
      </w:r>
    </w:p>
    <w:p>
      <w:pPr/>
      <w: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t>Table 2.1 shows the seven databases and the number of records retrieved from each.</w:t>
      </w:r>
    </w:p>
    <w:p>
      <w:pPr>
        <w:keepNext/>
        <w:spacing w:before="160" w:after="160"/>
        <w:jc w:val="center"/>
      </w:pPr>
      <w:r>
        <w:rPr>
          <w:sz w:val="20"/>
        </w:rPr>
        <w:t>Table 2.1: Databases searched and records retrieved</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850"/>
        <w:gridCol w:w="5386"/>
        <w:gridCol w:w="2268"/>
      </w:tblGrid>
      <w:tr>
        <w:trPr>
          <w:tblHeader/>
          <w:cantSplit/>
        </w:trPr>
        <w:tc>
          <w:tcPr>
            <w:tcW w:type="dxa" w:w="85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sz w:val="19"/>
              </w:rPr>
              <w:t>S/N</w:t>
            </w:r>
          </w:p>
        </w:tc>
        <w:tc>
          <w:tcPr>
            <w:tcW w:type="dxa" w:w="5386"/>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sz w:val="19"/>
              </w:rPr>
              <w:t>Database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sz w:val="19"/>
              </w:rPr>
              <w:t>Records</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1</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SpringerLink</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46</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2</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Scopus</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38</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3</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IEEE Xplore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27</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4</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ProQuest Science and Technology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24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5</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Web of Science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19</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6</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ScienceDirect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14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7</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ACM Digital Library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11</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Total</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179</w:t>
            </w:r>
          </w:p>
        </w:tc>
      </w:tr>
    </w:tbl>
    <w:p>
      <w:pPr/>
      <w:r/>
    </w:p>
    <w:p>
      <w:pPr>
        <w:pStyle w:val="3"/>
        <w:keepNext/>
      </w:pPr>
      <w:r>
        <w:t>2.3.2 Step 2: Inclusion and Exclusion Criteria</w:t>
      </w:r>
    </w:p>
    <w:p>
      <w:pPr/>
      <w: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t>between 2020 and 2026</w:t>
      </w:r>
      <w:r>
        <w:t xml:space="preserve">. </w:t>
      </w:r>
      <w:r>
        <w:t>The exclusion criteria removed, among others,</w:t>
      </w:r>
      <w:r>
        <w:t xml:space="preserve"> </w:t>
      </w:r>
      <w: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t>Inclusion criteria:</w:t>
      </w:r>
    </w:p>
    <w:p>
      <w:pPr/>
      <w:r>
        <w:t>1. Healthcare data sharing (IC1).</w:t>
      </w:r>
    </w:p>
    <w:p>
      <w:pPr/>
      <w:r>
        <w:t>2. Consent or authorisation relevant to data access (IC2).</w:t>
      </w:r>
    </w:p>
    <w:p>
      <w:pPr/>
      <w:r>
        <w:t>3. A model, mechanism, system or evaluation that addresses a review question (IC3).</w:t>
      </w:r>
    </w:p>
    <w:p>
      <w:pPr/>
      <w:r>
        <w:t>4. Peer-reviewed English paper with full text (IC4 to IC7).</w:t>
      </w:r>
    </w:p>
    <w:p>
      <w:pPr/>
      <w:r>
        <w:t>5. Publication between 2020 and 2026.</w:t>
      </w:r>
    </w:p>
    <w:p>
      <w:pPr/>
      <w:r>
        <w:t>Exclusion criteria:</w:t>
      </w:r>
    </w:p>
    <w:p>
      <w:pPr/>
      <w:r>
        <w:t>1. Outside healthcare or the authorisation scope.</w:t>
      </w:r>
    </w:p>
    <w:p>
      <w:pPr/>
      <w:r>
        <w:t>2. Authentication alone or a superficial mention of consent.</w:t>
      </w:r>
    </w:p>
    <w:p>
      <w:pPr/>
      <w:r>
        <w:t>3. Non-peer-reviewed work and duplicate publications.</w:t>
      </w:r>
    </w:p>
    <w:p>
      <w:pPr/>
      <w:r>
        <w:t>The stages of evaluating and selecting the relevant papers for the SLR are summarised in Table 2.2.</w:t>
      </w:r>
    </w:p>
    <w:p>
      <w:pPr>
        <w:keepNext/>
        <w:spacing w:before="160" w:after="160"/>
        <w:jc w:val="center"/>
      </w:pPr>
      <w:r>
        <w:rPr>
          <w:sz w:val="20"/>
        </w:rPr>
        <w:t>Table 2.2: Summary of the stages of evaluating and selecting the relevant papers for the SLR</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247"/>
        <w:gridCol w:w="2268"/>
        <w:gridCol w:w="3061"/>
        <w:gridCol w:w="1928"/>
      </w:tblGrid>
      <w:tr>
        <w:trPr>
          <w:tblHeader/>
          <w:cantSplit/>
        </w:trPr>
        <w:tc>
          <w:tcPr>
            <w:tcW w:type="dxa" w:w="124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sz w:val="19"/>
              </w:rPr>
              <w:t>Evaluation stage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sz w:val="19"/>
              </w:rPr>
              <w:t>Method</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sz w:val="19"/>
              </w:rPr>
              <w:t>Assessment criteria</w:t>
            </w:r>
          </w:p>
        </w:tc>
        <w:tc>
          <w:tcPr>
            <w:tcW w:type="dxa" w:w="192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sz w:val="19"/>
              </w:rPr>
              <w:t>Records</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1st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Identify the related studies from the seven databases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Match the search string</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179 identified</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2nd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Remove duplicate records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Same title, author, DOI and publication year</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21 removed, 158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3rd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Screen the titles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Within healthcare consent or authorisation;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76 excluded, 82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4th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Screen the abstracts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Relevant to a review question;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43 excluded, 39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5th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Assess the full texts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Eligibility criteria and the quality evaluation of Step 3</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14 excluded, 25 included</w:t>
            </w:r>
          </w:p>
        </w:tc>
      </w:tr>
    </w:tbl>
    <w:p>
      <w:pPr/>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60" w:before="160"/>
        <w:jc w:val="center"/>
      </w:pPr>
      <w:r>
        <w:rPr>
          <w:b/>
          <w:bCs/>
          <w:sz w:val="20"/>
          <w:szCs w:val="18"/>
        </w:rPr>
        <w:t xml:space="preserve">Figure 2.1: </w:t>
      </w:r>
      <w:r>
        <w:rPr>
          <w:sz w:val="20"/>
          <w:szCs w:val="18"/>
        </w:rPr>
        <w:t>PRISMA 2020 flow diagram of the study identification, screening, eligibility and inclusion stages.</w:t>
      </w:r>
    </w:p>
    <w:p>
      <w:pPr>
        <w:pStyle w:val="3"/>
        <w:keepNext/>
      </w:pPr>
      <w:r>
        <w:t>2.3.3 Step 3: Quality Evaluation</w:t>
      </w:r>
    </w:p>
    <w:p>
      <w:pPr/>
      <w:r>
        <w:t>The 39 full-text studies were retrieved and critically evaluated based on the six quality evaluation questions, one for each key requirement of Section 2.2, as follows:</w:t>
      </w:r>
    </w:p>
    <w:p>
      <w:pPr>
        <w:spacing w:after="40"/>
      </w:pPr>
      <w:r>
        <w:t>QA1: Does the study define a consent model covering identity, authority, policy, and evidence?</w:t>
      </w:r>
    </w:p>
    <w:p>
      <w:pPr>
        <w:spacing w:after="40"/>
      </w:pPr>
      <w:r>
        <w:t>QA2: Does the study verify participant identities and their authorisation authority?</w:t>
      </w:r>
    </w:p>
    <w:p>
      <w:pPr>
        <w:spacing w:after="40"/>
      </w:pPr>
      <w:r>
        <w:t>QA3: Does the study support consent decisions requiring approval from multiple authorised participants?</w:t>
      </w:r>
    </w:p>
    <w:p>
      <w:pPr>
        <w:spacing w:after="40"/>
      </w:pPr>
      <w:r>
        <w:t>QA4: Does the study enforce purpose, data scope, and approval rules before allowing access?</w:t>
      </w:r>
    </w:p>
    <w:p>
      <w:pPr>
        <w:spacing w:after="40"/>
      </w:pPr>
      <w:r>
        <w:t>QA5: Does the study manage consent validity, expiry, and revocation?</w:t>
      </w:r>
    </w:p>
    <w:p>
      <w:pPr>
        <w:spacing w:after="40"/>
      </w:pPr>
      <w:r>
        <w:t>QA6: Does the study validate security and access decisions through formal analysis or implementation testing?</w:t>
      </w:r>
    </w:p>
    <w:p>
      <w:pPr/>
      <w:r>
        <w:t>Each question was answered Yes or No, and any study which has at least three Yes answers to the six questions, and meets the eligibility criteria of Step 2, is included in this SLR. Of the 39 full-text studies, 25 satisfied the criteria, as shown in Table 2.3.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pPr>
        <w:pStyle w:val="3"/>
        <w:keepNext/>
      </w:pPr>
      <w:r>
        <w:t>2.3.4 Step 4: Shortlisted Papers for SLR and Categorising Them into Broad Areas</w:t>
      </w:r>
    </w:p>
    <w:p>
      <w:pPr/>
      <w: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2.3 lists the 25 primary studies with their authors, year and title.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60" w:after="160"/>
        <w:jc w:val="center"/>
      </w:pPr>
      <w:r>
        <w:rPr>
          <w:b/>
          <w:bCs/>
          <w:sz w:val="20"/>
          <w:szCs w:val="18"/>
        </w:rPr>
        <w:t>Table 2.3:</w:t>
      </w:r>
      <w:r>
        <w:rPr>
          <w:b/>
          <w:bCs/>
          <w:sz w:val="20"/>
          <w:szCs w:val="18"/>
        </w:rPr>
        <w:t xml:space="preserve"> </w:t>
      </w:r>
      <w:r>
        <w:rPr>
          <w:sz w:val="20"/>
          <w:szCs w:val="18"/>
        </w:rPr>
        <w:t>Listing of the 25 primary studies identified after the selection process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737"/>
        <w:gridCol w:w="2268"/>
        <w:gridCol w:w="5499"/>
      </w:tblGrid>
      <w:tr w:rsidR="009262C4" w14:paraId="4A276FDF" w14:textId="77777777">
        <w:trPr>
          <w:cantSplit/>
          <w:tblHeader/>
        </w:trPr>
        <w:tc>
          <w:tcPr>
            <w:tcW w:w="737" w:type="dxa"/>
            <w:tcBorders>
              <w:top w:val="nil"/>
              <w:left w:val="nil"/>
              <w:bottom w:val="single" w:sz="6" w:color="000000" w:space="0"/>
              <w:right w:val="nil"/>
              <w:insideH w:val="nil"/>
              <w:insideV w:val="nil"/>
            </w:tcBorders>
            <w:tcMar>
              <w:top w:w="40" w:type="dxa"/>
              <w:left w:w="80" w:type="dxa"/>
              <w:bottom w:w="40" w:type="dxa"/>
              <w:right w:w="80" w:type="dxa"/>
            </w:tcMar>
          </w:tcPr>
          <w:p w14:paraId="13BC496B"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2268" w:type="dxa"/>
            <w:tcBorders>
              <w:top w:val="nil"/>
              <w:left w:val="nil"/>
              <w:bottom w:val="single" w:sz="6" w:color="000000" w:space="0"/>
              <w:right w:val="nil"/>
              <w:insideH w:val="nil"/>
              <w:insideV w:val="nil"/>
            </w:tcBorders>
            <w:tcMar>
              <w:top w:w="40" w:type="dxa"/>
              <w:left w:w="80" w:type="dxa"/>
              <w:bottom w:w="40" w:type="dxa"/>
              <w:right w:w="80" w:type="dxa"/>
            </w:tcMar>
          </w:tcPr>
          <w:p w14:paraId="39594DA3" w14:textId="77777777" w:rsidR="009262C4" w:rsidRDefault="00000000">
            <w:pPr>
              <w:keepNext/>
              <w:spacing w:after="40" w:line="240" w:lineRule="auto"/>
              <w:jc w:val="left"/>
            </w:pPr>
            <w:r>
              <w:rPr>
                <w:rFonts w:ascii="Palatino Linotype" w:hAnsi="Palatino Linotype" w:cs="Palatino Linotype"/>
                <w:b/>
                <w:bCs/>
                <w:sz w:val="19"/>
                <w:szCs w:val="17"/>
              </w:rPr>
              <w:t xml:space="preserve">Authors and year</w:t>
            </w:r>
          </w:p>
        </w:tc>
        <w:tc>
          <w:tcPr>
            <w:tcW w:w="5499" w:type="dxa"/>
            <w:tcBorders>
              <w:top w:val="nil"/>
              <w:left w:val="nil"/>
              <w:bottom w:val="single" w:sz="6" w:color="000000" w:space="0"/>
              <w:right w:val="nil"/>
              <w:insideH w:val="nil"/>
              <w:insideV w:val="nil"/>
            </w:tcBorders>
            <w:tcMar>
              <w:top w:w="40" w:type="dxa"/>
              <w:left w:w="80" w:type="dxa"/>
              <w:bottom w:w="40" w:type="dxa"/>
              <w:right w:w="80" w:type="dxa"/>
            </w:tcMar>
          </w:tcPr>
          <w:p w14:paraId="65AA66D2" w14:textId="77777777" w:rsidR="009262C4" w:rsidRDefault="00000000">
            <w:pPr>
              <w:keepNext/>
              <w:spacing w:after="40" w:line="240" w:lineRule="auto"/>
              <w:jc w:val="left"/>
            </w:pPr>
            <w:r>
              <w:rPr>
                <w:rFonts w:ascii="Palatino Linotype" w:hAnsi="Palatino Linotype" w:cs="Palatino Linotype"/>
                <w:b/>
                <w:bCs/>
                <w:sz w:val="19"/>
                <w:szCs w:val="17"/>
              </w:rPr>
              <w:t xml:space="preserve">Article title</w:t>
            </w:r>
          </w:p>
        </w:tc>
      </w:tr>
      <w:tr w:rsidR="009262C4" w14:paraId="277610A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65FBAD0E" w14:textId="77777777" w:rsidR="009262C4" w:rsidRDefault="00000000">
            <w:pPr>
              <w:spacing w:after="40" w:line="240" w:lineRule="auto"/>
              <w:jc w:val="left"/>
            </w:pPr>
            <w:r>
              <w:rPr>
                <w:rFonts w:ascii="Palatino Linotype" w:hAnsi="Palatino Linotype" w:cs="Palatino Linotype"/>
                <w:color w:val="000000"/>
                <w:sz w:val="19"/>
                <w:szCs w:val="17"/>
              </w:rPr>
              <w:t>S1</w:t>
            </w:r>
          </w:p>
        </w:tc>
        <w:tc>
          <w:tcPr>
            <w:tcW w:w="2268" w:type="dxa"/>
            <w:tcBorders>
              <w:top w:val="nil"/>
              <w:left w:val="nil"/>
              <w:bottom w:val="nil"/>
              <w:right w:val="nil"/>
              <w:insideH w:val="nil"/>
              <w:insideV w:val="nil"/>
            </w:tcBorders>
            <w:tcMar>
              <w:top w:w="40" w:type="dxa"/>
              <w:left w:w="80" w:type="dxa"/>
              <w:bottom w:w="40" w:type="dxa"/>
              <w:right w:w="80" w:type="dxa"/>
            </w:tcMar>
          </w:tcPr>
          <w:p w14:paraId="032AD346" w14:textId="77777777" w:rsidR="009262C4" w:rsidRDefault="00000000">
            <w:pPr>
              <w:spacing w:after="40" w:line="240" w:lineRule="auto"/>
              <w:jc w:val="left"/>
            </w:pPr>
            <w:r>
              <w:rPr>
                <w:rFonts w:ascii="Palatino Linotype" w:hAnsi="Palatino Linotype" w:cs="Palatino Linotype"/>
                <w:color w:val="000000"/>
                <w:sz w:val="19"/>
                <w:szCs w:val="17"/>
              </w:rPr>
              <w:t>Abbasi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68C42C3E" w14:textId="77777777" w:rsidR="009262C4" w:rsidRDefault="00000000">
            <w:pPr>
              <w:spacing w:after="40" w:line="240" w:lineRule="auto"/>
              <w:jc w:val="left"/>
            </w:pPr>
            <w:r>
              <w:rPr>
                <w:rFonts w:ascii="Palatino Linotype" w:hAnsi="Palatino Linotype" w:cs="Palatino Linotype"/>
                <w:color w:val="000000"/>
                <w:sz w:val="19"/>
                <w:szCs w:val="17"/>
              </w:rPr>
              <w:t>Nexa: Enabling Secure, Scalable, and Decentralized Management of Electronic Health Records Using Threshold Cryptography and Public Blockchains</w:t>
            </w:r>
          </w:p>
        </w:tc>
      </w:tr>
      <w:tr w:rsidR="009262C4" w14:paraId="548DB82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76964AD" w14:textId="77777777" w:rsidR="009262C4" w:rsidRDefault="00000000">
            <w:pPr>
              <w:spacing w:after="40" w:line="240" w:lineRule="auto"/>
              <w:jc w:val="left"/>
            </w:pPr>
            <w:r>
              <w:rPr>
                <w:rFonts w:ascii="Palatino Linotype" w:hAnsi="Palatino Linotype" w:cs="Palatino Linotype"/>
                <w:color w:val="000000"/>
                <w:sz w:val="19"/>
                <w:szCs w:val="17"/>
              </w:rPr>
              <w:t>S2</w:t>
            </w:r>
          </w:p>
        </w:tc>
        <w:tc>
          <w:tcPr>
            <w:tcW w:w="2268" w:type="dxa"/>
            <w:tcBorders>
              <w:top w:val="nil"/>
              <w:left w:val="nil"/>
              <w:bottom w:val="nil"/>
              <w:right w:val="nil"/>
              <w:insideH w:val="nil"/>
              <w:insideV w:val="nil"/>
            </w:tcBorders>
            <w:tcMar>
              <w:top w:w="40" w:type="dxa"/>
              <w:left w:w="80" w:type="dxa"/>
              <w:bottom w:w="40" w:type="dxa"/>
              <w:right w:w="80" w:type="dxa"/>
            </w:tcMar>
          </w:tcPr>
          <w:p w14:paraId="21483FC7" w14:textId="77777777" w:rsidR="009262C4" w:rsidRDefault="00000000">
            <w:pPr>
              <w:spacing w:after="40" w:line="240" w:lineRule="auto"/>
              <w:jc w:val="left"/>
            </w:pPr>
            <w:r>
              <w:rPr>
                <w:rFonts w:ascii="Palatino Linotype" w:hAnsi="Palatino Linotype" w:cs="Palatino Linotype"/>
                <w:color w:val="000000"/>
                <w:sz w:val="19"/>
                <w:szCs w:val="17"/>
              </w:rPr>
              <w:t xml:space="preserve">Albalwy et al. (2021)</w:t>
            </w:r>
          </w:p>
        </w:tc>
        <w:tc>
          <w:tcPr>
            <w:tcW w:w="5499" w:type="dxa"/>
            <w:tcBorders>
              <w:top w:val="nil"/>
              <w:left w:val="nil"/>
              <w:bottom w:val="nil"/>
              <w:right w:val="nil"/>
              <w:insideH w:val="nil"/>
              <w:insideV w:val="nil"/>
            </w:tcBorders>
            <w:tcMar>
              <w:top w:w="40" w:type="dxa"/>
              <w:left w:w="80" w:type="dxa"/>
              <w:bottom w:w="40" w:type="dxa"/>
              <w:right w:w="80" w:type="dxa"/>
            </w:tcMar>
          </w:tcPr>
          <w:p w14:paraId="46A1F0AE" w14:textId="77777777" w:rsidR="009262C4" w:rsidRDefault="00000000">
            <w:pPr>
              <w:spacing w:after="40" w:line="240" w:lineRule="auto"/>
              <w:jc w:val="left"/>
            </w:pPr>
            <w:r>
              <w:rPr>
                <w:rFonts w:ascii="Palatino Linotype" w:hAnsi="Palatino Linotype" w:cs="Palatino Linotype"/>
                <w:color w:val="000000"/>
                <w:sz w:val="19"/>
                <w:szCs w:val="17"/>
              </w:rPr>
              <w:t>A Blockchain-based dynamic consent architecture to support clinical genomic data sharing (ConsentChain): Proof-of-concept study</w:t>
            </w:r>
          </w:p>
        </w:tc>
      </w:tr>
      <w:tr w:rsidR="009262C4" w14:paraId="472B59D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DFCB26" w14:textId="77777777" w:rsidR="009262C4" w:rsidRDefault="00000000">
            <w:pPr>
              <w:spacing w:after="40" w:line="240" w:lineRule="auto"/>
              <w:jc w:val="left"/>
            </w:pPr>
            <w:r>
              <w:rPr>
                <w:rFonts w:ascii="Palatino Linotype" w:hAnsi="Palatino Linotype" w:cs="Palatino Linotype"/>
                <w:color w:val="000000"/>
                <w:sz w:val="19"/>
                <w:szCs w:val="17"/>
              </w:rPr>
              <w:t>S3</w:t>
            </w:r>
          </w:p>
        </w:tc>
        <w:tc>
          <w:tcPr>
            <w:tcW w:w="2268" w:type="dxa"/>
            <w:tcBorders>
              <w:top w:val="nil"/>
              <w:left w:val="nil"/>
              <w:bottom w:val="nil"/>
              <w:right w:val="nil"/>
              <w:insideH w:val="nil"/>
              <w:insideV w:val="nil"/>
            </w:tcBorders>
            <w:tcMar>
              <w:top w:w="40" w:type="dxa"/>
              <w:left w:w="80" w:type="dxa"/>
              <w:bottom w:w="40" w:type="dxa"/>
              <w:right w:w="80" w:type="dxa"/>
            </w:tcMar>
          </w:tcPr>
          <w:p w14:paraId="3381561C" w14:textId="77777777" w:rsidR="009262C4" w:rsidRDefault="00000000">
            <w:pPr>
              <w:spacing w:after="40" w:line="240" w:lineRule="auto"/>
              <w:jc w:val="left"/>
            </w:pPr>
            <w:r>
              <w:rPr>
                <w:rFonts w:ascii="Palatino Linotype" w:hAnsi="Palatino Linotype" w:cs="Palatino Linotype"/>
                <w:color w:val="000000"/>
                <w:sz w:val="19"/>
                <w:szCs w:val="17"/>
              </w:rPr>
              <w:t>Al Amin et al. (2023)</w:t>
            </w:r>
          </w:p>
        </w:tc>
        <w:tc>
          <w:tcPr>
            <w:tcW w:w="5499" w:type="dxa"/>
            <w:tcBorders>
              <w:top w:val="nil"/>
              <w:left w:val="nil"/>
              <w:bottom w:val="nil"/>
              <w:right w:val="nil"/>
              <w:insideH w:val="nil"/>
              <w:insideV w:val="nil"/>
            </w:tcBorders>
            <w:tcMar>
              <w:top w:w="40" w:type="dxa"/>
              <w:left w:w="80" w:type="dxa"/>
              <w:bottom w:w="40" w:type="dxa"/>
              <w:right w:w="80" w:type="dxa"/>
            </w:tcMar>
          </w:tcPr>
          <w:p w14:paraId="0CA442B3" w14:textId="77777777" w:rsidR="009262C4" w:rsidRDefault="00000000">
            <w:pPr>
              <w:spacing w:after="40" w:line="240" w:lineRule="auto"/>
              <w:jc w:val="left"/>
            </w:pPr>
            <w:r>
              <w:rPr>
                <w:rFonts w:ascii="Palatino Linotype" w:hAnsi="Palatino Linotype" w:cs="Palatino Linotype"/>
                <w:color w:val="000000"/>
                <w:sz w:val="19"/>
                <w:szCs w:val="17"/>
              </w:rPr>
              <w:t>Informed Consent as Patient Driven Policy for Clinical Diagnosis and Treatment: A Smart Contract Based Approach</w:t>
            </w:r>
          </w:p>
        </w:tc>
      </w:tr>
      <w:tr w:rsidR="009262C4" w14:paraId="692DB973"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65233871" w14:textId="77777777" w:rsidR="009262C4" w:rsidRDefault="00000000">
            <w:pPr>
              <w:spacing w:after="40" w:line="240" w:lineRule="auto"/>
              <w:jc w:val="left"/>
            </w:pPr>
            <w:r>
              <w:rPr>
                <w:rFonts w:ascii="Palatino Linotype" w:hAnsi="Palatino Linotype" w:cs="Palatino Linotype"/>
                <w:color w:val="000000"/>
                <w:sz w:val="19"/>
                <w:szCs w:val="17"/>
              </w:rPr>
              <w:t>S4</w:t>
            </w:r>
          </w:p>
        </w:tc>
        <w:tc>
          <w:tcPr>
            <w:tcW w:w="2268" w:type="dxa"/>
            <w:tcBorders>
              <w:top w:val="nil"/>
              <w:left w:val="nil"/>
              <w:bottom w:val="nil"/>
              <w:right w:val="nil"/>
              <w:insideH w:val="nil"/>
              <w:insideV w:val="nil"/>
            </w:tcBorders>
            <w:tcMar>
              <w:top w:w="40" w:type="dxa"/>
              <w:left w:w="80" w:type="dxa"/>
              <w:bottom w:w="40" w:type="dxa"/>
              <w:right w:w="80" w:type="dxa"/>
            </w:tcMar>
          </w:tcPr>
          <w:p w14:paraId="133939FE" w14:textId="77777777" w:rsidR="009262C4" w:rsidRDefault="00000000">
            <w:pPr>
              <w:spacing w:after="40" w:line="240" w:lineRule="auto"/>
              <w:jc w:val="left"/>
            </w:pPr>
            <w:r>
              <w:rPr>
                <w:rFonts w:ascii="Palatino Linotype" w:hAnsi="Palatino Linotype" w:cs="Palatino Linotype"/>
                <w:color w:val="000000"/>
                <w:sz w:val="19"/>
                <w:szCs w:val="17"/>
              </w:rPr>
              <w:t>Ekholm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67384542" w14:textId="77777777" w:rsidR="009262C4" w:rsidRDefault="00000000">
            <w:pPr>
              <w:spacing w:after="40" w:line="240" w:lineRule="auto"/>
              <w:jc w:val="left"/>
            </w:pPr>
            <w:r>
              <w:rPr>
                <w:rFonts w:ascii="Palatino Linotype" w:hAnsi="Palatino Linotype" w:cs="Palatino Linotype"/>
                <w:color w:val="000000"/>
                <w:sz w:val="19"/>
                <w:szCs w:val="17"/>
              </w:rPr>
              <w:t>Implementing electronic informed consent in rare disease genomics</w:t>
            </w:r>
          </w:p>
        </w:tc>
      </w:tr>
      <w:tr w:rsidR="009262C4" w14:paraId="59A83339"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A3065E5" w14:textId="77777777" w:rsidR="009262C4" w:rsidRDefault="00000000">
            <w:pPr>
              <w:spacing w:after="40" w:line="240" w:lineRule="auto"/>
              <w:jc w:val="left"/>
            </w:pPr>
            <w:r>
              <w:rPr>
                <w:rFonts w:ascii="Palatino Linotype" w:hAnsi="Palatino Linotype" w:cs="Palatino Linotype"/>
                <w:color w:val="000000"/>
                <w:sz w:val="19"/>
                <w:szCs w:val="17"/>
              </w:rPr>
              <w:t>S5</w:t>
            </w:r>
          </w:p>
        </w:tc>
        <w:tc>
          <w:tcPr>
            <w:tcW w:w="2268" w:type="dxa"/>
            <w:tcBorders>
              <w:top w:val="nil"/>
              <w:left w:val="nil"/>
              <w:bottom w:val="nil"/>
              <w:right w:val="nil"/>
              <w:insideH w:val="nil"/>
              <w:insideV w:val="nil"/>
            </w:tcBorders>
            <w:tcMar>
              <w:top w:w="40" w:type="dxa"/>
              <w:left w:w="80" w:type="dxa"/>
              <w:bottom w:w="40" w:type="dxa"/>
              <w:right w:w="80" w:type="dxa"/>
            </w:tcMar>
          </w:tcPr>
          <w:p w14:paraId="4DC1B1FF" w14:textId="77777777" w:rsidR="009262C4" w:rsidRDefault="00000000">
            <w:pPr>
              <w:spacing w:after="40" w:line="240" w:lineRule="auto"/>
              <w:jc w:val="left"/>
            </w:pPr>
            <w:r>
              <w:rPr>
                <w:rFonts w:ascii="Palatino Linotype" w:hAnsi="Palatino Linotype" w:cs="Palatino Linotype"/>
                <w:color w:val="000000"/>
                <w:sz w:val="19"/>
                <w:szCs w:val="17"/>
              </w:rPr>
              <w:t>Eneh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2C262A7F" w14:textId="77777777" w:rsidR="009262C4" w:rsidRDefault="00000000">
            <w:pPr>
              <w:spacing w:after="40" w:line="240" w:lineRule="auto"/>
              <w:jc w:val="left"/>
            </w:pPr>
            <w:r>
              <w:rPr>
                <w:rFonts w:ascii="Palatino Linotype" w:hAnsi="Palatino Linotype" w:cs="Palatino Linotype"/>
                <w:color w:val="000000"/>
                <w:sz w:val="19"/>
                <w:szCs w:val="17"/>
              </w:rPr>
              <w:t xml:space="preserve">Demo: EdgeConsent: On-Chain Attribute-Based Access Control for Data Consent Management</w:t>
            </w:r>
          </w:p>
        </w:tc>
      </w:tr>
      <w:tr w:rsidR="009262C4" w14:paraId="3A3C15B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4C1E9E6" w14:textId="77777777" w:rsidR="009262C4" w:rsidRDefault="00000000">
            <w:pPr>
              <w:spacing w:after="40" w:line="240" w:lineRule="auto"/>
              <w:jc w:val="left"/>
            </w:pPr>
            <w:r>
              <w:rPr>
                <w:rFonts w:ascii="Palatino Linotype" w:hAnsi="Palatino Linotype" w:cs="Palatino Linotype"/>
                <w:color w:val="000000"/>
                <w:sz w:val="19"/>
                <w:szCs w:val="17"/>
              </w:rPr>
              <w:t>S6</w:t>
            </w:r>
          </w:p>
        </w:tc>
        <w:tc>
          <w:tcPr>
            <w:tcW w:w="2268" w:type="dxa"/>
            <w:tcBorders>
              <w:top w:val="nil"/>
              <w:left w:val="nil"/>
              <w:bottom w:val="nil"/>
              <w:right w:val="nil"/>
              <w:insideH w:val="nil"/>
              <w:insideV w:val="nil"/>
            </w:tcBorders>
            <w:tcMar>
              <w:top w:w="40" w:type="dxa"/>
              <w:left w:w="80" w:type="dxa"/>
              <w:bottom w:w="40" w:type="dxa"/>
              <w:right w:w="80" w:type="dxa"/>
            </w:tcMar>
          </w:tcPr>
          <w:p w14:paraId="3E36EE60" w14:textId="77777777" w:rsidR="009262C4" w:rsidRDefault="00000000">
            <w:pPr>
              <w:spacing w:after="40" w:line="240" w:lineRule="auto"/>
              <w:jc w:val="left"/>
            </w:pPr>
            <w:r>
              <w:rPr>
                <w:rFonts w:ascii="Palatino Linotype" w:hAnsi="Palatino Linotype" w:cs="Palatino Linotype"/>
                <w:color w:val="000000"/>
                <w:sz w:val="19"/>
                <w:szCs w:val="17"/>
              </w:rPr>
              <w:t>Hagström et al. (2024)</w:t>
            </w:r>
          </w:p>
        </w:tc>
        <w:tc>
          <w:tcPr>
            <w:tcW w:w="5499" w:type="dxa"/>
            <w:tcBorders>
              <w:top w:val="nil"/>
              <w:left w:val="nil"/>
              <w:bottom w:val="nil"/>
              <w:right w:val="nil"/>
              <w:insideH w:val="nil"/>
              <w:insideV w:val="nil"/>
            </w:tcBorders>
            <w:tcMar>
              <w:top w:w="40" w:type="dxa"/>
              <w:left w:w="80" w:type="dxa"/>
              <w:bottom w:w="40" w:type="dxa"/>
              <w:right w:w="80" w:type="dxa"/>
            </w:tcMar>
          </w:tcPr>
          <w:p w14:paraId="79D150DF" w14:textId="77777777" w:rsidR="009262C4" w:rsidRDefault="00000000">
            <w:pPr>
              <w:spacing w:after="40" w:line="240" w:lineRule="auto"/>
              <w:jc w:val="left"/>
            </w:pPr>
            <w:r>
              <w:rPr>
                <w:rFonts w:ascii="Palatino Linotype" w:hAnsi="Palatino Linotype" w:cs="Palatino Linotype"/>
                <w:color w:val="000000"/>
                <w:sz w:val="19"/>
                <w:szCs w:val="17"/>
              </w:rPr>
              <w:t>Minors’ and guardian access to and use of a national patient portal: A retrospective comparative case study of Sweden and Finland</w:t>
            </w:r>
          </w:p>
        </w:tc>
      </w:tr>
      <w:tr w:rsidR="009262C4" w14:paraId="6D0D08A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E1B2577" w14:textId="77777777" w:rsidR="009262C4" w:rsidRDefault="00000000">
            <w:pPr>
              <w:spacing w:after="40" w:line="240" w:lineRule="auto"/>
              <w:jc w:val="left"/>
            </w:pPr>
            <w:r>
              <w:rPr>
                <w:rFonts w:ascii="Palatino Linotype" w:hAnsi="Palatino Linotype" w:cs="Palatino Linotype"/>
                <w:color w:val="000000"/>
                <w:sz w:val="19"/>
                <w:szCs w:val="17"/>
              </w:rPr>
              <w:t>S7</w:t>
            </w:r>
          </w:p>
        </w:tc>
        <w:tc>
          <w:tcPr>
            <w:tcW w:w="2268" w:type="dxa"/>
            <w:tcBorders>
              <w:top w:val="nil"/>
              <w:left w:val="nil"/>
              <w:bottom w:val="nil"/>
              <w:right w:val="nil"/>
              <w:insideH w:val="nil"/>
              <w:insideV w:val="nil"/>
            </w:tcBorders>
            <w:tcMar>
              <w:top w:w="40" w:type="dxa"/>
              <w:left w:w="80" w:type="dxa"/>
              <w:bottom w:w="40" w:type="dxa"/>
              <w:right w:w="80" w:type="dxa"/>
            </w:tcMar>
          </w:tcPr>
          <w:p w14:paraId="62792157" w14:textId="77777777" w:rsidR="009262C4" w:rsidRDefault="00000000">
            <w:pPr>
              <w:spacing w:after="40" w:line="240" w:lineRule="auto"/>
              <w:jc w:val="left"/>
            </w:pPr>
            <w:r>
              <w:rPr>
                <w:rFonts w:ascii="Palatino Linotype" w:hAnsi="Palatino Linotype" w:cs="Palatino Linotype"/>
                <w:color w:val="000000"/>
                <w:sz w:val="19"/>
                <w:szCs w:val="17"/>
              </w:rPr>
              <w:t xml:space="preserve">Jaiman and Urovi (2020)</w:t>
            </w:r>
          </w:p>
        </w:tc>
        <w:tc>
          <w:tcPr>
            <w:tcW w:w="5499" w:type="dxa"/>
            <w:tcBorders>
              <w:top w:val="nil"/>
              <w:left w:val="nil"/>
              <w:bottom w:val="nil"/>
              <w:right w:val="nil"/>
              <w:insideH w:val="nil"/>
              <w:insideV w:val="nil"/>
            </w:tcBorders>
            <w:tcMar>
              <w:top w:w="40" w:type="dxa"/>
              <w:left w:w="80" w:type="dxa"/>
              <w:bottom w:w="40" w:type="dxa"/>
              <w:right w:w="80" w:type="dxa"/>
            </w:tcMar>
          </w:tcPr>
          <w:p w14:paraId="2DB70D26" w14:textId="77777777" w:rsidR="009262C4" w:rsidRDefault="00000000">
            <w:pPr>
              <w:spacing w:after="40" w:line="240" w:lineRule="auto"/>
              <w:jc w:val="left"/>
            </w:pPr>
            <w:r>
              <w:rPr>
                <w:rFonts w:ascii="Palatino Linotype" w:hAnsi="Palatino Linotype" w:cs="Palatino Linotype"/>
                <w:color w:val="000000"/>
                <w:sz w:val="19"/>
                <w:szCs w:val="17"/>
              </w:rPr>
              <w:t>A Consent Model for Blockchain-Based Health Data Sharing Platforms</w:t>
            </w:r>
          </w:p>
        </w:tc>
      </w:tr>
      <w:tr w:rsidR="009262C4" w14:paraId="437C48B1"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8124F14" w14:textId="77777777" w:rsidR="009262C4" w:rsidRDefault="00000000">
            <w:pPr>
              <w:spacing w:after="40" w:line="240" w:lineRule="auto"/>
              <w:jc w:val="left"/>
            </w:pPr>
            <w:r>
              <w:rPr>
                <w:rFonts w:ascii="Palatino Linotype" w:hAnsi="Palatino Linotype" w:cs="Palatino Linotype"/>
                <w:color w:val="000000"/>
                <w:sz w:val="19"/>
                <w:szCs w:val="17"/>
              </w:rPr>
              <w:lastRenderedPageBreak/>
              <w:t>S8</w:t>
            </w:r>
          </w:p>
        </w:tc>
        <w:tc>
          <w:tcPr>
            <w:tcW w:w="2268" w:type="dxa"/>
            <w:tcBorders>
              <w:top w:val="nil"/>
              <w:left w:val="nil"/>
              <w:bottom w:val="nil"/>
              <w:right w:val="nil"/>
              <w:insideH w:val="nil"/>
              <w:insideV w:val="nil"/>
            </w:tcBorders>
            <w:tcMar>
              <w:top w:w="40" w:type="dxa"/>
              <w:left w:w="80" w:type="dxa"/>
              <w:bottom w:w="40" w:type="dxa"/>
              <w:right w:w="80" w:type="dxa"/>
            </w:tcMar>
          </w:tcPr>
          <w:p w14:paraId="61708CB4" w14:textId="77777777" w:rsidR="009262C4" w:rsidRDefault="00000000">
            <w:pPr>
              <w:spacing w:after="40" w:line="240" w:lineRule="auto"/>
              <w:jc w:val="left"/>
            </w:pPr>
            <w:r>
              <w:rPr>
                <w:rFonts w:ascii="Palatino Linotype" w:hAnsi="Palatino Linotype" w:cs="Palatino Linotype"/>
                <w:color w:val="000000"/>
                <w:sz w:val="19"/>
                <w:szCs w:val="17"/>
              </w:rPr>
              <w:t>Zhao and Su (2024)</w:t>
            </w:r>
          </w:p>
        </w:tc>
        <w:tc>
          <w:tcPr>
            <w:tcW w:w="5499" w:type="dxa"/>
            <w:tcBorders>
              <w:top w:val="nil"/>
              <w:left w:val="nil"/>
              <w:bottom w:val="nil"/>
              <w:right w:val="nil"/>
              <w:insideH w:val="nil"/>
              <w:insideV w:val="nil"/>
            </w:tcBorders>
            <w:tcMar>
              <w:top w:w="40" w:type="dxa"/>
              <w:left w:w="80" w:type="dxa"/>
              <w:bottom w:w="40" w:type="dxa"/>
              <w:right w:w="80" w:type="dxa"/>
            </w:tcMar>
          </w:tcPr>
          <w:p w14:paraId="6FFACC32" w14:textId="77777777" w:rsidR="009262C4" w:rsidRDefault="00000000">
            <w:pPr>
              <w:spacing w:after="40" w:line="240" w:lineRule="auto"/>
              <w:jc w:val="left"/>
            </w:pPr>
            <w:r>
              <w:rPr>
                <w:rFonts w:ascii="Palatino Linotype" w:hAnsi="Palatino Linotype" w:cs="Palatino Linotype"/>
                <w:color w:val="000000"/>
                <w:sz w:val="19"/>
                <w:szCs w:val="17"/>
              </w:rPr>
              <w:t>A threshold traceable delegation authorization scheme for data sharing in healthcare</w:t>
            </w:r>
          </w:p>
        </w:tc>
      </w:tr>
      <w:tr w:rsidR="009262C4" w14:paraId="5F6D2AF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1FD9541" w14:textId="77777777" w:rsidR="009262C4" w:rsidRDefault="00000000">
            <w:pPr>
              <w:spacing w:after="40" w:line="240" w:lineRule="auto"/>
              <w:jc w:val="left"/>
            </w:pPr>
            <w:r>
              <w:rPr>
                <w:rFonts w:ascii="Palatino Linotype" w:hAnsi="Palatino Linotype" w:cs="Palatino Linotype"/>
                <w:color w:val="000000"/>
                <w:sz w:val="19"/>
                <w:szCs w:val="17"/>
              </w:rPr>
              <w:t>S9</w:t>
            </w:r>
          </w:p>
        </w:tc>
        <w:tc>
          <w:tcPr>
            <w:tcW w:w="2268" w:type="dxa"/>
            <w:tcBorders>
              <w:top w:val="nil"/>
              <w:left w:val="nil"/>
              <w:bottom w:val="nil"/>
              <w:right w:val="nil"/>
              <w:insideH w:val="nil"/>
              <w:insideV w:val="nil"/>
            </w:tcBorders>
            <w:tcMar>
              <w:top w:w="40" w:type="dxa"/>
              <w:left w:w="80" w:type="dxa"/>
              <w:bottom w:w="40" w:type="dxa"/>
              <w:right w:w="80" w:type="dxa"/>
            </w:tcMar>
          </w:tcPr>
          <w:p w14:paraId="4853A81E" w14:textId="77777777" w:rsidR="009262C4" w:rsidRDefault="00000000">
            <w:pPr>
              <w:spacing w:after="40" w:line="240" w:lineRule="auto"/>
              <w:jc w:val="left"/>
            </w:pPr>
            <w:r>
              <w:rPr>
                <w:rFonts w:ascii="Palatino Linotype" w:hAnsi="Palatino Linotype" w:cs="Palatino Linotype"/>
                <w:color w:val="000000"/>
                <w:sz w:val="19"/>
                <w:szCs w:val="17"/>
              </w:rPr>
              <w:t>Li et al. (2026a)</w:t>
            </w:r>
          </w:p>
        </w:tc>
        <w:tc>
          <w:tcPr>
            <w:tcW w:w="5499" w:type="dxa"/>
            <w:tcBorders>
              <w:top w:val="nil"/>
              <w:left w:val="nil"/>
              <w:bottom w:val="nil"/>
              <w:right w:val="nil"/>
              <w:insideH w:val="nil"/>
              <w:insideV w:val="nil"/>
            </w:tcBorders>
            <w:tcMar>
              <w:top w:w="40" w:type="dxa"/>
              <w:left w:w="80" w:type="dxa"/>
              <w:bottom w:w="40" w:type="dxa"/>
              <w:right w:w="80" w:type="dxa"/>
            </w:tcMar>
          </w:tcPr>
          <w:p w14:paraId="6953D7C9" w14:textId="77777777" w:rsidR="009262C4" w:rsidRDefault="00000000">
            <w:pPr>
              <w:spacing w:after="40" w:line="240" w:lineRule="auto"/>
              <w:jc w:val="left"/>
            </w:pPr>
            <w:r>
              <w:rPr>
                <w:rFonts w:ascii="Palatino Linotype" w:hAnsi="Palatino Linotype" w:cs="Palatino Linotype"/>
                <w:color w:val="000000"/>
                <w:sz w:val="19"/>
                <w:szCs w:val="17"/>
              </w:rPr>
              <w:t xml:space="preserve">Privacy-Preserving Fine-Grained EMR Access Control for IoMT: A Hybrid RBAC-Smart Contract Scheme With Attribute-Based Authorization</w:t>
            </w:r>
          </w:p>
        </w:tc>
      </w:tr>
      <w:tr w:rsidR="009262C4" w14:paraId="11829EE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A15EECA" w14:textId="77777777" w:rsidR="009262C4" w:rsidRDefault="00000000">
            <w:pPr>
              <w:spacing w:after="40" w:line="240" w:lineRule="auto"/>
              <w:jc w:val="left"/>
            </w:pPr>
            <w:r>
              <w:rPr>
                <w:rFonts w:ascii="Palatino Linotype" w:hAnsi="Palatino Linotype" w:cs="Palatino Linotype"/>
                <w:color w:val="000000"/>
                <w:sz w:val="19"/>
                <w:szCs w:val="17"/>
              </w:rPr>
              <w:t>S10</w:t>
            </w:r>
          </w:p>
        </w:tc>
        <w:tc>
          <w:tcPr>
            <w:tcW w:w="2268" w:type="dxa"/>
            <w:tcBorders>
              <w:top w:val="nil"/>
              <w:left w:val="nil"/>
              <w:bottom w:val="nil"/>
              <w:right w:val="nil"/>
              <w:insideH w:val="nil"/>
              <w:insideV w:val="nil"/>
            </w:tcBorders>
            <w:tcMar>
              <w:top w:w="40" w:type="dxa"/>
              <w:left w:w="80" w:type="dxa"/>
              <w:bottom w:w="40" w:type="dxa"/>
              <w:right w:w="80" w:type="dxa"/>
            </w:tcMar>
          </w:tcPr>
          <w:p w14:paraId="3676A9E7" w14:textId="77777777" w:rsidR="009262C4" w:rsidRDefault="00000000">
            <w:pPr>
              <w:spacing w:after="40" w:line="240" w:lineRule="auto"/>
              <w:jc w:val="left"/>
            </w:pPr>
            <w:r>
              <w:rPr>
                <w:rFonts w:ascii="Palatino Linotype" w:hAnsi="Palatino Linotype" w:cs="Palatino Linotype"/>
                <w:color w:val="000000"/>
                <w:sz w:val="19"/>
                <w:szCs w:val="17"/>
              </w:rPr>
              <w:t>Madine et al. (2020)</w:t>
            </w:r>
          </w:p>
        </w:tc>
        <w:tc>
          <w:tcPr>
            <w:tcW w:w="5499" w:type="dxa"/>
            <w:tcBorders>
              <w:top w:val="nil"/>
              <w:left w:val="nil"/>
              <w:bottom w:val="nil"/>
              <w:right w:val="nil"/>
              <w:insideH w:val="nil"/>
              <w:insideV w:val="nil"/>
            </w:tcBorders>
            <w:tcMar>
              <w:top w:w="40" w:type="dxa"/>
              <w:left w:w="80" w:type="dxa"/>
              <w:bottom w:w="40" w:type="dxa"/>
              <w:right w:w="80" w:type="dxa"/>
            </w:tcMar>
          </w:tcPr>
          <w:p w14:paraId="7B8ED551" w14:textId="77777777" w:rsidR="009262C4" w:rsidRDefault="00000000">
            <w:pPr>
              <w:spacing w:after="40" w:line="240" w:lineRule="auto"/>
              <w:jc w:val="left"/>
            </w:pPr>
            <w:r>
              <w:rPr>
                <w:rFonts w:ascii="Palatino Linotype" w:hAnsi="Palatino Linotype" w:cs="Palatino Linotype"/>
                <w:color w:val="000000"/>
                <w:sz w:val="19"/>
                <w:szCs w:val="17"/>
              </w:rPr>
              <w:t>Fully Decentralized Multi-Party Consent Management for Secure Sharing of Patient Health Records</w:t>
            </w:r>
          </w:p>
        </w:tc>
      </w:tr>
      <w:tr w:rsidR="009262C4" w14:paraId="088BB45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167C46" w14:textId="77777777" w:rsidR="009262C4" w:rsidRDefault="00000000">
            <w:pPr>
              <w:spacing w:after="40" w:line="240" w:lineRule="auto"/>
              <w:jc w:val="left"/>
            </w:pPr>
            <w:r>
              <w:rPr>
                <w:rFonts w:ascii="Palatino Linotype" w:hAnsi="Palatino Linotype" w:cs="Palatino Linotype"/>
                <w:color w:val="000000"/>
                <w:sz w:val="19"/>
                <w:szCs w:val="17"/>
              </w:rPr>
              <w:t>S11</w:t>
            </w:r>
          </w:p>
        </w:tc>
        <w:tc>
          <w:tcPr>
            <w:tcW w:w="2268" w:type="dxa"/>
            <w:tcBorders>
              <w:top w:val="nil"/>
              <w:left w:val="nil"/>
              <w:bottom w:val="nil"/>
              <w:right w:val="nil"/>
              <w:insideH w:val="nil"/>
              <w:insideV w:val="nil"/>
            </w:tcBorders>
            <w:tcMar>
              <w:top w:w="40" w:type="dxa"/>
              <w:left w:w="80" w:type="dxa"/>
              <w:bottom w:w="40" w:type="dxa"/>
              <w:right w:w="80" w:type="dxa"/>
            </w:tcMar>
          </w:tcPr>
          <w:p w14:paraId="08AA7568" w14:textId="77777777" w:rsidR="009262C4" w:rsidRDefault="00000000">
            <w:pPr>
              <w:spacing w:after="40" w:line="240" w:lineRule="auto"/>
              <w:jc w:val="left"/>
            </w:pPr>
            <w:r>
              <w:rPr>
                <w:rFonts w:ascii="Palatino Linotype" w:hAnsi="Palatino Linotype" w:cs="Palatino Linotype"/>
                <w:color w:val="000000"/>
                <w:sz w:val="19"/>
                <w:szCs w:val="17"/>
              </w:rPr>
              <w:t>Maruthi and Singh (2025)</w:t>
            </w:r>
          </w:p>
        </w:tc>
        <w:tc>
          <w:tcPr>
            <w:tcW w:w="5499" w:type="dxa"/>
            <w:tcBorders>
              <w:top w:val="nil"/>
              <w:left w:val="nil"/>
              <w:bottom w:val="nil"/>
              <w:right w:val="nil"/>
              <w:insideH w:val="nil"/>
              <w:insideV w:val="nil"/>
            </w:tcBorders>
            <w:tcMar>
              <w:top w:w="40" w:type="dxa"/>
              <w:left w:w="80" w:type="dxa"/>
              <w:bottom w:w="40" w:type="dxa"/>
              <w:right w:w="80" w:type="dxa"/>
            </w:tcMar>
          </w:tcPr>
          <w:p w14:paraId="16F18898" w14:textId="77777777" w:rsidR="009262C4" w:rsidRDefault="00000000">
            <w:pPr>
              <w:spacing w:after="40" w:line="240" w:lineRule="auto"/>
              <w:jc w:val="left"/>
            </w:pPr>
            <w:r>
              <w:rPr>
                <w:rFonts w:ascii="Palatino Linotype" w:hAnsi="Palatino Linotype" w:cs="Palatino Linotype"/>
                <w:color w:val="000000"/>
                <w:sz w:val="19"/>
                <w:szCs w:val="17"/>
              </w:rPr>
              <w:t xml:space="preserve">Enhancing Security and Privacy of IoMT Data for Unconscious Patient With Blockchain</w:t>
            </w:r>
          </w:p>
        </w:tc>
      </w:tr>
      <w:tr w:rsidR="009262C4" w14:paraId="7C8EF4D3"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291C73D" w14:textId="77777777" w:rsidR="009262C4" w:rsidRDefault="00000000">
            <w:pPr>
              <w:spacing w:after="40" w:line="240" w:lineRule="auto"/>
              <w:jc w:val="left"/>
            </w:pPr>
            <w:r>
              <w:rPr>
                <w:rFonts w:ascii="Palatino Linotype" w:hAnsi="Palatino Linotype" w:cs="Palatino Linotype"/>
                <w:color w:val="000000"/>
                <w:sz w:val="19"/>
                <w:szCs w:val="17"/>
              </w:rPr>
              <w:t>S12</w:t>
            </w:r>
          </w:p>
        </w:tc>
        <w:tc>
          <w:tcPr>
            <w:tcW w:w="2268" w:type="dxa"/>
            <w:tcBorders>
              <w:top w:val="nil"/>
              <w:left w:val="nil"/>
              <w:bottom w:val="nil"/>
              <w:right w:val="nil"/>
              <w:insideH w:val="nil"/>
              <w:insideV w:val="nil"/>
            </w:tcBorders>
            <w:tcMar>
              <w:top w:w="40" w:type="dxa"/>
              <w:left w:w="80" w:type="dxa"/>
              <w:bottom w:w="40" w:type="dxa"/>
              <w:right w:w="80" w:type="dxa"/>
            </w:tcMar>
          </w:tcPr>
          <w:p w14:paraId="5D956F5C" w14:textId="77777777" w:rsidR="009262C4" w:rsidRDefault="00000000">
            <w:pPr>
              <w:spacing w:after="40" w:line="240" w:lineRule="auto"/>
              <w:jc w:val="left"/>
            </w:pPr>
            <w:r>
              <w:rPr>
                <w:rFonts w:ascii="Palatino Linotype" w:hAnsi="Palatino Linotype" w:cs="Palatino Linotype"/>
                <w:color w:val="000000"/>
                <w:sz w:val="19"/>
                <w:szCs w:val="17"/>
              </w:rPr>
              <w:t>Mei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0AC685C5" w14:textId="77777777" w:rsidR="009262C4" w:rsidRDefault="00000000">
            <w:pPr>
              <w:spacing w:after="40" w:line="240" w:lineRule="auto"/>
              <w:jc w:val="left"/>
            </w:pPr>
            <w:r>
              <w:rPr>
                <w:rFonts w:ascii="Palatino Linotype" w:hAnsi="Palatino Linotype" w:cs="Palatino Linotype"/>
                <w:color w:val="000000"/>
                <w:sz w:val="19"/>
                <w:szCs w:val="17"/>
              </w:rPr>
              <w:t>Efficient Dual-Revocation CP-ABE for Secure and Fine-Grained Data Sharing in IoMT</w:t>
            </w:r>
          </w:p>
        </w:tc>
      </w:tr>
      <w:tr w:rsidR="009262C4" w14:paraId="38E4B69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3533179" w14:textId="77777777" w:rsidR="009262C4" w:rsidRDefault="00000000">
            <w:pPr>
              <w:spacing w:after="40" w:line="240" w:lineRule="auto"/>
              <w:jc w:val="left"/>
            </w:pPr>
            <w:r>
              <w:rPr>
                <w:rFonts w:ascii="Palatino Linotype" w:hAnsi="Palatino Linotype" w:cs="Palatino Linotype"/>
                <w:color w:val="000000"/>
                <w:sz w:val="19"/>
                <w:szCs w:val="17"/>
              </w:rPr>
              <w:t>S13</w:t>
            </w:r>
          </w:p>
        </w:tc>
        <w:tc>
          <w:tcPr>
            <w:tcW w:w="2268" w:type="dxa"/>
            <w:tcBorders>
              <w:top w:val="nil"/>
              <w:left w:val="nil"/>
              <w:bottom w:val="nil"/>
              <w:right w:val="nil"/>
              <w:insideH w:val="nil"/>
              <w:insideV w:val="nil"/>
            </w:tcBorders>
            <w:tcMar>
              <w:top w:w="40" w:type="dxa"/>
              <w:left w:w="80" w:type="dxa"/>
              <w:bottom w:w="40" w:type="dxa"/>
              <w:right w:w="80" w:type="dxa"/>
            </w:tcMar>
          </w:tcPr>
          <w:p w14:paraId="799DBB4E" w14:textId="77777777" w:rsidR="009262C4" w:rsidRDefault="00000000">
            <w:pPr>
              <w:spacing w:after="40" w:line="240" w:lineRule="auto"/>
              <w:jc w:val="left"/>
            </w:pPr>
            <w:r>
              <w:rPr>
                <w:rFonts w:ascii="Palatino Linotype" w:hAnsi="Palatino Linotype" w:cs="Palatino Linotype"/>
                <w:color w:val="000000"/>
                <w:sz w:val="19"/>
                <w:szCs w:val="17"/>
              </w:rPr>
              <w:t>Panagoulias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12A75CE1" w14:textId="77777777" w:rsidR="009262C4" w:rsidRDefault="00000000">
            <w:pPr>
              <w:spacing w:after="40" w:line="240" w:lineRule="auto"/>
              <w:jc w:val="left"/>
            </w:pPr>
            <w:r>
              <w:rPr>
                <w:rFonts w:ascii="Palatino Linotype" w:hAnsi="Palatino Linotype" w:cs="Palatino Linotype"/>
                <w:color w:val="000000"/>
                <w:sz w:val="19"/>
                <w:szCs w:val="17"/>
              </w:rPr>
              <w:t>Blockchain-Enabled Trust and Compliance for Clinical AI: Decentralized Governance Without Decentralized Data Storage</w:t>
            </w:r>
          </w:p>
        </w:tc>
      </w:tr>
      <w:tr w:rsidR="009262C4" w14:paraId="31B38100"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393E3F1C" w14:textId="77777777" w:rsidR="009262C4" w:rsidRDefault="00000000">
            <w:pPr>
              <w:spacing w:after="40" w:line="240" w:lineRule="auto"/>
              <w:jc w:val="left"/>
            </w:pPr>
            <w:r>
              <w:rPr>
                <w:rFonts w:ascii="Palatino Linotype" w:hAnsi="Palatino Linotype" w:cs="Palatino Linotype"/>
                <w:color w:val="000000"/>
                <w:sz w:val="19"/>
                <w:szCs w:val="17"/>
              </w:rPr>
              <w:t>S14</w:t>
            </w:r>
          </w:p>
        </w:tc>
        <w:tc>
          <w:tcPr>
            <w:tcW w:w="2268" w:type="dxa"/>
            <w:tcBorders>
              <w:top w:val="nil"/>
              <w:left w:val="nil"/>
              <w:bottom w:val="nil"/>
              <w:right w:val="nil"/>
              <w:insideH w:val="nil"/>
              <w:insideV w:val="nil"/>
            </w:tcBorders>
            <w:tcMar>
              <w:top w:w="40" w:type="dxa"/>
              <w:left w:w="80" w:type="dxa"/>
              <w:bottom w:w="40" w:type="dxa"/>
              <w:right w:w="80" w:type="dxa"/>
            </w:tcMar>
          </w:tcPr>
          <w:p w14:paraId="2407F71B" w14:textId="77777777" w:rsidR="009262C4" w:rsidRDefault="00000000">
            <w:pPr>
              <w:spacing w:after="40" w:line="240" w:lineRule="auto"/>
              <w:jc w:val="left"/>
            </w:pPr>
            <w:r>
              <w:rPr>
                <w:rFonts w:ascii="Palatino Linotype" w:hAnsi="Palatino Linotype" w:cs="Palatino Linotype"/>
                <w:color w:val="000000"/>
                <w:sz w:val="19"/>
                <w:szCs w:val="17"/>
              </w:rPr>
              <w:t>Phuyal et al. (2026b)</w:t>
            </w:r>
          </w:p>
        </w:tc>
        <w:tc>
          <w:tcPr>
            <w:tcW w:w="5499" w:type="dxa"/>
            <w:tcBorders>
              <w:top w:val="nil"/>
              <w:left w:val="nil"/>
              <w:bottom w:val="nil"/>
              <w:right w:val="nil"/>
              <w:insideH w:val="nil"/>
              <w:insideV w:val="nil"/>
            </w:tcBorders>
            <w:tcMar>
              <w:top w:w="40" w:type="dxa"/>
              <w:left w:w="80" w:type="dxa"/>
              <w:bottom w:w="40" w:type="dxa"/>
              <w:right w:w="80" w:type="dxa"/>
            </w:tcMar>
          </w:tcPr>
          <w:p w14:paraId="6376196B" w14:textId="77777777" w:rsidR="009262C4" w:rsidRDefault="00000000">
            <w:pPr>
              <w:spacing w:after="40" w:line="240" w:lineRule="auto"/>
              <w:jc w:val="left"/>
            </w:pPr>
            <w:r>
              <w:rPr>
                <w:rFonts w:ascii="Palatino Linotype" w:hAnsi="Palatino Linotype" w:cs="Palatino Linotype"/>
                <w:color w:val="000000"/>
                <w:sz w:val="19"/>
                <w:szCs w:val="17"/>
              </w:rPr>
              <w:t xml:space="preserve">Enabling Cross-Institution Health Data Sharing in Norway: EUDI Wallets, On-Chain Consent, and openEHR↔FHIR Translation</w:t>
            </w:r>
          </w:p>
        </w:tc>
      </w:tr>
      <w:tr w:rsidR="009262C4" w14:paraId="4435B8B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4E68A8AD" w14:textId="77777777" w:rsidR="009262C4" w:rsidRDefault="00000000">
            <w:pPr>
              <w:spacing w:after="40" w:line="240" w:lineRule="auto"/>
              <w:jc w:val="left"/>
            </w:pPr>
            <w:r>
              <w:rPr>
                <w:rFonts w:ascii="Palatino Linotype" w:hAnsi="Palatino Linotype" w:cs="Palatino Linotype"/>
                <w:color w:val="000000"/>
                <w:sz w:val="19"/>
                <w:szCs w:val="17"/>
              </w:rPr>
              <w:t>S15</w:t>
            </w:r>
          </w:p>
        </w:tc>
        <w:tc>
          <w:tcPr>
            <w:tcW w:w="2268" w:type="dxa"/>
            <w:tcBorders>
              <w:top w:val="nil"/>
              <w:left w:val="nil"/>
              <w:bottom w:val="nil"/>
              <w:right w:val="nil"/>
              <w:insideH w:val="nil"/>
              <w:insideV w:val="nil"/>
            </w:tcBorders>
            <w:tcMar>
              <w:top w:w="40" w:type="dxa"/>
              <w:left w:w="80" w:type="dxa"/>
              <w:bottom w:w="40" w:type="dxa"/>
              <w:right w:w="80" w:type="dxa"/>
            </w:tcMar>
          </w:tcPr>
          <w:p w14:paraId="201BE039" w14:textId="77777777" w:rsidR="009262C4" w:rsidRDefault="00000000">
            <w:pPr>
              <w:spacing w:after="40" w:line="240" w:lineRule="auto"/>
              <w:jc w:val="left"/>
            </w:pPr>
            <w:r>
              <w:rPr>
                <w:rFonts w:ascii="Palatino Linotype" w:hAnsi="Palatino Linotype" w:cs="Palatino Linotype"/>
                <w:color w:val="000000"/>
                <w:sz w:val="19"/>
                <w:szCs w:val="17"/>
              </w:rPr>
              <w:t>Phuyal et al. (2026a)</w:t>
            </w:r>
          </w:p>
        </w:tc>
        <w:tc>
          <w:tcPr>
            <w:tcW w:w="5499" w:type="dxa"/>
            <w:tcBorders>
              <w:top w:val="nil"/>
              <w:left w:val="nil"/>
              <w:bottom w:val="nil"/>
              <w:right w:val="nil"/>
              <w:insideH w:val="nil"/>
              <w:insideV w:val="nil"/>
            </w:tcBorders>
            <w:tcMar>
              <w:top w:w="40" w:type="dxa"/>
              <w:left w:w="80" w:type="dxa"/>
              <w:bottom w:w="40" w:type="dxa"/>
              <w:right w:w="80" w:type="dxa"/>
            </w:tcMar>
          </w:tcPr>
          <w:p w14:paraId="04EE8F7B" w14:textId="77777777" w:rsidR="009262C4" w:rsidRDefault="00000000">
            <w:pPr>
              <w:spacing w:after="40" w:line="240" w:lineRule="auto"/>
              <w:jc w:val="left"/>
            </w:pPr>
            <w:r>
              <w:rPr>
                <w:rFonts w:ascii="Palatino Linotype" w:hAnsi="Palatino Linotype" w:cs="Palatino Linotype"/>
                <w:color w:val="000000"/>
                <w:sz w:val="19"/>
                <w:szCs w:val="17"/>
              </w:rPr>
              <w:t>A Blockchain-Based Architecture for Dynamic and Auditable Patient Consent in Secondary Use of Health Data</w:t>
            </w:r>
          </w:p>
        </w:tc>
      </w:tr>
      <w:tr w:rsidR="009262C4" w14:paraId="4AAB7C76"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FCB60C" w14:textId="77777777" w:rsidR="009262C4" w:rsidRDefault="00000000">
            <w:pPr>
              <w:spacing w:after="40" w:line="240" w:lineRule="auto"/>
              <w:jc w:val="left"/>
            </w:pPr>
            <w:r>
              <w:rPr>
                <w:rFonts w:ascii="Palatino Linotype" w:hAnsi="Palatino Linotype" w:cs="Palatino Linotype"/>
                <w:color w:val="000000"/>
                <w:sz w:val="19"/>
                <w:szCs w:val="17"/>
              </w:rPr>
              <w:t>S16</w:t>
            </w:r>
          </w:p>
        </w:tc>
        <w:tc>
          <w:tcPr>
            <w:tcW w:w="2268" w:type="dxa"/>
            <w:tcBorders>
              <w:top w:val="nil"/>
              <w:left w:val="nil"/>
              <w:bottom w:val="nil"/>
              <w:right w:val="nil"/>
              <w:insideH w:val="nil"/>
              <w:insideV w:val="nil"/>
            </w:tcBorders>
            <w:tcMar>
              <w:top w:w="40" w:type="dxa"/>
              <w:left w:w="80" w:type="dxa"/>
              <w:bottom w:w="40" w:type="dxa"/>
              <w:right w:w="80" w:type="dxa"/>
            </w:tcMar>
          </w:tcPr>
          <w:p w14:paraId="08E0DB94" w14:textId="77777777" w:rsidR="009262C4" w:rsidRDefault="00000000">
            <w:pPr>
              <w:spacing w:after="40" w:line="240" w:lineRule="auto"/>
              <w:jc w:val="left"/>
            </w:pPr>
            <w:r>
              <w:rPr>
                <w:rFonts w:ascii="Palatino Linotype" w:hAnsi="Palatino Linotype" w:cs="Palatino Linotype"/>
                <w:color w:val="000000"/>
                <w:sz w:val="19"/>
                <w:szCs w:val="17"/>
              </w:rPr>
              <w:t>Punia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06064DCF" w14:textId="77777777" w:rsidR="009262C4" w:rsidRDefault="00000000">
            <w:pPr>
              <w:spacing w:after="40" w:line="240" w:lineRule="auto"/>
              <w:jc w:val="left"/>
            </w:pPr>
            <w:r>
              <w:rPr>
                <w:rFonts w:ascii="Palatino Linotype" w:hAnsi="Palatino Linotype" w:cs="Palatino Linotype"/>
                <w:color w:val="000000"/>
                <w:sz w:val="19"/>
                <w:szCs w:val="17"/>
              </w:rPr>
              <w:t>An access control system for cloud-based healthcare systems driven by blockchain</w:t>
            </w:r>
          </w:p>
        </w:tc>
      </w:tr>
      <w:tr w:rsidR="009262C4" w14:paraId="14ECA6A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FD29708" w14:textId="77777777" w:rsidR="009262C4" w:rsidRDefault="00000000">
            <w:pPr>
              <w:spacing w:after="40" w:line="240" w:lineRule="auto"/>
              <w:jc w:val="left"/>
            </w:pPr>
            <w:r>
              <w:rPr>
                <w:rFonts w:ascii="Palatino Linotype" w:hAnsi="Palatino Linotype" w:cs="Palatino Linotype"/>
                <w:color w:val="000000"/>
                <w:sz w:val="19"/>
                <w:szCs w:val="17"/>
              </w:rPr>
              <w:t>S17</w:t>
            </w:r>
          </w:p>
        </w:tc>
        <w:tc>
          <w:tcPr>
            <w:tcW w:w="2268" w:type="dxa"/>
            <w:tcBorders>
              <w:top w:val="nil"/>
              <w:left w:val="nil"/>
              <w:bottom w:val="nil"/>
              <w:right w:val="nil"/>
              <w:insideH w:val="nil"/>
              <w:insideV w:val="nil"/>
            </w:tcBorders>
            <w:tcMar>
              <w:top w:w="40" w:type="dxa"/>
              <w:left w:w="80" w:type="dxa"/>
              <w:bottom w:w="40" w:type="dxa"/>
              <w:right w:w="80" w:type="dxa"/>
            </w:tcMar>
          </w:tcPr>
          <w:p w14:paraId="3CF8D16B" w14:textId="77777777" w:rsidR="009262C4" w:rsidRDefault="00000000">
            <w:pPr>
              <w:spacing w:after="40" w:line="240" w:lineRule="auto"/>
              <w:jc w:val="left"/>
            </w:pPr>
            <w:r>
              <w:rPr>
                <w:rFonts w:ascii="Palatino Linotype" w:hAnsi="Palatino Linotype" w:cs="Palatino Linotype"/>
                <w:color w:val="000000"/>
                <w:sz w:val="19"/>
                <w:szCs w:val="17"/>
              </w:rPr>
              <w:t>Román-Martínez et al. (2023)</w:t>
            </w:r>
          </w:p>
        </w:tc>
        <w:tc>
          <w:tcPr>
            <w:tcW w:w="5499" w:type="dxa"/>
            <w:tcBorders>
              <w:top w:val="nil"/>
              <w:left w:val="nil"/>
              <w:bottom w:val="nil"/>
              <w:right w:val="nil"/>
              <w:insideH w:val="nil"/>
              <w:insideV w:val="nil"/>
            </w:tcBorders>
            <w:tcMar>
              <w:top w:w="40" w:type="dxa"/>
              <w:left w:w="80" w:type="dxa"/>
              <w:bottom w:w="40" w:type="dxa"/>
              <w:right w:w="80" w:type="dxa"/>
            </w:tcMar>
          </w:tcPr>
          <w:p w14:paraId="3CE4416C" w14:textId="77777777" w:rsidR="009262C4" w:rsidRDefault="00000000">
            <w:pPr>
              <w:spacing w:after="40" w:line="240" w:lineRule="auto"/>
              <w:jc w:val="left"/>
            </w:pPr>
            <w:r>
              <w:rPr>
                <w:rFonts w:ascii="Palatino Linotype" w:hAnsi="Palatino Linotype" w:cs="Palatino Linotype"/>
                <w:color w:val="000000"/>
                <w:sz w:val="19"/>
                <w:szCs w:val="17"/>
              </w:rPr>
              <w:t>Blockchain-Based Service-Oriented Architecture for Consent Management, Access Control, and Auditing</w:t>
            </w:r>
          </w:p>
        </w:tc>
      </w:tr>
      <w:tr w:rsidR="009262C4" w14:paraId="23570959"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5C2E2B5" w14:textId="77777777" w:rsidR="009262C4" w:rsidRDefault="00000000">
            <w:pPr>
              <w:spacing w:after="40" w:line="240" w:lineRule="auto"/>
              <w:jc w:val="left"/>
            </w:pPr>
            <w:r>
              <w:rPr>
                <w:rFonts w:ascii="Palatino Linotype" w:hAnsi="Palatino Linotype" w:cs="Palatino Linotype"/>
                <w:color w:val="000000"/>
                <w:sz w:val="19"/>
                <w:szCs w:val="17"/>
              </w:rPr>
              <w:t>S18</w:t>
            </w:r>
          </w:p>
        </w:tc>
        <w:tc>
          <w:tcPr>
            <w:tcW w:w="2268" w:type="dxa"/>
            <w:tcBorders>
              <w:top w:val="nil"/>
              <w:left w:val="nil"/>
              <w:bottom w:val="nil"/>
              <w:right w:val="nil"/>
              <w:insideH w:val="nil"/>
              <w:insideV w:val="nil"/>
            </w:tcBorders>
            <w:tcMar>
              <w:top w:w="40" w:type="dxa"/>
              <w:left w:w="80" w:type="dxa"/>
              <w:bottom w:w="40" w:type="dxa"/>
              <w:right w:w="80" w:type="dxa"/>
            </w:tcMar>
          </w:tcPr>
          <w:p w14:paraId="30802BDF" w14:textId="77777777" w:rsidR="009262C4" w:rsidRDefault="00000000">
            <w:pPr>
              <w:spacing w:after="40" w:line="240" w:lineRule="auto"/>
              <w:jc w:val="left"/>
            </w:pPr>
            <w:r>
              <w:rPr>
                <w:rFonts w:ascii="Palatino Linotype" w:hAnsi="Palatino Linotype" w:cs="Palatino Linotype"/>
                <w:color w:val="000000"/>
                <w:sz w:val="19"/>
                <w:szCs w:val="17"/>
              </w:rPr>
              <w:t>Hema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20612BCB" w14:textId="77777777" w:rsidR="009262C4" w:rsidRDefault="00000000">
            <w:pPr>
              <w:spacing w:after="40" w:line="240" w:lineRule="auto"/>
              <w:jc w:val="left"/>
            </w:pPr>
            <w:r>
              <w:rPr>
                <w:rFonts w:ascii="Palatino Linotype" w:hAnsi="Palatino Linotype" w:cs="Palatino Linotype"/>
                <w:color w:val="000000"/>
                <w:sz w:val="19"/>
                <w:szCs w:val="17"/>
              </w:rPr>
              <w:t>Patient Centric Cryptographic Protection of Cloud Electronic Health Records</w:t>
            </w:r>
          </w:p>
        </w:tc>
      </w:tr>
      <w:tr w:rsidR="009262C4" w14:paraId="3B04220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D0E6669" w14:textId="77777777" w:rsidR="009262C4" w:rsidRDefault="00000000">
            <w:pPr>
              <w:spacing w:after="40" w:line="240" w:lineRule="auto"/>
              <w:jc w:val="left"/>
            </w:pPr>
            <w:r>
              <w:rPr>
                <w:rFonts w:ascii="Palatino Linotype" w:hAnsi="Palatino Linotype" w:cs="Palatino Linotype"/>
                <w:color w:val="000000"/>
                <w:sz w:val="19"/>
                <w:szCs w:val="17"/>
              </w:rPr>
              <w:t>S19</w:t>
            </w:r>
          </w:p>
        </w:tc>
        <w:tc>
          <w:tcPr>
            <w:tcW w:w="2268" w:type="dxa"/>
            <w:tcBorders>
              <w:top w:val="nil"/>
              <w:left w:val="nil"/>
              <w:bottom w:val="nil"/>
              <w:right w:val="nil"/>
              <w:insideH w:val="nil"/>
              <w:insideV w:val="nil"/>
            </w:tcBorders>
            <w:tcMar>
              <w:top w:w="40" w:type="dxa"/>
              <w:left w:w="80" w:type="dxa"/>
              <w:bottom w:w="40" w:type="dxa"/>
              <w:right w:w="80" w:type="dxa"/>
            </w:tcMar>
          </w:tcPr>
          <w:p w14:paraId="0C7BA423" w14:textId="77777777" w:rsidR="009262C4" w:rsidRDefault="00000000">
            <w:pPr>
              <w:spacing w:after="40" w:line="240" w:lineRule="auto"/>
              <w:jc w:val="left"/>
            </w:pPr>
            <w:r>
              <w:rPr>
                <w:rFonts w:ascii="Palatino Linotype" w:hAnsi="Palatino Linotype" w:cs="Palatino Linotype"/>
                <w:color w:val="000000"/>
                <w:sz w:val="19"/>
                <w:szCs w:val="17"/>
              </w:rPr>
              <w:t>SooHoo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0C8A2D85" w14:textId="77777777" w:rsidR="009262C4" w:rsidRDefault="00000000">
            <w:pPr>
              <w:spacing w:after="40" w:line="240" w:lineRule="auto"/>
              <w:jc w:val="left"/>
            </w:pPr>
            <w:r>
              <w:rPr>
                <w:rFonts w:ascii="Palatino Linotype" w:hAnsi="Palatino Linotype" w:cs="Palatino Linotype"/>
                <w:color w:val="000000"/>
                <w:sz w:val="19"/>
                <w:szCs w:val="17"/>
              </w:rPr>
              <w:t xml:space="preserve">Development of the authentication and authorization processes for the iAgree portal, a platform for patient-controlled data sharing across health systems</w:t>
            </w:r>
          </w:p>
        </w:tc>
      </w:tr>
      <w:tr w:rsidR="009262C4" w14:paraId="731DDFD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89AC502" w14:textId="77777777" w:rsidR="009262C4" w:rsidRDefault="00000000">
            <w:pPr>
              <w:spacing w:after="40" w:line="240" w:lineRule="auto"/>
              <w:jc w:val="left"/>
            </w:pPr>
            <w:r>
              <w:rPr>
                <w:rFonts w:ascii="Palatino Linotype" w:hAnsi="Palatino Linotype" w:cs="Palatino Linotype"/>
                <w:color w:val="000000"/>
                <w:sz w:val="19"/>
                <w:szCs w:val="17"/>
              </w:rPr>
              <w:t>S20</w:t>
            </w:r>
          </w:p>
        </w:tc>
        <w:tc>
          <w:tcPr>
            <w:tcW w:w="2268" w:type="dxa"/>
            <w:tcBorders>
              <w:top w:val="nil"/>
              <w:left w:val="nil"/>
              <w:bottom w:val="nil"/>
              <w:right w:val="nil"/>
              <w:insideH w:val="nil"/>
              <w:insideV w:val="nil"/>
            </w:tcBorders>
            <w:tcMar>
              <w:top w:w="40" w:type="dxa"/>
              <w:left w:w="80" w:type="dxa"/>
              <w:bottom w:w="40" w:type="dxa"/>
              <w:right w:w="80" w:type="dxa"/>
            </w:tcMar>
          </w:tcPr>
          <w:p w14:paraId="54849C5E" w14:textId="77777777" w:rsidR="009262C4" w:rsidRDefault="00000000">
            <w:pPr>
              <w:spacing w:after="40" w:line="240" w:lineRule="auto"/>
              <w:jc w:val="left"/>
            </w:pPr>
            <w:r>
              <w:rPr>
                <w:rFonts w:ascii="Palatino Linotype" w:hAnsi="Palatino Linotype" w:cs="Palatino Linotype"/>
                <w:color w:val="000000"/>
                <w:sz w:val="19"/>
                <w:szCs w:val="17"/>
              </w:rPr>
              <w:t>Tan et al. (2024)</w:t>
            </w:r>
          </w:p>
        </w:tc>
        <w:tc>
          <w:tcPr>
            <w:tcW w:w="5499" w:type="dxa"/>
            <w:tcBorders>
              <w:top w:val="nil"/>
              <w:left w:val="nil"/>
              <w:bottom w:val="nil"/>
              <w:right w:val="nil"/>
              <w:insideH w:val="nil"/>
              <w:insideV w:val="nil"/>
            </w:tcBorders>
            <w:tcMar>
              <w:top w:w="40" w:type="dxa"/>
              <w:left w:w="80" w:type="dxa"/>
              <w:bottom w:w="40" w:type="dxa"/>
              <w:right w:w="80" w:type="dxa"/>
            </w:tcMar>
          </w:tcPr>
          <w:p w14:paraId="19E5946A" w14:textId="77777777" w:rsidR="009262C4" w:rsidRDefault="00000000">
            <w:pPr>
              <w:spacing w:after="40" w:line="240" w:lineRule="auto"/>
              <w:jc w:val="left"/>
            </w:pPr>
            <w:r>
              <w:rPr>
                <w:rFonts w:ascii="Palatino Linotype" w:hAnsi="Palatino Linotype" w:cs="Palatino Linotype"/>
                <w:color w:val="000000"/>
                <w:sz w:val="19"/>
                <w:szCs w:val="17"/>
              </w:rPr>
              <w:t>Secure and privacy-preserving sharing of personal health records with multi-party pre-authorization verification</w:t>
            </w:r>
          </w:p>
        </w:tc>
      </w:tr>
      <w:tr w:rsidR="009262C4" w14:paraId="2D5A344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C2256FC" w14:textId="77777777" w:rsidR="009262C4" w:rsidRDefault="00000000">
            <w:pPr>
              <w:spacing w:after="40" w:line="240" w:lineRule="auto"/>
              <w:jc w:val="left"/>
            </w:pPr>
            <w:r>
              <w:rPr>
                <w:rFonts w:ascii="Palatino Linotype" w:hAnsi="Palatino Linotype" w:cs="Palatino Linotype"/>
                <w:color w:val="000000"/>
                <w:sz w:val="19"/>
                <w:szCs w:val="17"/>
              </w:rPr>
              <w:t>S21</w:t>
            </w:r>
          </w:p>
        </w:tc>
        <w:tc>
          <w:tcPr>
            <w:tcW w:w="2268" w:type="dxa"/>
            <w:tcBorders>
              <w:top w:val="nil"/>
              <w:left w:val="nil"/>
              <w:bottom w:val="nil"/>
              <w:right w:val="nil"/>
              <w:insideH w:val="nil"/>
              <w:insideV w:val="nil"/>
            </w:tcBorders>
            <w:tcMar>
              <w:top w:w="40" w:type="dxa"/>
              <w:left w:w="80" w:type="dxa"/>
              <w:bottom w:w="40" w:type="dxa"/>
              <w:right w:w="80" w:type="dxa"/>
            </w:tcMar>
          </w:tcPr>
          <w:p w14:paraId="2C6FEDD2" w14:textId="77777777" w:rsidR="009262C4" w:rsidRDefault="00000000">
            <w:pPr>
              <w:spacing w:after="40" w:line="240" w:lineRule="auto"/>
              <w:jc w:val="left"/>
            </w:pPr>
            <w:r>
              <w:rPr>
                <w:rFonts w:ascii="Palatino Linotype" w:hAnsi="Palatino Linotype" w:cs="Palatino Linotype"/>
                <w:color w:val="000000"/>
                <w:sz w:val="19"/>
                <w:szCs w:val="17"/>
              </w:rPr>
              <w:t>Tith et al. (2020)</w:t>
            </w:r>
          </w:p>
        </w:tc>
        <w:tc>
          <w:tcPr>
            <w:tcW w:w="5499" w:type="dxa"/>
            <w:tcBorders>
              <w:top w:val="nil"/>
              <w:left w:val="nil"/>
              <w:bottom w:val="nil"/>
              <w:right w:val="nil"/>
              <w:insideH w:val="nil"/>
              <w:insideV w:val="nil"/>
            </w:tcBorders>
            <w:tcMar>
              <w:top w:w="40" w:type="dxa"/>
              <w:left w:w="80" w:type="dxa"/>
              <w:bottom w:w="40" w:type="dxa"/>
              <w:right w:w="80" w:type="dxa"/>
            </w:tcMar>
          </w:tcPr>
          <w:p w14:paraId="6426A5B5" w14:textId="77777777" w:rsidR="009262C4" w:rsidRDefault="00000000">
            <w:pPr>
              <w:spacing w:after="40" w:line="240" w:lineRule="auto"/>
              <w:jc w:val="left"/>
            </w:pPr>
            <w:r>
              <w:rPr>
                <w:rFonts w:ascii="Palatino Linotype" w:hAnsi="Palatino Linotype" w:cs="Palatino Linotype"/>
                <w:color w:val="000000"/>
                <w:sz w:val="19"/>
                <w:szCs w:val="17"/>
              </w:rPr>
              <w:t>Patient consent management by a purpose-based consent model for electronic health record based on blockchain technology</w:t>
            </w:r>
          </w:p>
        </w:tc>
      </w:tr>
      <w:tr w:rsidR="009262C4" w14:paraId="7A2F173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8950EA3" w14:textId="77777777" w:rsidR="009262C4" w:rsidRDefault="00000000">
            <w:pPr>
              <w:spacing w:after="40" w:line="240" w:lineRule="auto"/>
              <w:jc w:val="left"/>
            </w:pPr>
            <w:r>
              <w:rPr>
                <w:rFonts w:ascii="Palatino Linotype" w:hAnsi="Palatino Linotype" w:cs="Palatino Linotype"/>
                <w:color w:val="000000"/>
                <w:sz w:val="19"/>
                <w:szCs w:val="17"/>
              </w:rPr>
              <w:t>S22</w:t>
            </w:r>
          </w:p>
        </w:tc>
        <w:tc>
          <w:tcPr>
            <w:tcW w:w="2268" w:type="dxa"/>
            <w:tcBorders>
              <w:top w:val="nil"/>
              <w:left w:val="nil"/>
              <w:bottom w:val="nil"/>
              <w:right w:val="nil"/>
              <w:insideH w:val="nil"/>
              <w:insideV w:val="nil"/>
            </w:tcBorders>
            <w:tcMar>
              <w:top w:w="40" w:type="dxa"/>
              <w:left w:w="80" w:type="dxa"/>
              <w:bottom w:w="40" w:type="dxa"/>
              <w:right w:w="80" w:type="dxa"/>
            </w:tcMar>
          </w:tcPr>
          <w:p w14:paraId="095F8AEA" w14:textId="77777777" w:rsidR="009262C4" w:rsidRDefault="00000000">
            <w:pPr>
              <w:spacing w:after="40" w:line="240" w:lineRule="auto"/>
              <w:jc w:val="left"/>
            </w:pPr>
            <w:r>
              <w:rPr>
                <w:rFonts w:ascii="Palatino Linotype" w:hAnsi="Palatino Linotype" w:cs="Palatino Linotype"/>
                <w:color w:val="000000"/>
                <w:sz w:val="19"/>
                <w:szCs w:val="17"/>
              </w:rPr>
              <w:t>Tremper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6D31F7D2" w14:textId="77777777" w:rsidR="009262C4" w:rsidRDefault="00000000">
            <w:pPr>
              <w:spacing w:after="40" w:line="240" w:lineRule="auto"/>
              <w:jc w:val="left"/>
            </w:pPr>
            <w:r>
              <w:rPr>
                <w:rFonts w:ascii="Palatino Linotype" w:hAnsi="Palatino Linotype" w:cs="Palatino Linotype"/>
                <w:color w:val="000000"/>
                <w:sz w:val="19"/>
                <w:szCs w:val="17"/>
              </w:rPr>
              <w:t>Mainzelliste: Ten years of pseudonymization, record linkage, and informed consent management</w:t>
            </w:r>
          </w:p>
        </w:tc>
      </w:tr>
      <w:tr w:rsidR="009262C4" w14:paraId="5562642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B9B0CF2" w14:textId="77777777" w:rsidR="009262C4" w:rsidRDefault="00000000">
            <w:pPr>
              <w:spacing w:after="40" w:line="240" w:lineRule="auto"/>
              <w:jc w:val="left"/>
            </w:pPr>
            <w:r>
              <w:rPr>
                <w:rFonts w:ascii="Palatino Linotype" w:hAnsi="Palatino Linotype" w:cs="Palatino Linotype"/>
                <w:color w:val="000000"/>
                <w:sz w:val="19"/>
                <w:szCs w:val="17"/>
              </w:rPr>
              <w:t>S23</w:t>
            </w:r>
          </w:p>
        </w:tc>
        <w:tc>
          <w:tcPr>
            <w:tcW w:w="2268" w:type="dxa"/>
            <w:tcBorders>
              <w:top w:val="nil"/>
              <w:left w:val="nil"/>
              <w:bottom w:val="nil"/>
              <w:right w:val="nil"/>
              <w:insideH w:val="nil"/>
              <w:insideV w:val="nil"/>
            </w:tcBorders>
            <w:tcMar>
              <w:top w:w="40" w:type="dxa"/>
              <w:left w:w="80" w:type="dxa"/>
              <w:bottom w:w="40" w:type="dxa"/>
              <w:right w:w="80" w:type="dxa"/>
            </w:tcMar>
          </w:tcPr>
          <w:p w14:paraId="064C89F1" w14:textId="77777777" w:rsidR="009262C4" w:rsidRDefault="00000000">
            <w:pPr>
              <w:spacing w:after="40" w:line="240" w:lineRule="auto"/>
              <w:jc w:val="left"/>
            </w:pPr>
            <w:r>
              <w:rPr>
                <w:rFonts w:ascii="Palatino Linotype" w:hAnsi="Palatino Linotype" w:cs="Palatino Linotype"/>
                <w:color w:val="000000"/>
                <w:sz w:val="19"/>
                <w:szCs w:val="17"/>
              </w:rPr>
              <w:t>Tseng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652EDAA9" w14:textId="77777777" w:rsidR="009262C4" w:rsidRDefault="00000000">
            <w:pPr>
              <w:spacing w:after="40" w:line="240" w:lineRule="auto"/>
              <w:jc w:val="left"/>
            </w:pPr>
            <w:r>
              <w:rPr>
                <w:rFonts w:ascii="Palatino Linotype" w:hAnsi="Palatino Linotype" w:cs="Palatino Linotype"/>
                <w:color w:val="000000"/>
                <w:sz w:val="19"/>
                <w:szCs w:val="17"/>
              </w:rPr>
              <w:t>EMR-Chain: Decentralized Electronic Medical Record Exchange System</w:t>
            </w:r>
          </w:p>
        </w:tc>
      </w:tr>
      <w:tr w:rsidR="009262C4" w14:paraId="025A53E1"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3AA9B3D7" w14:textId="77777777" w:rsidR="009262C4" w:rsidRDefault="00000000">
            <w:pPr>
              <w:spacing w:after="40" w:line="240" w:lineRule="auto"/>
              <w:jc w:val="left"/>
            </w:pPr>
            <w:r>
              <w:rPr>
                <w:rFonts w:ascii="Palatino Linotype" w:hAnsi="Palatino Linotype" w:cs="Palatino Linotype"/>
                <w:color w:val="000000"/>
                <w:sz w:val="19"/>
                <w:szCs w:val="17"/>
              </w:rPr>
              <w:t>S24</w:t>
            </w:r>
          </w:p>
        </w:tc>
        <w:tc>
          <w:tcPr>
            <w:tcW w:w="2268" w:type="dxa"/>
            <w:tcBorders>
              <w:top w:val="nil"/>
              <w:left w:val="nil"/>
              <w:bottom w:val="nil"/>
              <w:right w:val="nil"/>
              <w:insideH w:val="nil"/>
              <w:insideV w:val="nil"/>
            </w:tcBorders>
            <w:tcMar>
              <w:top w:w="40" w:type="dxa"/>
              <w:left w:w="80" w:type="dxa"/>
              <w:bottom w:w="40" w:type="dxa"/>
              <w:right w:w="80" w:type="dxa"/>
            </w:tcMar>
          </w:tcPr>
          <w:p w14:paraId="1B65205D" w14:textId="77777777" w:rsidR="009262C4" w:rsidRDefault="00000000">
            <w:pPr>
              <w:spacing w:after="40" w:line="240" w:lineRule="auto"/>
              <w:jc w:val="left"/>
            </w:pPr>
            <w:r>
              <w:rPr>
                <w:rFonts w:ascii="Palatino Linotype" w:hAnsi="Palatino Linotype" w:cs="Palatino Linotype"/>
                <w:color w:val="000000"/>
                <w:sz w:val="19"/>
                <w:szCs w:val="17"/>
              </w:rPr>
              <w:t>Wu et al. (2022)</w:t>
            </w:r>
          </w:p>
        </w:tc>
        <w:tc>
          <w:tcPr>
            <w:tcW w:w="5499" w:type="dxa"/>
            <w:tcBorders>
              <w:top w:val="nil"/>
              <w:left w:val="nil"/>
              <w:bottom w:val="nil"/>
              <w:right w:val="nil"/>
              <w:insideH w:val="nil"/>
              <w:insideV w:val="nil"/>
            </w:tcBorders>
            <w:tcMar>
              <w:top w:w="40" w:type="dxa"/>
              <w:left w:w="80" w:type="dxa"/>
              <w:bottom w:w="40" w:type="dxa"/>
              <w:right w:w="80" w:type="dxa"/>
            </w:tcMar>
          </w:tcPr>
          <w:p w14:paraId="7768C00E" w14:textId="77777777" w:rsidR="009262C4" w:rsidRDefault="00000000">
            <w:pPr>
              <w:spacing w:after="40" w:line="240" w:lineRule="auto"/>
              <w:jc w:val="left"/>
            </w:pPr>
            <w:r>
              <w:rPr>
                <w:rFonts w:ascii="Palatino Linotype" w:hAnsi="Palatino Linotype" w:cs="Palatino Linotype"/>
                <w:color w:val="000000"/>
                <w:sz w:val="19"/>
                <w:szCs w:val="17"/>
              </w:rPr>
              <w:t xml:space="preserve">Apply Trust Computing and Privacy Preserving Smart Contracts to Manage, Share, and Analyze Multi-site Clinical Trial Data</w:t>
            </w:r>
          </w:p>
        </w:tc>
      </w:tr>
      <w:tr w:rsidR="009262C4" w14:paraId="75EC961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E5084A7" w14:textId="77777777" w:rsidR="009262C4" w:rsidRDefault="00000000">
            <w:pPr>
              <w:spacing w:after="40" w:line="240" w:lineRule="auto"/>
              <w:jc w:val="left"/>
            </w:pPr>
            <w:r>
              <w:rPr>
                <w:rFonts w:ascii="Palatino Linotype" w:hAnsi="Palatino Linotype" w:cs="Palatino Linotype"/>
                <w:color w:val="000000"/>
                <w:sz w:val="19"/>
                <w:szCs w:val="17"/>
              </w:rPr>
              <w:t>S25</w:t>
            </w:r>
          </w:p>
        </w:tc>
        <w:tc>
          <w:tcPr>
            <w:tcW w:w="2268" w:type="dxa"/>
            <w:tcBorders>
              <w:top w:val="nil"/>
              <w:left w:val="nil"/>
              <w:bottom w:val="nil"/>
              <w:right w:val="nil"/>
              <w:insideH w:val="nil"/>
              <w:insideV w:val="nil"/>
            </w:tcBorders>
            <w:tcMar>
              <w:top w:w="40" w:type="dxa"/>
              <w:left w:w="80" w:type="dxa"/>
              <w:bottom w:w="40" w:type="dxa"/>
              <w:right w:w="80" w:type="dxa"/>
            </w:tcMar>
          </w:tcPr>
          <w:p w14:paraId="51FDD110" w14:textId="77777777" w:rsidR="009262C4" w:rsidRDefault="00000000">
            <w:pPr>
              <w:spacing w:after="40" w:line="240" w:lineRule="auto"/>
              <w:jc w:val="left"/>
            </w:pPr>
            <w:r>
              <w:rPr>
                <w:rFonts w:ascii="Palatino Linotype" w:hAnsi="Palatino Linotype" w:cs="Palatino Linotype"/>
                <w:color w:val="000000"/>
                <w:sz w:val="19"/>
                <w:szCs w:val="17"/>
              </w:rPr>
              <w:t>Wu and Zhang (2025)</w:t>
            </w:r>
          </w:p>
        </w:tc>
        <w:tc>
          <w:tcPr>
            <w:tcW w:w="5499" w:type="dxa"/>
            <w:tcBorders>
              <w:top w:val="nil"/>
              <w:left w:val="nil"/>
              <w:bottom w:val="nil"/>
              <w:right w:val="nil"/>
              <w:insideH w:val="nil"/>
              <w:insideV w:val="nil"/>
            </w:tcBorders>
            <w:tcMar>
              <w:top w:w="40" w:type="dxa"/>
              <w:left w:w="80" w:type="dxa"/>
              <w:bottom w:w="40" w:type="dxa"/>
              <w:right w:w="80" w:type="dxa"/>
            </w:tcMar>
          </w:tcPr>
          <w:p w14:paraId="65CDD245" w14:textId="77777777" w:rsidR="009262C4" w:rsidRDefault="00000000">
            <w:pPr>
              <w:spacing w:after="40" w:line="240" w:lineRule="auto"/>
              <w:jc w:val="left"/>
            </w:pPr>
            <w:r>
              <w:rPr>
                <w:rFonts w:ascii="Palatino Linotype" w:hAnsi="Palatino Linotype" w:cs="Palatino Linotype"/>
                <w:color w:val="000000"/>
                <w:sz w:val="19"/>
                <w:szCs w:val="17"/>
              </w:rPr>
              <w:t>HealthDID: An efficient and authorizable multi-party privacy-preserving EMR sharing system based on DID</w:t>
            </w:r>
          </w:p>
        </w:tc>
      </w:tr>
    </w:tbl>
    <w:p w14:paraId="104769F2" w14:textId="77777777" w:rsidR="009262C4" w:rsidRDefault="009262C4">
      <w:pPr>
        <w:spacing w:after="160"/>
      </w:pPr>
    </w:p>
    <w:p>
      <w:pPr>
        <w:pStyle w:val="2"/>
        <w:keepNext/>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keepNext/>
      </w:pPr>
      <w:r>
        <w:t>2.4.1 Consent representation and blockchain-based consent governance (Req 1)</w:t>
      </w:r>
    </w:p>
    <w:p w14:paraId="186AF6E6" w14:textId="77777777" w:rsidR="009262C4" w:rsidRDefault="00000000">
      <w:pPr>
        <w:spacing w:after="110" w:line="264" w:lineRule="auto"/>
        <w:jc w:val="both"/>
      </w:pPr>
      <w: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t>Table 2.4 summarises the description, the issues and limitations, and the requirement grades of the studies in this stream.</w:t>
      </w:r>
    </w:p>
    <w:p>
      <w:pPr>
        <w:keepNext/>
        <w:spacing w:before="160" w:after="160"/>
        <w:jc w:val="center"/>
      </w:pPr>
      <w:r>
        <w:rPr>
          <w:sz w:val="20"/>
        </w:rPr>
        <w:t>Table 2.4: Descriptions, issues and limitations of the studies on consent representation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S3 Al Amin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Informed consent is modelled as a patient-driven policy object with hash integrity, which an authorisation module conjoins with other policies inside a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Purpose is not a condition, the time and expiry conditions are specified but not enforced, the only multi-party element is a 2-of-2 co-signature at registration, and the Goerli evaluation reports no measured results.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S19 SooHoo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authentication and authorisation processes of the iAgree portal across three United States health systems, using OAuth2, SMART on FHIR, and one-time passwords, with a permissioned Ethereum audit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Consent enforcement is outside its scope, a single patient decides, identity and authority are not separated, revocation is claimed but not tested, and there are no formal methods.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S22 Tremper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Ten years of the Mainzelliste production service for pseudonymisation, record linkage, and informed consent management, with purpose-scoped FHIR consent directives and automated consent checks.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consent checks have no specified semantics and no demonstrated enforcement of withdrawal, its multi-party computation parties are linkage units rather than authorisers, and no consent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bl>
    <w:p>
      <w:pPr/>
      <w:r/>
    </w:p>
    <w:p>
      <w:pPr>
        <w:pStyle w:val="3"/>
        <w:keepNext/>
      </w:pPr>
      <w:r>
        <w:t>2.4.2 Decentralised identity and authority trust (Req 2)</w:t>
      </w:r>
    </w:p>
    <w:p w14:paraId="5A8E98C4" w14:textId="77777777" w:rsidR="009262C4" w:rsidRDefault="00000000">
      <w:pPr>
        <w:spacing w:after="110" w:line="264" w:lineRule="auto"/>
        <w:jc w:val="both"/>
      </w:pPr>
      <w:r/>
      <w:r>
        <w:t>Req 2, which needs both identity and authority, is graded Yes in only 7 of the 25 studies in Table 2.10.</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t>Table 2.5 summarises the description, the issues and limitations, and the requirement grades of the studies in this stream.</w:t>
      </w:r>
    </w:p>
    <w:p>
      <w:pPr>
        <w:keepNext/>
        <w:spacing w:before="160" w:after="160"/>
        <w:jc w:val="center"/>
      </w:pPr>
      <w:r>
        <w:rPr>
          <w:sz w:val="20"/>
        </w:rPr>
        <w:t>Table 2.5: Descriptions, issues and limitations of the studies on identity and authority</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S14 Phuyal et al. (2026b)</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single patient grants consent, the stored expiry is not checked, purpose is handled only at the interface, and there is no threat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S15 Phuyal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design-science architecture for dynamic and auditable patient consent in secondary use, using FHIR Consent with purpose, scope, actors, and validity period, anchored on chain, with conceptual VC validation at a gateway.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architecture is design-only and is neither implemented nor evaluated, and delegation through VCs is not joint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S23 Tseng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EMR-Chain, a decentralised electronic medical record exchange that verifies authority-issued roles separately from X.509 identities and enforces token expiry at the validator.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bl>
    <w:p>
      <w:pPr/>
      <w:r/>
    </w:p>
    <w:p>
      <w:pPr>
        <w:pStyle w:val="3"/>
        <w:keepNext/>
      </w:pPr>
      <w:r>
        <w:t>2.4.3 Multi-party authorisation and collaborative consent (Req 3)</w:t>
      </w:r>
    </w:p>
    <w:p w14:paraId="2B876E6C" w14:textId="77777777" w:rsidR="009262C4" w:rsidRDefault="00000000">
      <w:pPr>
        <w:spacing w:after="110" w:line="264" w:lineRule="auto"/>
        <w:jc w:val="both"/>
      </w:pPr>
      <w:r/>
      <w: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t>Table 2.6 summarises the description, the issues and limitations, and the requirement grades of the studies in this stream.</w:t>
      </w:r>
    </w:p>
    <w:p>
      <w:pPr>
        <w:keepNext/>
        <w:spacing w:before="160" w:after="160"/>
        <w:jc w:val="center"/>
      </w:pPr>
      <w:r>
        <w:rPr>
          <w:sz w:val="20"/>
        </w:rPr>
        <w:t>Table 2.6: Descriptions, issues and limitations of the studies on multi-party authorisation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 Abbasi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Decentralised EHR management in which a Shamir (5, 3) threshold reconstructs a symmetric key, and automated oracles release their shares according to the requester's on-chain role.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threshold is over key custodians rather than authorisers, the patient share is not required, purpose is not evaluated, and no authorisation decision is verified despite extensive performance measurement.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S4 Ekholm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deployed electronic informed consent platform for rare disease genomics, in which a minor's consent is valid only when all legal guardians sign, and guardianship is verified against the Swedish Population Register.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guardian co-consent applies at registration rather than at each access request, the platform is centralised and described with little technical detail, and there is no temporal, purpose, or formal assurance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S6 Hagström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comparative case study of national patient portals, in which a clinician's capacity assessment and the minor's consent jointly gate guardian access, with register-verified guardianship and enforced age windows.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mechanism is centralised and applied at documentation time, and the guardian is the party whose proxy access is gated rather than a co-authoriser of the patient's access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S10 Madine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Fully decentralised multi-party consent management in which, on the incapacitated path, approvals from a regulator and a guardian threshold are required on one access request, and stale attestations stop counting.</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On the normal path a single patient key authorises, so multi-party approval is a contingency. Purpose and data-category policy are absent, revocation after delivery is not possible,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S16 Punia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MedXBlock, a blockchain-driven access control system for cloud healthcare that combines an institutional M-of-N multi-signature with a conjunctive role and attribute policy evaluated with deny-by-default.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S20 Tan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Sharing of personal health records with multi-party pre-authorisation verification, in which a (t, n) threshold of patient-appointed verifiers each validate the grant, its expiry, and the revocation list before releasing a key share.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joint approval is a pre-delegated contingency for an unconscious patient rather than a standing condition, purpose and data scope are not evaluated, and the gate is not evaluated empirically as an authorisation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S24 Wu et al. (2022)</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Trust computing and privacy-preserving smart contracts for multi-site clinical trial data, in which a (t, n) investigator threshold signature governs trial admission to the ledger and consent revocation.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consent grant is unilateral, the voters are institution-side investigators, the vote reduces to a hash-integrity check, there is no policy engine,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bl>
    <w:p>
      <w:pPr/>
      <w:r/>
    </w:p>
    <w:p>
      <w:pPr>
        <w:pStyle w:val="3"/>
        <w:keepNext/>
      </w:pPr>
      <w:r>
        <w:t>2.4.4 Policy- and context-aware access control (Req 4)</w:t>
      </w:r>
    </w:p>
    <w:p w14:paraId="05A3E933" w14:textId="77777777" w:rsidR="009262C4" w:rsidRDefault="00000000">
      <w:pPr>
        <w:spacing w:after="110" w:line="264" w:lineRule="auto"/>
        <w:jc w:val="both"/>
      </w:pPr>
      <w: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t>Req 4 is graded Yes in 10 studies and No in 15 in Table 2.10.</w:t>
      </w:r>
      <w:r>
        <w:t xml:space="preserve"> However, purpose-of-use enters the decision in only six studies (Eneh et al. 2026; Panagoulias et al. 2026), </w:t>
      </w:r>
      <w:r>
        <w:t>and every one is graded No on Req 3</w:t>
      </w:r>
      <w:r>
        <w:t>. Consequently, purpose and data-scope constraints are not carried by the consent object C and evaluated together with the identity, authority, and multi-party conditions.</w:t>
      </w:r>
    </w:p>
    <w:p>
      <w:pPr/>
      <w:r>
        <w:t>Table 2.7 summarises the description, the issues and limitations, and the requirement grades of the studies in this stream.</w:t>
      </w:r>
    </w:p>
    <w:p>
      <w:pPr>
        <w:keepNext/>
        <w:spacing w:before="160" w:after="160"/>
        <w:jc w:val="center"/>
      </w:pPr>
      <w:r>
        <w:rPr>
          <w:sz w:val="20"/>
        </w:rPr>
        <w:t>Table 2.7: Descriptions, issues and limitations of the studies on policy and context</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S2 Albalwy et al. (2021)</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blockchain-based dynamic consent proof of concept for clinical genomic data, in which a hashed policy tree of data type, role, and purpose is evaluated by the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single patient sets and cancels consent, the requester's role and credentials are not verified, time is applied only at the delivery layer,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S7 Jaiman and Urovi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consent model in which ontology terms requested by a data requester are matched against the patient's consent inside the smart contract, with denial tested across requester profiles.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Security assurance is explicitly outside its scope,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S17 Román-Martínez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blockchain-based service-oriented architecture on Hyperledger Fabric for consent management, access control, and auditing, in which FHIR purpose-of-use limits are evaluated per resource through XACML.</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There is no withdrawal or expiry path, and the experiments validate only the blockchain component.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S21 Tith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purpose-based consent model on Hyperledger Fabric, in which a consent tuple of role, doctor identifiers, action, and intended purpose is matched against a purpose tree in chaincode at request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Consent is given by a single patient, the tuple has no temporal element, the effect of withdrawal is not tested, identity uses Fabric certificates without DID or VC, and there is no formal verification.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bl>
    <w:p>
      <w:pPr/>
      <w:r/>
    </w:p>
    <w:p>
      <w:pPr>
        <w:pStyle w:val="3"/>
        <w:keepNext/>
      </w:pPr>
      <w:r>
        <w:t>2.4.5 Temporal validity and consent lifecycle (Req 5)</w:t>
      </w:r>
    </w:p>
    <w:p w14:paraId="7C35F356" w14:textId="77777777" w:rsidR="009262C4" w:rsidRDefault="00000000">
      <w:pPr>
        <w:spacing w:after="110" w:line="264" w:lineRule="auto"/>
        <w:jc w:val="both"/>
      </w:pPr>
      <w: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t xml:space="preserve">Req 5 is graded Yes in 8 studies, </w:t>
      </w:r>
      <w:r>
        <w:t>a post-revocation denial is demonstrated only by Phuyal et al. (2026b), which enforces revocation but not expiry, so it does not fully satisfy Req 5,</w:t>
      </w:r>
      <w:r>
        <w:t xml:space="preserve"> and the four stream-5 systems that enforce time inside the decision are all single-party, with Li et al. (2026a) doing so through the credential rather than the consent.</w:t>
      </w:r>
    </w:p>
    <w:p>
      <w:pPr/>
      <w:r>
        <w:t>Table 2.8 summarises the description, the issues and limitations, and the requirement grades of the studies in this stream.</w:t>
      </w:r>
    </w:p>
    <w:p>
      <w:pPr>
        <w:keepNext/>
        <w:spacing w:before="160" w:after="160"/>
        <w:jc w:val="center"/>
      </w:pPr>
      <w:r>
        <w:rPr>
          <w:sz w:val="20"/>
        </w:rPr>
        <w:t>Table 2.8: Descriptions, issues and limitations of the studies on temporal validity and lifecycle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S5 Eneh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EdgeConsent, a demonstration of on-chain attribute-based access control in which consent rules with purpose, data category, and notBefore and notAfter bounds are evaluated at decision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two-page demonstration with weak identity and authority trust and no DID or VC, no multi-party approval, a lifecycle that is only an active flag, and preliminary local evaluation without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S9 Li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hybrid RBAC and smart contract scheme with attribute-based authentication for fine-grained EMR access in IoMT, which enforces credential expiry at every sharing interaction.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Time is enforced in the decision through the credential rather than the consent, which is why Req 5 is graded Yes, but the consent itself carries no enforced validity window,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S13 Panagoulias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simulated single-node prototype with set-membership policy and aggregate deny attribution, without multi-party approval or identity depth, and the authors declare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S18 Hema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Consent is issued from a single patient key, identity relies on a cloud authentication service without DID or VC, and assurance is limited to an adversary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bl>
    <w:p>
      <w:pPr/>
      <w:r/>
    </w:p>
    <w:p>
      <w:pPr>
        <w:pStyle w:val="3"/>
        <w:keepNext/>
      </w:pPr>
      <w:r>
        <w:t>2.4.6 Formal security assurance and empirical validation (Req 6)</w:t>
      </w:r>
    </w:p>
    <w:p w14:paraId="3CC511B8" w14:textId="77777777" w:rsidR="009262C4" w:rsidRDefault="00000000">
      <w:pPr>
        <w:spacing w:after="110" w:line="264" w:lineRule="auto"/>
        <w:jc w:val="both"/>
      </w:pPr>
      <w: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pPr/>
      <w:r>
        <w:t>Table 2.9 summarises the description, the issues and limitations, and the requirement grades of the studies in this stream.</w:t>
      </w:r>
    </w:p>
    <w:p>
      <w:pPr>
        <w:keepNext/>
        <w:spacing w:before="160" w:after="160"/>
        <w:jc w:val="center"/>
      </w:pPr>
      <w:r>
        <w:rPr>
          <w:sz w:val="20"/>
        </w:rPr>
        <w:t>Table 2.9: Descriptions, issues and limitations of the studies on security assurance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S8 Zhao and Su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threshold traceable delegation scheme in which the patient delegates a threshold of l already-authorised users, who must jointly authorise an out-of-policy requester, with unforgeability argued under DBDH.</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authorisers are consumer-side delegates rather than patient-side stakeholders, the patient's own decision is unilateral, a trusted authority escrows keys, and there is no temporal, lifecycle, or purpose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S11 Maruthi and Singh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Protection of IoMT data for unconscious patients, in which t-of-n patient-designated relatives release access through threshold proxy re-encryption, and the hospital and relatives are authenticated on chain.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Policy and temporal conditions are not evaluated, and the proofs cover the threshold gate in isolation rather than the complete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S12 Mei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An efficient dual-revocation CP-ABE scheme for IoMT that terminates access immediately through ciphertext update, motivated by consent withdrawal, with a security reduction under q-BDHE.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proof covers a static encryption predicate, revocation operates at scheme level rather than on a consent object,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S25 Wu and Zhang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HealthDID, a DID-based privacy-preserving EMR sharing system with three game-based definitions and three theorems proved by reduction, in which a zero-knowledge proof binds the authorisation to a specific requester.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proofs cover only the identity and authority fragment, multi-party refers to the privacy requirements of several stakeholders rather than joint approval, and there are no policy, temporal, or lifecycle conditions.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bl>
    <w:p>
      <w:pPr/>
      <w:r/>
    </w:p>
    <w:p>
      <w:pPr>
        <w:pStyle w:val="3"/>
        <w:keepNext/>
      </w:pPr>
      <w:r>
        <w:t>2.4.7 Research Gaps in the Existing Studies from the Requirement Perspective</w:t>
      </w:r>
    </w:p>
    <w:p>
      <w:pPr/>
      <w: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t>, or that the consent is still valid in time and lifecycle state at the moment of the request</w:t>
      </w:r>
      <w:r>
        <w:t>.</w:t>
      </w:r>
    </w:p>
    <w:p>
      <w:pPr/>
      <w: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t>, and the temporal validity and lifecycle state of the consent at the time of the request</w:t>
      </w:r>
      <w:r>
        <w:t>. The research therefore conceptualises trust not as a static attribute possessed by a particular entity or technology, but as an emergent property of a verifiable authorisation process.</w:t>
      </w:r>
    </w:p>
    <w:p>
      <w:pPr/>
      <w: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t>, and ensuring that the authorisation remains valid only within the time interval and lifecycle state of the consent</w:t>
      </w:r>
      <w: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t>Table 2.10 summarises</w:t>
      </w:r>
      <w:r>
        <w:t xml:space="preserve"> the 25 studies against the six requirements, where Yes denotes that the requirement is fully satisfied and No that it is not fully satisfied. </w:t>
      </w:r>
      <w:r>
        <w:t>In the Req 6 column each study takes the higher of its formal assurance grade and its empirical validation grade.</w:t>
      </w:r>
    </w:p>
    <w:p w14:paraId="40EF47DB" w14:textId="77777777" w:rsidR="009262C4" w:rsidRDefault="00000000">
      <w:pPr>
        <w:keepNext/>
        <w:spacing w:before="160" w:after="160"/>
        <w:jc w:val="center"/>
      </w:pPr>
      <w:r>
        <w:rPr>
          <w:b/>
          <w:bCs/>
          <w:sz w:val="20"/>
          <w:szCs w:val="18"/>
        </w:rPr>
        <w:t>Table 2.10:</w:t>
      </w:r>
      <w:r>
        <w:rPr>
          <w:b/>
          <w:bCs/>
          <w:sz w:val="20"/>
          <w:szCs w:val="18"/>
        </w:rPr>
        <w:t xml:space="preserve"> </w:t>
      </w:r>
      <w:r>
        <w:rPr>
          <w:sz w:val="20"/>
          <w:szCs w:val="18"/>
        </w:rPr>
        <w:t>Comparison of the included studies against the key requirements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3402"/>
        <w:gridCol w:w="850"/>
        <w:gridCol w:w="850"/>
        <w:gridCol w:w="850"/>
        <w:gridCol w:w="850"/>
        <w:gridCol w:w="850"/>
        <w:gridCol w:w="850"/>
      </w:tblGrid>
      <w:tr w:rsidR="009262C4" w14:paraId="7BC8D64E" w14:textId="77777777">
        <w:trPr>
          <w:cantSplit/>
          <w:tblHeader/>
        </w:trPr>
        <w:tc>
          <w:tcPr>
            <w:tcW w:w="3402" w:type="dxa"/>
            <w:tcBorders>
              <w:top w:val="nil"/>
              <w:left w:val="nil"/>
              <w:bottom w:val="single" w:sz="6" w:color="000000" w:space="0"/>
              <w:right w:val="nil"/>
              <w:insideH w:val="nil"/>
              <w:insideV w:val="nil"/>
            </w:tcBorders>
            <w:tcMar>
              <w:top w:w="40" w:type="dxa"/>
              <w:left w:w="80" w:type="dxa"/>
              <w:bottom w:w="40" w:type="dxa"/>
              <w:right w:w="80" w:type="dxa"/>
            </w:tcMar>
          </w:tcPr>
          <w:p w14:paraId="36A48349"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04D627B" w14:textId="77777777" w:rsidR="009262C4" w:rsidRDefault="00000000">
            <w:pPr>
              <w:keepNext/>
              <w:spacing w:after="40" w:line="240" w:lineRule="auto"/>
              <w:jc w:val="left"/>
            </w:pPr>
            <w:r>
              <w:rPr>
                <w:rFonts w:ascii="Palatino Linotype" w:hAnsi="Palatino Linotype" w:cs="Palatino Linotype"/>
                <w:b/>
                <w:bCs/>
                <w:color w:val="000000"/>
                <w:sz w:val="19"/>
                <w:szCs w:val="17"/>
              </w:rPr>
              <w:t>Req 1</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3C7F628" w14:textId="77777777" w:rsidR="009262C4" w:rsidRDefault="00000000">
            <w:pPr>
              <w:keepNext/>
              <w:spacing w:after="40" w:line="240" w:lineRule="auto"/>
              <w:jc w:val="left"/>
            </w:pPr>
            <w:r>
              <w:rPr>
                <w:rFonts w:ascii="Palatino Linotype" w:hAnsi="Palatino Linotype" w:cs="Palatino Linotype"/>
                <w:b/>
                <w:bCs/>
                <w:color w:val="000000"/>
                <w:sz w:val="19"/>
                <w:szCs w:val="17"/>
              </w:rPr>
              <w:t>Req 2</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793B1E77" w14:textId="77777777" w:rsidR="009262C4" w:rsidRDefault="00000000">
            <w:pPr>
              <w:keepNext/>
              <w:spacing w:after="40" w:line="240" w:lineRule="auto"/>
              <w:jc w:val="left"/>
            </w:pPr>
            <w:r>
              <w:rPr>
                <w:rFonts w:ascii="Palatino Linotype" w:hAnsi="Palatino Linotype" w:cs="Palatino Linotype"/>
                <w:b/>
                <w:bCs/>
                <w:color w:val="000000"/>
                <w:sz w:val="19"/>
                <w:szCs w:val="17"/>
              </w:rPr>
              <w:t>Req 3</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C0CB570" w14:textId="77777777" w:rsidR="009262C4" w:rsidRDefault="00000000">
            <w:pPr>
              <w:keepNext/>
              <w:spacing w:after="40" w:line="240" w:lineRule="auto"/>
              <w:jc w:val="left"/>
            </w:pPr>
            <w:r>
              <w:rPr>
                <w:rFonts w:ascii="Palatino Linotype" w:hAnsi="Palatino Linotype" w:cs="Palatino Linotype"/>
                <w:b/>
                <w:bCs/>
                <w:color w:val="000000"/>
                <w:sz w:val="19"/>
                <w:szCs w:val="17"/>
              </w:rPr>
              <w:t>Req 4</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3E996D6B" w14:textId="77777777" w:rsidR="009262C4" w:rsidRDefault="00000000">
            <w:pPr>
              <w:keepNext/>
              <w:spacing w:after="40" w:line="240" w:lineRule="auto"/>
              <w:jc w:val="left"/>
            </w:pPr>
            <w:r>
              <w:rPr>
                <w:rFonts w:ascii="Palatino Linotype" w:hAnsi="Palatino Linotype" w:cs="Palatino Linotype"/>
                <w:b/>
                <w:bCs/>
                <w:color w:val="000000"/>
                <w:sz w:val="19"/>
                <w:szCs w:val="17"/>
              </w:rPr>
              <w:t>Req 5</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F0772B9" w14:textId="77777777" w:rsidR="009262C4" w:rsidRDefault="00000000">
            <w:pPr>
              <w:keepNext/>
              <w:spacing w:after="40" w:line="240" w:lineRule="auto"/>
              <w:jc w:val="left"/>
            </w:pPr>
            <w:r>
              <w:rPr>
                <w:rFonts w:ascii="Palatino Linotype" w:hAnsi="Palatino Linotype" w:cs="Palatino Linotype"/>
                <w:b/>
                <w:bCs/>
                <w:color w:val="000000"/>
                <w:sz w:val="19"/>
                <w:szCs w:val="17"/>
              </w:rPr>
              <w:t>Req 6</w:t>
            </w:r>
          </w:p>
        </w:tc>
      </w:tr>
      <w:tr w:rsidR="009262C4" w14:paraId="1198B3A7"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2D269E4" w14:textId="77777777" w:rsidR="009262C4" w:rsidRDefault="00000000">
            <w:pPr>
              <w:spacing w:after="40" w:line="240" w:lineRule="auto"/>
              <w:jc w:val="left"/>
            </w:pPr>
            <w:r>
              <w:rPr>
                <w:rFonts w:ascii="Palatino Linotype" w:hAnsi="Palatino Linotype" w:cs="Palatino Linotype"/>
                <w:color w:val="000000"/>
                <w:sz w:val="19"/>
                <w:szCs w:val="17"/>
              </w:rPr>
              <w:t>S1 Abbasi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3D353DE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E9473E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02E319D"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7323AA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0245F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41AD0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2E0525F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30BEAC" w14:textId="77777777" w:rsidR="009262C4" w:rsidRDefault="00000000">
            <w:pPr>
              <w:spacing w:after="40" w:line="240" w:lineRule="auto"/>
              <w:jc w:val="left"/>
            </w:pPr>
            <w:r>
              <w:rPr>
                <w:rFonts w:ascii="Palatino Linotype" w:hAnsi="Palatino Linotype" w:cs="Palatino Linotype"/>
                <w:color w:val="000000"/>
                <w:sz w:val="19"/>
                <w:szCs w:val="17"/>
              </w:rPr>
              <w:t xml:space="preserve">S2 Albalwy et al. (2021)</w:t>
            </w:r>
          </w:p>
        </w:tc>
        <w:tc>
          <w:tcPr>
            <w:tcW w:w="850" w:type="dxa"/>
            <w:tcBorders>
              <w:top w:val="nil"/>
              <w:left w:val="nil"/>
              <w:bottom w:val="nil"/>
              <w:right w:val="nil"/>
              <w:insideH w:val="nil"/>
              <w:insideV w:val="nil"/>
            </w:tcBorders>
            <w:tcMar>
              <w:top w:w="40" w:type="dxa"/>
              <w:left w:w="80" w:type="dxa"/>
              <w:bottom w:w="40" w:type="dxa"/>
              <w:right w:w="80" w:type="dxa"/>
            </w:tcMar>
          </w:tcPr>
          <w:p w14:paraId="2B0F9E6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3BDD8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E92A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3C1DB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4D50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E102FC3"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887314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168ED55E" w14:textId="77777777" w:rsidR="009262C4" w:rsidRDefault="00000000">
            <w:pPr>
              <w:spacing w:after="40" w:line="240" w:lineRule="auto"/>
              <w:jc w:val="left"/>
            </w:pPr>
            <w:r>
              <w:rPr>
                <w:rFonts w:ascii="Palatino Linotype" w:hAnsi="Palatino Linotype" w:cs="Palatino Linotype"/>
                <w:color w:val="000000"/>
                <w:sz w:val="19"/>
                <w:szCs w:val="17"/>
              </w:rPr>
              <w:t>S3 Al Amin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009C400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55228D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F4713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A8B63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2632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90A7E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CFEF1BA"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5794249" w14:textId="77777777" w:rsidR="009262C4" w:rsidRDefault="00000000">
            <w:pPr>
              <w:spacing w:after="40" w:line="240" w:lineRule="auto"/>
              <w:jc w:val="left"/>
            </w:pPr>
            <w:r>
              <w:rPr>
                <w:rFonts w:ascii="Palatino Linotype" w:hAnsi="Palatino Linotype" w:cs="Palatino Linotype"/>
                <w:color w:val="000000"/>
                <w:sz w:val="19"/>
                <w:szCs w:val="17"/>
              </w:rPr>
              <w:t>S4 Ekholm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7F0C2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6D71C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3B3F56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9DA5D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933F70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999D14A"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3BC8B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B8C5159" w14:textId="77777777" w:rsidR="009262C4" w:rsidRDefault="00000000">
            <w:pPr>
              <w:spacing w:after="40" w:line="240" w:lineRule="auto"/>
              <w:jc w:val="left"/>
            </w:pPr>
            <w:r>
              <w:rPr>
                <w:rFonts w:ascii="Palatino Linotype" w:hAnsi="Palatino Linotype" w:cs="Palatino Linotype"/>
                <w:color w:val="000000"/>
                <w:sz w:val="19"/>
                <w:szCs w:val="17"/>
              </w:rPr>
              <w:t>S5 Eneh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119A8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072BE5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CFD614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88E8C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25634C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033186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54CCACD"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78ED44A" w14:textId="77777777" w:rsidR="009262C4" w:rsidRDefault="00000000">
            <w:pPr>
              <w:spacing w:after="40" w:line="240" w:lineRule="auto"/>
              <w:jc w:val="left"/>
            </w:pPr>
            <w:r>
              <w:rPr>
                <w:rFonts w:ascii="Palatino Linotype" w:hAnsi="Palatino Linotype" w:cs="Palatino Linotype"/>
                <w:color w:val="000000"/>
                <w:sz w:val="19"/>
                <w:szCs w:val="17"/>
              </w:rPr>
              <w:t>S6 Hagström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6D7306A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D22FF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87231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594B9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5B6E3B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4499101"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5437E801"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E0CE2A1" w14:textId="77777777" w:rsidR="009262C4" w:rsidRDefault="00000000">
            <w:pPr>
              <w:spacing w:after="40" w:line="240" w:lineRule="auto"/>
              <w:jc w:val="left"/>
            </w:pPr>
            <w:r>
              <w:rPr>
                <w:rFonts w:ascii="Palatino Linotype" w:hAnsi="Palatino Linotype" w:cs="Palatino Linotype"/>
                <w:color w:val="000000"/>
                <w:sz w:val="19"/>
                <w:szCs w:val="17"/>
              </w:rPr>
              <w:t xml:space="preserve">S7 Jaiman and Urovi (2020)</w:t>
            </w:r>
          </w:p>
        </w:tc>
        <w:tc>
          <w:tcPr>
            <w:tcW w:w="850" w:type="dxa"/>
            <w:tcBorders>
              <w:top w:val="nil"/>
              <w:left w:val="nil"/>
              <w:bottom w:val="nil"/>
              <w:right w:val="nil"/>
              <w:insideH w:val="nil"/>
              <w:insideV w:val="nil"/>
            </w:tcBorders>
            <w:tcMar>
              <w:top w:w="40" w:type="dxa"/>
              <w:left w:w="80" w:type="dxa"/>
              <w:bottom w:w="40" w:type="dxa"/>
              <w:right w:w="80" w:type="dxa"/>
            </w:tcMar>
          </w:tcPr>
          <w:p w14:paraId="3F5F114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D25D17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EE2914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ED68EE"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2DF353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8099F7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BDCE4B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FCC62A6" w14:textId="77777777" w:rsidR="009262C4" w:rsidRDefault="00000000">
            <w:pPr>
              <w:spacing w:after="40" w:line="240" w:lineRule="auto"/>
              <w:jc w:val="left"/>
            </w:pPr>
            <w:r>
              <w:rPr>
                <w:rFonts w:ascii="Palatino Linotype" w:hAnsi="Palatino Linotype" w:cs="Palatino Linotype"/>
                <w:color w:val="000000"/>
                <w:sz w:val="19"/>
                <w:szCs w:val="17"/>
              </w:rPr>
              <w:t>S8 Zhao and Su (2024)</w:t>
            </w:r>
          </w:p>
        </w:tc>
        <w:tc>
          <w:tcPr>
            <w:tcW w:w="850" w:type="dxa"/>
            <w:tcBorders>
              <w:top w:val="nil"/>
              <w:left w:val="nil"/>
              <w:bottom w:val="nil"/>
              <w:right w:val="nil"/>
              <w:insideH w:val="nil"/>
              <w:insideV w:val="nil"/>
            </w:tcBorders>
            <w:tcMar>
              <w:top w:w="40" w:type="dxa"/>
              <w:left w:w="80" w:type="dxa"/>
              <w:bottom w:w="40" w:type="dxa"/>
              <w:right w:w="80" w:type="dxa"/>
            </w:tcMar>
          </w:tcPr>
          <w:p w14:paraId="5EF17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6BA52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CACBC1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9B7907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22D4F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F41D6DF"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05AA4C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43FAADB" w14:textId="77777777" w:rsidR="009262C4" w:rsidRDefault="00000000">
            <w:pPr>
              <w:spacing w:after="40" w:line="240" w:lineRule="auto"/>
              <w:jc w:val="left"/>
            </w:pPr>
            <w:r>
              <w:rPr>
                <w:rFonts w:ascii="Palatino Linotype" w:hAnsi="Palatino Linotype" w:cs="Palatino Linotype"/>
                <w:color w:val="000000"/>
                <w:sz w:val="19"/>
                <w:szCs w:val="17"/>
              </w:rPr>
              <w:t>S9 Li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98A73F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90A8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97265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6A07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365B17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F552433"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ED5A622"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0711215" w14:textId="77777777" w:rsidR="009262C4" w:rsidRDefault="00000000">
            <w:pPr>
              <w:spacing w:after="40" w:line="240" w:lineRule="auto"/>
              <w:jc w:val="left"/>
            </w:pPr>
            <w:r>
              <w:rPr>
                <w:rFonts w:ascii="Palatino Linotype" w:hAnsi="Palatino Linotype" w:cs="Palatino Linotype"/>
                <w:color w:val="000000"/>
                <w:sz w:val="19"/>
                <w:szCs w:val="17"/>
              </w:rPr>
              <w:t>S10 Madine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CCF7FA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F61119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9ECCBA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C4DEB4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4472D2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99BF36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32FA4AE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5535FE3" w14:textId="77777777" w:rsidR="009262C4" w:rsidRDefault="00000000">
            <w:pPr>
              <w:spacing w:after="40" w:line="240" w:lineRule="auto"/>
              <w:jc w:val="left"/>
            </w:pPr>
            <w:r>
              <w:rPr>
                <w:rFonts w:ascii="Palatino Linotype" w:hAnsi="Palatino Linotype" w:cs="Palatino Linotype"/>
                <w:color w:val="000000"/>
                <w:sz w:val="19"/>
                <w:szCs w:val="17"/>
              </w:rPr>
              <w:t>S11 Maruthi and Singh (2025)</w:t>
            </w:r>
          </w:p>
        </w:tc>
        <w:tc>
          <w:tcPr>
            <w:tcW w:w="850" w:type="dxa"/>
            <w:tcBorders>
              <w:top w:val="nil"/>
              <w:left w:val="nil"/>
              <w:bottom w:val="nil"/>
              <w:right w:val="nil"/>
              <w:insideH w:val="nil"/>
              <w:insideV w:val="nil"/>
            </w:tcBorders>
            <w:tcMar>
              <w:top w:w="40" w:type="dxa"/>
              <w:left w:w="80" w:type="dxa"/>
              <w:bottom w:w="40" w:type="dxa"/>
              <w:right w:w="80" w:type="dxa"/>
            </w:tcMar>
          </w:tcPr>
          <w:p w14:paraId="2A9252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A7E181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26F4A5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834AC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D8EB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9DA9E5D"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284876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7182FB9" w14:textId="77777777" w:rsidR="009262C4" w:rsidRDefault="00000000">
            <w:pPr>
              <w:spacing w:after="40" w:line="240" w:lineRule="auto"/>
              <w:jc w:val="left"/>
            </w:pPr>
            <w:r>
              <w:rPr>
                <w:rFonts w:ascii="Palatino Linotype" w:hAnsi="Palatino Linotype" w:cs="Palatino Linotype"/>
                <w:color w:val="000000"/>
                <w:sz w:val="19"/>
                <w:szCs w:val="17"/>
              </w:rPr>
              <w:t>S12 Mei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5EBA1B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A7338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870CAA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1AAE1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C94E71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72558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6FB79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EF552D9" w14:textId="77777777" w:rsidR="009262C4" w:rsidRDefault="00000000">
            <w:pPr>
              <w:spacing w:after="40" w:line="240" w:lineRule="auto"/>
              <w:jc w:val="left"/>
            </w:pPr>
            <w:r>
              <w:rPr>
                <w:rFonts w:ascii="Palatino Linotype" w:hAnsi="Palatino Linotype" w:cs="Palatino Linotype"/>
                <w:color w:val="000000"/>
                <w:sz w:val="19"/>
                <w:szCs w:val="17"/>
              </w:rPr>
              <w:t>S13 Panagoulias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247841B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47D3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2687F4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E7749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370049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B6C0E5C"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0EE1003"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3D3DC" w14:textId="77777777" w:rsidR="009262C4" w:rsidRDefault="00000000">
            <w:pPr>
              <w:spacing w:after="40" w:line="240" w:lineRule="auto"/>
              <w:jc w:val="left"/>
            </w:pPr>
            <w:r>
              <w:rPr>
                <w:rFonts w:ascii="Palatino Linotype" w:hAnsi="Palatino Linotype" w:cs="Palatino Linotype"/>
                <w:color w:val="000000"/>
                <w:sz w:val="19"/>
                <w:szCs w:val="17"/>
              </w:rPr>
              <w:t>S14 Phuyal et al. (2026b)</w:t>
            </w:r>
          </w:p>
        </w:tc>
        <w:tc>
          <w:tcPr>
            <w:tcW w:w="850" w:type="dxa"/>
            <w:tcBorders>
              <w:top w:val="nil"/>
              <w:left w:val="nil"/>
              <w:bottom w:val="nil"/>
              <w:right w:val="nil"/>
              <w:insideH w:val="nil"/>
              <w:insideV w:val="nil"/>
            </w:tcBorders>
            <w:tcMar>
              <w:top w:w="40" w:type="dxa"/>
              <w:left w:w="80" w:type="dxa"/>
              <w:bottom w:w="40" w:type="dxa"/>
              <w:right w:w="80" w:type="dxa"/>
            </w:tcMar>
          </w:tcPr>
          <w:p w14:paraId="3A435FE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5C24D7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22014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597EC1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0490C6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6D3099"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DE0A2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90E4D" w14:textId="77777777" w:rsidR="009262C4" w:rsidRDefault="00000000">
            <w:pPr>
              <w:spacing w:after="40" w:line="240" w:lineRule="auto"/>
              <w:jc w:val="left"/>
            </w:pPr>
            <w:r>
              <w:rPr>
                <w:rFonts w:ascii="Palatino Linotype" w:hAnsi="Palatino Linotype" w:cs="Palatino Linotype"/>
                <w:color w:val="000000"/>
                <w:sz w:val="19"/>
                <w:szCs w:val="17"/>
              </w:rPr>
              <w:t>S15 Phuyal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2D6696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6E8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1C2B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7AF975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64D8BD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7FBA46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EADAE9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0398AF6" w14:textId="77777777" w:rsidR="009262C4" w:rsidRDefault="00000000">
            <w:pPr>
              <w:spacing w:after="40" w:line="240" w:lineRule="auto"/>
              <w:jc w:val="left"/>
            </w:pPr>
            <w:r>
              <w:rPr>
                <w:rFonts w:ascii="Palatino Linotype" w:hAnsi="Palatino Linotype" w:cs="Palatino Linotype"/>
                <w:color w:val="000000"/>
                <w:sz w:val="19"/>
                <w:szCs w:val="17"/>
              </w:rPr>
              <w:t>S16 Punia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7A94C9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90D729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3F1030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00D57DD"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AF0A7F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D68205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6A2F1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81033AC" w14:textId="77777777" w:rsidR="009262C4" w:rsidRDefault="00000000">
            <w:pPr>
              <w:spacing w:after="40" w:line="240" w:lineRule="auto"/>
              <w:jc w:val="left"/>
            </w:pPr>
            <w:r>
              <w:rPr>
                <w:rFonts w:ascii="Palatino Linotype" w:hAnsi="Palatino Linotype" w:cs="Palatino Linotype"/>
                <w:color w:val="000000"/>
                <w:sz w:val="19"/>
                <w:szCs w:val="17"/>
              </w:rPr>
              <w:t>S17 Román-Martínez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709B0C46"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732BB8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50619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6BC9EE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28842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6247D2"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2EB5DA8"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B9E2D9F" w14:textId="77777777" w:rsidR="009262C4" w:rsidRDefault="00000000">
            <w:pPr>
              <w:spacing w:after="40" w:line="240" w:lineRule="auto"/>
              <w:jc w:val="left"/>
            </w:pPr>
            <w:r>
              <w:rPr>
                <w:rFonts w:ascii="Palatino Linotype" w:hAnsi="Palatino Linotype" w:cs="Palatino Linotype"/>
                <w:color w:val="000000"/>
                <w:sz w:val="19"/>
                <w:szCs w:val="17"/>
              </w:rPr>
              <w:t>S18 Hema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E490E8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3BFC5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F18463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9E21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73D58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8D3DDA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04A2A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74D7E4" w14:textId="77777777" w:rsidR="009262C4" w:rsidRDefault="00000000">
            <w:pPr>
              <w:spacing w:after="40" w:line="240" w:lineRule="auto"/>
              <w:jc w:val="left"/>
            </w:pPr>
            <w:r>
              <w:rPr>
                <w:rFonts w:ascii="Palatino Linotype" w:hAnsi="Palatino Linotype" w:cs="Palatino Linotype"/>
                <w:color w:val="000000"/>
                <w:sz w:val="19"/>
                <w:szCs w:val="17"/>
              </w:rPr>
              <w:t>S19 SooHoo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F8B01D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2D2A84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68E08A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EEC15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7B01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EE3F7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1B995D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BE18B69" w14:textId="77777777" w:rsidR="009262C4" w:rsidRDefault="00000000">
            <w:pPr>
              <w:spacing w:after="40" w:line="240" w:lineRule="auto"/>
              <w:jc w:val="left"/>
            </w:pPr>
            <w:r>
              <w:rPr>
                <w:rFonts w:ascii="Palatino Linotype" w:hAnsi="Palatino Linotype" w:cs="Palatino Linotype"/>
                <w:color w:val="000000"/>
                <w:sz w:val="19"/>
                <w:szCs w:val="17"/>
              </w:rPr>
              <w:t>S20 Tan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06ADF66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AD30DF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CC4F5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20CB1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0D95E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3BD079"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A0D7B05"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7B61173" w14:textId="77777777" w:rsidR="009262C4" w:rsidRDefault="00000000">
            <w:pPr>
              <w:spacing w:after="40" w:line="240" w:lineRule="auto"/>
              <w:jc w:val="left"/>
            </w:pPr>
            <w:r>
              <w:rPr>
                <w:rFonts w:ascii="Palatino Linotype" w:hAnsi="Palatino Linotype" w:cs="Palatino Linotype"/>
                <w:color w:val="000000"/>
                <w:sz w:val="19"/>
                <w:szCs w:val="17"/>
              </w:rPr>
              <w:t>S21 Tith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EC859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1A51C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7BF3FD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00F61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ECD7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31F7D0F"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457C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2354F19" w14:textId="77777777" w:rsidR="009262C4" w:rsidRDefault="00000000">
            <w:pPr>
              <w:spacing w:after="40" w:line="240" w:lineRule="auto"/>
              <w:jc w:val="left"/>
            </w:pPr>
            <w:r>
              <w:rPr>
                <w:rFonts w:ascii="Palatino Linotype" w:hAnsi="Palatino Linotype" w:cs="Palatino Linotype"/>
                <w:color w:val="000000"/>
                <w:sz w:val="19"/>
                <w:szCs w:val="17"/>
              </w:rPr>
              <w:t>S22 Tremper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62285B9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E336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15D8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118919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129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530DC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F2BEA3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3C4B8F8" w14:textId="77777777" w:rsidR="009262C4" w:rsidRDefault="00000000">
            <w:pPr>
              <w:spacing w:after="40" w:line="240" w:lineRule="auto"/>
              <w:jc w:val="left"/>
            </w:pPr>
            <w:r>
              <w:rPr>
                <w:rFonts w:ascii="Palatino Linotype" w:hAnsi="Palatino Linotype" w:cs="Palatino Linotype"/>
                <w:color w:val="000000"/>
                <w:sz w:val="19"/>
                <w:szCs w:val="17"/>
              </w:rPr>
              <w:t>S23 Tseng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CF8F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2502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4EE972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02A084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78BE2A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C832B96"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66EB1D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2C42555" w14:textId="77777777" w:rsidR="009262C4" w:rsidRDefault="00000000">
            <w:pPr>
              <w:spacing w:after="40" w:line="240" w:lineRule="auto"/>
              <w:jc w:val="left"/>
            </w:pPr>
            <w:r>
              <w:rPr>
                <w:rFonts w:ascii="Palatino Linotype" w:hAnsi="Palatino Linotype" w:cs="Palatino Linotype"/>
                <w:color w:val="000000"/>
                <w:sz w:val="19"/>
                <w:szCs w:val="17"/>
              </w:rPr>
              <w:t>S24 Wu et al. (2022)</w:t>
            </w:r>
          </w:p>
        </w:tc>
        <w:tc>
          <w:tcPr>
            <w:tcW w:w="850" w:type="dxa"/>
            <w:tcBorders>
              <w:top w:val="nil"/>
              <w:left w:val="nil"/>
              <w:bottom w:val="nil"/>
              <w:right w:val="nil"/>
              <w:insideH w:val="nil"/>
              <w:insideV w:val="nil"/>
            </w:tcBorders>
            <w:tcMar>
              <w:top w:w="40" w:type="dxa"/>
              <w:left w:w="80" w:type="dxa"/>
              <w:bottom w:w="40" w:type="dxa"/>
              <w:right w:w="80" w:type="dxa"/>
            </w:tcMar>
          </w:tcPr>
          <w:p w14:paraId="39D8E4F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0D42B8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9E1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3B3C6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A89453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3103E0"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75A90F3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FAA777A" w14:textId="77777777" w:rsidR="009262C4" w:rsidRDefault="00000000">
            <w:pPr>
              <w:spacing w:after="40" w:line="240" w:lineRule="auto"/>
              <w:jc w:val="left"/>
            </w:pPr>
            <w:r>
              <w:rPr>
                <w:rFonts w:ascii="Palatino Linotype" w:hAnsi="Palatino Linotype" w:cs="Palatino Linotype"/>
                <w:color w:val="000000"/>
                <w:sz w:val="19"/>
                <w:szCs w:val="17"/>
              </w:rPr>
              <w:t>S25 Wu and Zhang (2025)</w:t>
            </w:r>
          </w:p>
        </w:tc>
        <w:tc>
          <w:tcPr>
            <w:tcW w:w="850" w:type="dxa"/>
            <w:tcBorders>
              <w:top w:val="nil"/>
              <w:left w:val="nil"/>
              <w:bottom w:val="nil"/>
              <w:right w:val="nil"/>
              <w:insideH w:val="nil"/>
              <w:insideV w:val="nil"/>
            </w:tcBorders>
            <w:tcMar>
              <w:top w:w="40" w:type="dxa"/>
              <w:left w:w="80" w:type="dxa"/>
              <w:bottom w:w="40" w:type="dxa"/>
              <w:right w:w="80" w:type="dxa"/>
            </w:tcMar>
          </w:tcPr>
          <w:p w14:paraId="39B657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343698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C341D7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65BF5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F114D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B9100A" w14:textId="77777777" w:rsidR="009262C4" w:rsidRDefault="00000000">
            <w:pPr>
              <w:spacing w:after="40" w:line="240" w:lineRule="auto"/>
              <w:jc w:val="left"/>
            </w:pPr>
            <w:r>
              <w:rPr>
                <w:rFonts w:ascii="Palatino Linotype" w:hAnsi="Palatino Linotype" w:cs="Palatino Linotype"/>
                <w:color w:val="000000"/>
                <w:sz w:val="19"/>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 xml:space="preserve">The matrix supports four observations. First, counting only full satisfaction, Req 1 is met by 12 of the 25 studies, Req 2 by 7, Req 3 by 6, Req 4 by 10, Req 5 by 8, and Req 6 by 9. Second, no study satisfies all </w:t>
        <w:lastRenderedPageBreak/>
        <w:t>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t>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t>(Chapters 9 and 10)</w:t>
      </w:r>
      <w:r>
        <w:t>.</w:t>
      </w:r>
    </w:p>
    <w:p w14:paraId="612126A9" w14:textId="77777777" w:rsidR="009262C4" w:rsidRDefault="00000000">
      <w:pPr>
        <w:spacing w:after="110" w:line="264" w:lineRule="auto"/>
        <w:jc w:val="both"/>
      </w:pPr>
      <w: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t>Req 6 in Table 2.10</w:t>
      </w:r>
      <w:r>
        <w:t xml:space="preserve">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t>stated in Chapter 3</w:t>
      </w:r>
      <w:r>
        <w:t xml:space="preserve">, and each gap corresponds to the research question and objective of the same number </w:t>
      </w:r>
      <w:r>
        <w:t>in Chapter 3</w:t>
      </w:r>
      <w:r>
        <w:t>.</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60" w:before="160"/>
        <w:jc w:val="center"/>
      </w:pPr>
      <w:r>
        <w:rPr>
          <w:b/>
          <w:bCs/>
          <w:sz w:val="20"/>
          <w:szCs w:val="18"/>
        </w:rPr>
        <w:t xml:space="preserve">Figure 2.2: </w:t>
      </w:r>
      <w:r>
        <w:rPr>
          <w:sz w:val="20"/>
          <w:szCs w:val="18"/>
        </w:rPr>
        <w:t xml:space="preserve">Synthesis of the review: the conjunction gap and the assurance gap addressed by the proposed framework, with the number of the 25 analysed studies graded Yes for each requirement </w:t>
      </w:r>
      <w:r>
        <w:rPr>
          <w:sz w:val="20"/>
          <w:szCs w:val="18"/>
        </w:rPr>
        <w:t>in Table 2.10.</w:t>
      </w:r>
    </w:p>
    <w:p>
      <w:pPr/>
      <w:r>
        <w:t>As presented in Tables 2.4 to 2.10, researchers have focused on securing individual aspects of healthcare data sharing: recording consent, verifying identity, approving access, and restricting the data that are released. However, from the perspective of the six requirements stated in Section 2.2, the existing work has the following drawbacks:</w:t>
      </w:r>
    </w:p>
    <w:p>
      <w:pPr>
        <w:tabs>
          <w:tab w:pos="510" w:val="left"/>
        </w:tabs>
        <w:spacing w:after="120"/>
        <w:ind w:left="510" w:hanging="283"/>
      </w:pPr>
      <w:r>
        <w:t>•</w:t>
        <w:tab/>
      </w:r>
      <w:r>
        <w:rPr>
          <w:i/>
          <w:u w:val="single"/>
        </w:rPr>
        <w:t>Inability to represent consent as an evaluable authorisation object (Req 1):</w:t>
      </w:r>
      <w: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tabs>
          <w:tab w:pos="510" w:val="left"/>
        </w:tabs>
        <w:spacing w:after="120"/>
        <w:ind w:left="510" w:hanging="283"/>
      </w:pPr>
      <w:r>
        <w:t>•</w:t>
        <w:tab/>
      </w:r>
      <w:r>
        <w:rPr>
          <w:i/>
          <w:u w:val="single"/>
        </w:rPr>
        <w:t>Inability to verify authority separately from identity (Req 2):</w:t>
      </w:r>
      <w: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2.10). Without this separation, an authenticated participant is treated as an authorised one.</w:t>
      </w:r>
    </w:p>
    <w:p>
      <w:pPr>
        <w:tabs>
          <w:tab w:pos="510" w:val="left"/>
        </w:tabs>
        <w:spacing w:after="120"/>
        <w:ind w:left="510" w:hanging="283"/>
      </w:pPr>
      <w:r>
        <w:t>•</w:t>
        <w:tab/>
      </w:r>
      <w:r>
        <w:rPr>
          <w:i/>
          <w:u w:val="single"/>
        </w:rPr>
        <w:t>Absence of multi-party approval as a standing condition of every access decision (Req 3):</w:t>
      </w:r>
      <w: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2.10). None of the papers examined makes approval by a patient-defined set a condition of every access decision.</w:t>
      </w:r>
    </w:p>
    <w:p>
      <w:pPr>
        <w:tabs>
          <w:tab w:pos="510" w:val="left"/>
        </w:tabs>
        <w:spacing w:after="120"/>
        <w:ind w:left="510" w:hanging="283"/>
      </w:pPr>
      <w:r>
        <w:t>•</w:t>
        <w:tab/>
      </w:r>
      <w:r>
        <w:rPr>
          <w:i/>
          <w:u w:val="single"/>
        </w:rPr>
        <w:t>Inability to bind purpose and data scope to the same decision as identity, authority and approval (Req 4):</w:t>
      </w:r>
      <w:r>
        <w:t xml:space="preserve"> Purpose and data-scope constraints are enforced by 10 of the 25 studies (Table 2.10), but in none of them are they bound to the same decision as identity, authority and multi-party approval; in the reviewed studies, multi-party approval is never conjoined with a purpose condition (Madine et al. 2020; Punia et al. 2025; Tan, Chi &amp; Lam 2024). Without this binding, a valid identity and sufficient approvals can be used to obtain data outside the authorised scope.</w:t>
      </w:r>
    </w:p>
    <w:p>
      <w:pPr>
        <w:tabs>
          <w:tab w:pos="510" w:val="left"/>
        </w:tabs>
        <w:spacing w:after="120"/>
        <w:ind w:left="510" w:hanging="283"/>
      </w:pPr>
      <w:r>
        <w:t>•</w:t>
        <w:tab/>
      </w:r>
      <w:r>
        <w:rPr>
          <w:i/>
          <w:u w:val="single"/>
        </w:rPr>
        <w:t>Absence of temporal and lifecycle evaluation at the time of each access request (Req 5):</w:t>
      </w:r>
      <w:r>
        <w:t xml:space="preserve"> Req 5 is graded Yes in 8 of the 25 studies (Table 2.10). In these studies, the validity period, the lifecycle state and the revocation of a consent are enforced on a credential or at registration rather than evaluated when the request is made. Without such evaluation, a consent that has expired or been revoked remains usable once its approvals have been recorded.</w:t>
      </w:r>
    </w:p>
    <w:p>
      <w:pPr>
        <w:tabs>
          <w:tab w:pos="510" w:val="left"/>
        </w:tabs>
        <w:spacing w:after="120"/>
        <w:ind w:left="510" w:hanging="283"/>
      </w:pPr>
      <w:r>
        <w:t>•</w:t>
        <w:tab/>
      </w:r>
      <w:r>
        <w:rPr>
          <w:i/>
          <w:u w:val="single"/>
        </w:rPr>
        <w:t>Absence of formal and empirical assurance of the complete decision (Req 6):</w:t>
      </w:r>
      <w:r>
        <w:t xml:space="preserve"> Within Req 6, formal assurance is provided by 4 studies, argued informally by 9, and absent in the rest (Section 2.4.6).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r>
        <w:t>In the next section, we present our proposed framework to address the gaps.</w:t>
      </w:r>
    </w:p>
    <w:p>
      <w:pPr>
        <w:pStyle w:val="2"/>
        <w:keepNext/>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t>Sections 2.5.1 to 2.5.6 state how the proposed framework, implemented in the HALAH prototype, addresses each requirement and the research objective that delivers it.</w:t>
      </w:r>
    </w:p>
    <w:p>
      <w:pPr>
        <w:pStyle w:val="3"/>
        <w:keepNext/>
      </w:pPr>
      <w:r>
        <w:t>2.5.1 Representation of Consent as an Evaluable Authorisation Object (Req 1)</w:t>
      </w:r>
    </w:p>
    <w:p>
      <w:pPr/>
      <w:r>
        <w:t xml:space="preserve">Consent is represented as the evaluable object C = (I, A, P, T, L, E), created through Algorithm 1 and evaluated at every access request. </w:t>
      </w:r>
      <w:r>
        <w:t>This requirement is delivered by RO1, presented in Chapter 5.</w:t>
      </w:r>
    </w:p>
    <w:p>
      <w:pPr>
        <w:pStyle w:val="3"/>
        <w:keepNext/>
      </w:pPr>
      <w:r>
        <w:t>2.5.2 Decentralised Verification of Identity and Authority (Req 2)</w:t>
      </w:r>
    </w:p>
    <w:p>
      <w:pPr/>
      <w: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Full DID resolution is planned for the next stage. </w:t>
      </w:r>
      <w:r>
        <w:t>This requirement is delivered by RO2, presented in Chapter 6.</w:t>
      </w:r>
    </w:p>
    <w:p>
      <w:pPr>
        <w:pStyle w:val="3"/>
        <w:keepNext/>
      </w:pPr>
      <w:r>
        <w:t>2.5.3 Multi-Party Authorisation through a Verifiable Threshold (Req 3)</w:t>
      </w:r>
    </w:p>
    <w:p>
      <w:pPr/>
      <w:r>
        <w:t xml:space="preserve">N-of-N approval by the guardian set G with EIP-712 guardian signatures (Bloemen, Logvinov &amp; Evans 2017), evaluated as VA through Algorithm 3. </w:t>
      </w:r>
      <w:r>
        <w:t>This requirement is delivered by RO3, presented in Chapter 7.</w:t>
      </w:r>
    </w:p>
    <w:p>
      <w:pPr>
        <w:pStyle w:val="3"/>
        <w:keepNext/>
      </w:pPr>
      <w:r>
        <w:t>2.5.4 Policy- and Context-Aware Enforcement at the Time of Access (Req 4)</w:t>
      </w:r>
    </w:p>
    <w:p>
      <w:pPr/>
      <w:r>
        <w:t xml:space="preserve">Purpose and a non-empty data scope within the consent are evaluated as VP through Algorithm 4. </w:t>
      </w:r>
      <w:r>
        <w:t>This requirement is delivered by RO4, presented in Chapter 8.</w:t>
      </w:r>
    </w:p>
    <w:p>
      <w:pPr>
        <w:pStyle w:val="3"/>
        <w:keepNext/>
      </w:pPr>
      <w:r>
        <w:t>2.5.5 Temporal Validity and Lifecycle Control of Consent (Req 5)</w:t>
      </w:r>
    </w:p>
    <w:p>
      <w:pPr/>
      <w:r>
        <w:t xml:space="preserve">The validity window VT, revocation, the lifecycle states, and the on-chain revocation on Sepolia are implemented, as specified in Algorithm 5. The SUSPENDED state and the lifecycle transition check are not yet implemented. </w:t>
      </w:r>
      <w:r>
        <w:t>This requirement is delivered by RO5, presented in Chapter 9.</w:t>
      </w:r>
    </w:p>
    <w:p>
      <w:pPr>
        <w:pStyle w:val="3"/>
        <w:keepNext/>
      </w:pPr>
      <w:r>
        <w:t>2.5.6 Verifiable Auditability and Security Assurance (Req 6)</w:t>
      </w:r>
    </w:p>
    <w:p>
      <w:pPr/>
      <w:r>
        <w:t xml:space="preserve">Audit ledger evidence and 46 automated tests, including twelve attack scenarios A1 to A12. The testing part of Algorithm 6 is done. Formal analysis is left for the next stage. </w:t>
      </w:r>
      <w:r>
        <w:t>This requirement is delivered by RO6, presented in Chapter 10.</w:t>
      </w:r>
    </w:p>
    <w:p>
      <w:pPr>
        <w:pStyle w:val="2"/>
        <w:keepNext/>
      </w:pPr>
      <w:r>
        <w:t>2.6 Conclusion</w:t>
      </w:r>
    </w:p>
    <w:p>
      <w:pPr/>
      <w:r>
        <w:t>This chapter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the combined decision is neither proved nor systematically tested. These findings form the conjunction gap and the assurance gap. The next chapter states these gaps, the research questions that follow from them, and the objectives of this thesis.</w:t>
      </w:r>
    </w:p>
    <w:sectPr w:rsidR="009262C4">
      <w:headerReference w:type="default" r:id="rId37"/>
      <w:headerReference w:type="even" r:id="rId38"/>
      <w:footerReference w:type="default" r:id="rId34"/>
      <w:footerReference w:type="even" r:id="rId39"/>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2026-10-22T10:16:04Z</dcterms:created>
  <dcterms:modified xsi:type="dcterms:W3CDTF">2026-10-22T10:16:04Z</dcterms:modified>
</cp:coreProperties>
</file>