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rPr>
          <w:color w:val="FF0000"/>
        </w:rPr>
        <w:t>4.1 Introduction</w:t>
      </w:r>
    </w:p>
    <w:p>
      <w:pPr/>
      <w:r>
        <w:rPr>
          <w:color w:val="FF0000"/>
        </w:rP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rPr>
          <w:color w:val="FF0000"/>
        </w:rPr>
        <w:t>4.2 Key Definitions</w:t>
      </w:r>
    </w:p>
    <w:p>
      <w:pPr/>
      <w:r>
        <w:rPr>
          <w:color w:val="FF0000"/>
        </w:rPr>
        <w:t>The following terms are used in the overview of the solution and in the chapters that follow. The patient, the guardian set G, the threshold N, the authorised doctor D, the access request R and the consent object C were defined in Chapter 3.</w:t>
      </w:r>
    </w:p>
    <w:p>
      <w:pPr/>
      <w:r>
        <w:rPr>
          <w:color w:val="FF0000"/>
        </w:rP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rPr>
          <w:color w:val="FF0000"/>
        </w:rPr>
        <w:t>Decision function. The rule Decision(C, R, t) that returns ALLOW only when all five trust predicates hold for the consent C, the request R and the time t, and DENY otherwise. It was stated as Equation (3.2).</w:t>
      </w:r>
    </w:p>
    <w:p>
      <w:pPr/>
      <w:r>
        <w:rPr>
          <w:color w:val="FF0000"/>
        </w:rPr>
        <w:t>Approval. A signed statement by one guardian that approves one consent. An approval is valid only when it is signed by a member of G who has not already approved the same consent.</w:t>
      </w:r>
    </w:p>
    <w:p>
      <w:pPr/>
      <w:r>
        <w:rPr>
          <w:color w:val="FF0000"/>
        </w:rPr>
        <w:t>Verified approving set Av. The subset of G whose approvals have been verified. The consent becomes active when |Av| reaches N.</w:t>
      </w:r>
    </w:p>
    <w:p>
      <w:pPr/>
      <w:r>
        <w:rPr>
          <w:color w:val="FF0000"/>
        </w:rPr>
        <w:t>Lifecycle state. The state of a consent at a point in time: pending until the guardians have approved, not started before its start time, active while it can release data, and expired or revoked when it no longer can.</w:t>
      </w:r>
    </w:p>
    <w:p>
      <w:pPr/>
      <w:r>
        <w:rPr>
          <w:color w:val="FF0000"/>
        </w:rPr>
        <w:t>Audit event. A record written to the audit ledger for every action on a consent, including its creation, each approval, each access decision with the result of the five predicates, and its revocation.</w:t>
      </w:r>
    </w:p>
    <w:p>
      <w:pPr/>
      <w:r>
        <w:rPr>
          <w:color w:val="FF0000"/>
        </w:rPr>
        <w:t>Scenario. One complete run of the prototype that exercises a defined path, such as the creation and approval of a consent followed by an allowed request, or a request made after revocation.</w:t>
      </w:r>
    </w:p>
    <w:p>
      <w:pPr/>
      <w:r>
        <w:rPr>
          <w:color w:val="FF0000"/>
        </w:rPr>
        <w:t>Attack scenario. A deliberate attempt to obtain access while one of the trust conditions is not satisfied, such as an approval from a signer outside G or a request outside the authorised data scope. The framework must refuse every attack scenario.</w:t>
      </w:r>
    </w:p>
    <w:p>
      <w:pPr/>
      <w:r>
        <w:rPr>
          <w:color w:val="FF0000"/>
        </w:rP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color w:val="FF0000"/>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rPr>
          <w:color w:val="FF0000"/>
        </w:rP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rPr>
          <w:color w:val="FF0000"/>
        </w:rPr>
        <w:t>(Chapters 5 to 10)</w:t>
      </w:r>
      <w:r>
        <w:t xml:space="preserve">. In the evaluation stage, the artefact was evaluated through access scenarios, 46 automated tests including twelve attack scenarios, and measurements of gas and processing time, which provide the performance measures </w:t>
      </w:r>
      <w:r>
        <w:rPr>
          <w:color w:val="FF0000"/>
        </w:rPr>
        <w:t>(Chapter 10)</w:t>
      </w:r>
      <w:r>
        <w:t>. In the conclusion stage, the results, the contributions, and the remaining lifecycle and assurance work are reported.</w:t>
      </w:r>
    </w:p>
    <w:p>
      <w:pPr>
        <w:pStyle w:val="2"/>
        <w:keepNext/>
      </w:pPr>
      <w:r>
        <w:t>4.4 Solution Overview</w:t>
      </w:r>
    </w:p>
    <w:p>
      <w:pPr/>
      <w:r>
        <w:rPr>
          <w:color w:val="FF0000"/>
        </w:rP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rPr>
          <w:color w:val="FF0000"/>
        </w:rP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rPr>
          <w:color w:val="FF0000"/>
        </w:rP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color w:val="FF0000"/>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rPr>
          <w:color w:val="FF0000"/>
        </w:rP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rPr>
          <w:color w:val="FF0000"/>
        </w:rP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rPr>
          <w:color w:val="FF0000"/>
        </w:rPr>
        <w:t>(4.2)</w:t>
      </w:r>
    </w:p>
    <w:p w14:paraId="483ED4AC" w14:textId="77777777" w:rsidR="009262C4" w:rsidRDefault="00000000">
      <w:pPr>
        <w:spacing w:after="110" w:line="264" w:lineRule="auto"/>
        <w:jc w:val="both"/>
      </w:pPr>
      <w:r>
        <w:t xml:space="preserve">In the implemented prototype, the threshold is fixed at N = |G|, </w:t>
      </w:r>
      <w:r>
        <w:rPr>
          <w:color w:val="FF0000"/>
        </w:rP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rPr>
          <w:color w:val="FF0000"/>
        </w:rP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rPr>
          <w:color w:val="FF0000"/>
        </w:rP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rPr>
          <w:color w:val="FF0000"/>
        </w:rPr>
        <w:t>4.5 Overview of Solution for RQ1</w:t>
      </w:r>
    </w:p>
    <w:p>
      <w:pPr/>
      <w:r>
        <w:rPr>
          <w:color w:val="FF0000"/>
        </w:rP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rPr>
          <w:color w:val="FF0000"/>
        </w:rP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rPr>
          <w:color w:val="FF0000"/>
        </w:rPr>
        <w:t>4.6 Overview of Solution for RQ2</w:t>
      </w:r>
    </w:p>
    <w:p>
      <w:pPr/>
      <w:r>
        <w:rPr>
          <w:color w:val="FF0000"/>
        </w:rP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rPr>
          <w:color w:val="FF0000"/>
        </w:rP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rPr>
          <w:color w:val="FF0000"/>
        </w:rPr>
        <w:t>4.7 Overview of Solution for RQ3</w:t>
      </w:r>
    </w:p>
    <w:p>
      <w:pPr/>
      <w:r>
        <w:rPr>
          <w:color w:val="FF0000"/>
        </w:rP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rPr>
          <w:color w:val="FF0000"/>
        </w:rP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rPr>
          <w:color w:val="FF0000"/>
        </w:rPr>
        <w:t>4.8 Overview of Solution for RQ4</w:t>
      </w:r>
    </w:p>
    <w:p>
      <w:pPr/>
      <w:r>
        <w:rPr>
          <w:color w:val="FF0000"/>
        </w:rP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rPr>
          <w:color w:val="FF0000"/>
        </w:rPr>
        <w:t>VP is therefore the condition that makes identity and approval necessary but not sufficient. The policy model, Algorithm 4 and its realisation are presented in Chapter 8.</w:t>
      </w:r>
    </w:p>
    <w:p>
      <w:pPr>
        <w:pStyle w:val="2"/>
        <w:keepNext/>
      </w:pPr>
      <w:r>
        <w:rPr>
          <w:color w:val="FF0000"/>
        </w:rPr>
        <w:t>4.9 Overview of Solution for RQ5</w:t>
      </w:r>
    </w:p>
    <w:p>
      <w:pPr/>
      <w:r>
        <w:rPr>
          <w:color w:val="FF0000"/>
        </w:rP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rPr>
          <w:color w:val="FF0000"/>
        </w:rP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rPr>
          <w:color w:val="FF0000"/>
        </w:rPr>
        <w:t>4.10 Overview of Solution for RQ6</w:t>
      </w:r>
    </w:p>
    <w:p>
      <w:pPr/>
      <w:r>
        <w:rPr>
          <w:color w:val="FF0000"/>
        </w:rP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rPr>
          <w:highlight w:val="green"/>
        </w:rPr>
        <w:t>4.10.1 Testing and Verification of the Solution</w:t>
      </w:r>
    </w:p>
    <w:p>
      <w:pPr/>
      <w:r>
        <w:rPr>
          <w:color w:val="FF0000"/>
        </w:rP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rPr>
          <w:color w:val="FF0000"/>
        </w:rPr>
        <w:t>4.11 Conclusion</w:t>
      </w:r>
    </w:p>
    <w:p>
      <w:pPr/>
      <w:r>
        <w:rPr>
          <w:color w:val="FF0000"/>
        </w:rP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2026-10-22T10:16:05Z</dcterms:created>
  <dcterms:modified xsi:type="dcterms:W3CDTF">2026-10-22T10:16:05Z</dcterms:modified>
</cp:coreProperties>
</file>