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t>This thesis denotes</w:t>
      </w:r>
      <w:r>
        <w:t xml:space="preserve"> that check V</w:t>
      </w:r>
      <w:r>
        <w:rPr>
          <w:vertAlign w:val="subscript"/>
        </w:rPr>
        <w:t>J</w:t>
      </w:r>
      <w:r>
        <w:t xml:space="preserve"> and treats jurisdiction as a contextual policy condition for the next stage </w:t>
      </w:r>
      <w: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(5.1)</w:t>
      </w:r>
    </w:p>
    <w:p w14:paraId="63094BBA" w14:textId="77777777" w:rsidR="009262C4" w:rsidRDefault="00000000">
      <w:pPr>
        <w:spacing w:after="110" w:line="264" w:lineRule="auto"/>
        <w:jc w:val="both"/>
      </w:pPr>
      <w:r>
        <w:t>In Equation (5.1)</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keepNext/>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keepNext/>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w:t>
            </w:r>
          </w:p>
        </w:tc>
      </w:tr>
    </w:tbl>
    <w:p>
      <w:pPr>
        <w:pStyle w:val="2"/>
        <w:keepNext/>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keepNext/>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keepNext/>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2026-10-22T10:16:07Z</dcterms:created>
  <dcterms:modified xsi:type="dcterms:W3CDTF">2026-10-22T10:16:07Z</dcterms:modified>
</cp:coreProperties>
</file>