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establish the conditions of such a decision individually, and several combine three or four of them. However, no reviewed system evaluates, in every access decision, the identity and authority of the participants, the required collective approval, the requested purpose and data scope, and the temporal validity of the consent together, and none assures that conjunction formally.</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44 primary studies, of which 25 were analysed in depth, structured by six requirements, shows that no reviewed study satisfies all six requirements together and that the strongest multi-party and policy mechanisms provide no formal assurance of the authorisation decision.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17</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18</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30</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39</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42</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49</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56</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60</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64</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67</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70</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73</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73</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75</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76</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76</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78</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79</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80</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82</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85</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85</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86</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87</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90</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90</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93</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95</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96</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97</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102</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103</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106</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106</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110</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110</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110</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112</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115</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115</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116</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116</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119</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120</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121</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124</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125</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126</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127</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128</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132</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132</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133</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135</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137</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138</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138</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143</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143</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145</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145</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149</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151</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155</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160</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161</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165</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167</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167</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169</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170</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171</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172</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172</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172</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173</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174</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174</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175</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177</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178</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182</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183</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E6007E"/>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w:t>
      </w:r>
      <w:r>
        <w:rPr>
          <w:rFonts w:ascii="Cambria" w:cs="Cambria" w:eastAsia="Cambria" w:hAnsi="Cambria"/>
          <w:color w:val="E6007E"/>
          <w:sz w:val="24"/>
          <w:szCs w:val="24"/>
        </w:rPr>
        <w:t xml:space="preserve">Blockchain can preserve evidence that a consent event or transaction has occurred. However, the existence of an immutable record does not necessarily demonstrate that the participating entities were legitimate, that they possessed the required authority, or that all necessary parties participated in the decision. It also does not demonstrate that a subsequent data-access request remains consistent with the conditions originally authorised.</w:t>
      </w:r>
      <w:r>
        <w:rPr>
          <w:rFonts w:ascii="Cambria" w:cs="Cambria" w:eastAsia="Cambria" w:hAnsi="Cambria"/>
          <w:sz w:val="24"/>
          <w:szCs w:val="24"/>
        </w:rPr>
        <w:t xml:space="preserve">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w:t>
      </w:r>
      <w:r>
        <w:rPr>
          <w:rFonts w:ascii="Cambria" w:cs="Cambria" w:eastAsia="Cambria" w:hAnsi="Cambria"/>
          <w:color w:val="E6007E"/>
          <w:sz w:val="24"/>
          <w:szCs w:val="24"/>
        </w:rPr>
        <w:t xml:space="preserve">These mechanisms can improve record integrity, traceability, and auditability. However, in most systems consent remains a passive artefact indicating that a permission or approval has been created. Even where consent is represented as an evaluable object [71, 37, 44, 58], its evaluation is not conjoined with a multi-party authority condition and is not formally assured.</w:t>
      </w:r>
      <w:r>
        <w:rPr>
          <w:rFonts w:ascii="Cambria" w:cs="Cambria" w:eastAsia="Cambria" w:hAnsi="Cambria"/>
          <w:color w:val="E6007E"/>
          <w:sz w:val="24"/>
          <w:szCs w:val="24"/>
        </w:rPr>
        <w:t xml:space="preserve"> and even where it is represented as an evaluable object [71, 37, 44, 58] its evaluation is not conjoined with a multi-party authority condition and is not formally assured</w:t>
      </w:r>
      <w:r>
        <w:rPr>
          <w:rFonts w:ascii="Cambria" w:cs="Cambria" w:eastAsia="Cambria" w:hAnsi="Cambria"/>
          <w:sz w:val="24"/>
          <w:szCs w:val="24"/>
        </w:rPr>
        <w:t xml:space="preserve">.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E6007E"/>
          <w:sz w:val="24"/>
          <w:szCs w:val="24"/>
        </w:rPr>
        <w:t xml:space="preserve">The central problem addressed by this research is therefore the absence of a mechanism in which identity, authority, multi-party approval, policy, temporal and lifecycle conditions are conjoined in every access decision, and in which that conjunction is assured both formally and empirically. The review in Chapter 2 shows that the individual conditions already exist, and that several partial combinations of them exist as well [58, 61, 45]. Existing approaches provide important technological components. These include decentralised identity and verifiable credentials [58, 76], blockchain-based consent records [53, 71], multi-party approval mechanisms of several kinds [53, 61, 69, 43] and policy-based access control [44, 57, 63, 15], as reviewed in Chapter 2. However, these mechanisms are usually investigated separately. Where they are combined in one system [58, 61, 45, 66, 57], the combination does not make multi-party approval a standing condition of the decision, and the combination is neither formally proved nor tested as an authorisation decision.</w:t>
      </w:r>
      <w:r>
        <w:rPr>
          <w:rFonts w:ascii="Cambria" w:cs="Cambria" w:eastAsia="Cambria" w:hAnsi="Cambria"/>
          <w:color w:val="E6007E"/>
          <w:sz w:val="24"/>
          <w:szCs w:val="24"/>
        </w:rPr>
        <w:t xml:space="preserve"> identity, authority, multi-party approval, policy, temporal and lifecycle conditions are conjoined in every access decision and in which that conjunction is assured both formally and empirically; the review in Chapter 2 shows that the individual conditions, and several partial combinations of them [58, 61, 45], already exist.</w:t>
      </w:r>
      <w:r>
        <w:rPr>
          <w:rFonts w:ascii="Cambria" w:cs="Cambria" w:eastAsia="Cambria" w:hAnsi="Cambria"/>
          <w:sz w:val="24"/>
          <w:szCs w:val="24"/>
        </w:rPr>
        <w:t xml:space="preserve"> </w:t>
      </w:r>
      <w:r>
        <w:rPr>
          <w:rFonts w:ascii="Cambria" w:cs="Cambria" w:eastAsia="Cambria" w:hAnsi="Cambria"/>
          <w:color w:val="E6007E"/>
          <w:sz w:val="24"/>
          <w:szCs w:val="24"/>
        </w:rPr>
        <w:t xml:space="preserve">Existing approaches provide important technological components, including decentralised identity and verifiable credentials [58, 76], blockchain-based consent records [53, 71], multi-party approval mechanisms of several kinds [53, 61, 69, 43], and policy-based access control [44, 57, 63, 15], as reviewed in Chapter 2.</w:t>
      </w:r>
      <w:r>
        <w:rPr>
          <w:rFonts w:ascii="Cambria" w:cs="Cambria" w:eastAsia="Cambria" w:hAnsi="Cambria"/>
          <w:sz w:val="24"/>
          <w:szCs w:val="24"/>
        </w:rPr>
        <w:t xml:space="preserve"> </w:t>
      </w:r>
      <w:r>
        <w:rPr>
          <w:rFonts w:ascii="Cambria" w:cs="Cambria" w:eastAsia="Cambria" w:hAnsi="Cambria"/>
          <w:color w:val="E6007E"/>
          <w:sz w:val="24"/>
          <w:szCs w:val="24"/>
        </w:rPr>
        <w:t xml:space="preserve">However, these mechanisms are usually investigated separately, and where they are combined in one system [58, 61, 45, 66] the combination excludes multi-party approval as a standing condition of the decision and is neither formally proved nor tested as an authorisation decision.</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The purpose of this section is to explain why a trust-oriented authorisation framework is required and to introduce its dimensions. It should be noted at the outset that, in addition to the four foundational dimensions RO1 to RO4 that are introduced below, the proposed framework has been extended to incorporate temporal validity and lifecycle trust (RO5), which was originally planned for the next stage.</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which is the Patient Consent Management Platform for History Access by Authorised Healthcare Providers described in Section 6.8. This testing covers per-dimension denial scenarios, guardian signature-rejection tests and tests of tampered and expired zero-knowledge proofs. It also includes a live negative evaluation on the Ethereum Sepolia testnet. Formal security analysis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E6007E"/>
          <w:sz w:val="24"/>
          <w:szCs w:val="24"/>
        </w:rPr>
        <w:t xml:space="preserve">The term Trust Computing is used in this report to denote the evaluation of trust as a computable outcome of explicitly verified conditions on identity, authority, collective approval, policy and lifecycle. It should be distinguished from trusted computing in the hardware sense, such as trusted execution environments and attestation. Trusted computing in that sense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E6007E"/>
          <w:sz w:val="24"/>
          <w:szCs w:val="24"/>
        </w:rPr>
        <w:t xml:space="preserve">Multi-party authorisation concerns whether the required threshold of independently verified participants has jointly established the authorisation condition. In the proposed framework, this threshold is defined by the patient in the consent object and is evaluated at the time of each access decision rather than only at registration or in an emergency.</w:t>
      </w:r>
      <w:r>
        <w:rPr>
          <w:rFonts w:ascii="Cambria" w:cs="Cambria" w:eastAsia="Cambria" w:hAnsi="Cambria"/>
          <w:color w:val="E6007E"/>
          <w:sz w:val="24"/>
          <w:szCs w:val="24"/>
        </w:rPr>
        <w:t xml:space="preserve"> at the time of each access decision rather than only at registration or in an emergency.</w:t>
      </w:r>
      <w:r>
        <w:rPr>
          <w:rFonts w:ascii="Cambria" w:cs="Cambria" w:eastAsia="Cambria" w:hAnsi="Cambria"/>
          <w:sz w:val="24"/>
          <w:szCs w:val="24"/>
        </w:rPr>
        <w:t xml:space="preserve"> Policy compliance concerns whether the requested access is consistent with the authorised purpose and data scope. </w:t>
      </w:r>
      <w:r>
        <w:rPr>
          <w:rFonts w:ascii="Cambria" w:cs="Cambria" w:eastAsia="Cambria" w:hAnsi="Cambria"/>
          <w:color w:val="E6007E"/>
          <w:sz w:val="24"/>
          <w:szCs w:val="24"/>
        </w:rPr>
        <w:t xml:space="preserve">Together, these conditions provide the foundation for determining whether the resulting authorisation decision has a sufficient basis to be trusted, and not merely whether access has been requested.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color w:val="E6007E"/>
          <w:sz w:val="24"/>
          <w:szCs w:val="24"/>
        </w:rPr>
        <w:t xml:space="preserve">The distinction between the empirical validation delivered at the current stage and the formal analysis planned for the next stage establishes a clear progression between the two stages of the research.</w:t>
      </w:r>
      <w:r>
        <w:rPr>
          <w:rFonts w:ascii="Cambria" w:cs="Cambria" w:eastAsia="Cambria" w:hAnsi="Cambria"/>
          <w:sz w:val="24"/>
          <w:szCs w:val="24"/>
        </w:rPr>
        <w:t xml:space="preserve">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E6007E"/>
          <w:sz w:val="24"/>
          <w:szCs w:val="24"/>
        </w:rPr>
        <w:t xml:space="preserve">The remainder of this report is organised as follows. Chapter 2 presents the systematic literature review and derives six requirements for trustworthy multi-party consent authorisation. Chapter 3 formulates the research gap and the research questions. Chapter 4 states the research objectives. Chapter 5 describes the MVC-based research architecture. Chapter 6 presents the proposed solution, its algorithms and the live HALAH demonstration. Chapters 7 to 9 report the current progress, the publications and the research plan for the next stage. Appendix A traces the framework to the implemented system.</w:t>
      </w:r>
    </w:p>
    <w:p>
      <w:pPr>
        <w:spacing w:after="140" w:line="300"/>
        <w:jc w:val="both"/>
      </w:pPr>
      <w:r>
        <w:rPr>
          <w:rFonts w:ascii="Cambria" w:cs="Cambria" w:eastAsia="Cambria" w:hAnsi="Cambria"/>
          <w:color w:val="0000CC"/>
          <w:sz w:val="24"/>
          <w:szCs w:val="24"/>
        </w:rPr>
        <w:t xml:space="preserve">It should be noted that the scope of the current stage is bounded. </w:t>
      </w:r>
      <w:r>
        <w:rPr>
          <w:rFonts w:ascii="Cambria" w:cs="Cambria" w:eastAsia="Cambria" w:hAnsi="Cambria"/>
          <w:color w:val="E6007E"/>
          <w:sz w:val="24"/>
          <w:szCs w:val="24"/>
        </w:rPr>
        <w:t xml:space="preserve">The HALAH prototype is deployed on the Ethereum Sepolia testnet with synthetic healthcare records. The guardian approval rule is currently implemented as N-of-N over the guardian set G. The security properties of the framework are demonstrated through scenario-based, negative and adversarial testing rather than through formal proof, which is deferred to the next stage.</w:t>
      </w:r>
      <w:r>
        <w:rPr>
          <w:rFonts w:ascii="Cambria" w:cs="Cambria" w:eastAsia="Cambria" w:hAnsi="Cambria"/>
          <w:color w:val="0000CC"/>
          <w:sz w:val="24"/>
          <w:szCs w:val="24"/>
        </w:rPr>
        <w:t xml:space="preserve">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w:t>
      </w:r>
      <w:r>
        <w:rPr>
          <w:rFonts w:ascii="Cambria" w:cs="Cambria" w:eastAsia="Cambria" w:hAnsi="Cambria"/>
          <w:color w:val="E6007E"/>
          <w:sz w:val="24"/>
          <w:szCs w:val="24"/>
        </w:rPr>
        <w:t xml:space="preserve">blockchain-based consent governance, decentralised identity and authority, multi-party authorisation, policy- and context-aware access control, temporal validity and consent lifecycle, and formal security assurance and empirical validation</w:t>
      </w:r>
      <w:r>
        <w:rPr>
          <w:rFonts w:ascii="Cambria" w:cs="Cambria" w:eastAsia="Cambria" w:hAnsi="Cambria"/>
          <w:sz w:val="24"/>
          <w:szCs w:val="24"/>
        </w:rPr>
        <w:t xml:space="preserve">. </w:t>
      </w:r>
      <w:r>
        <w:rPr>
          <w:rFonts w:ascii="Cambria" w:cs="Cambria" w:eastAsia="Cambria" w:hAnsi="Cambria"/>
          <w:color w:val="E6007E"/>
          <w:sz w:val="24"/>
          <w:szCs w:val="24"/>
        </w:rPr>
        <w:t xml:space="preserve">The purpose of the review is to examine how the existing approaches address the different conditions that are required for a trustworthy authorisation decision, and to identify where conceptual or architectural gaps remain. The review is therefore not limited to identifying technologies that can be applied to healthcare data sharing.</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color w:val="E6007E"/>
          <w:sz w:val="24"/>
          <w:szCs w:val="24"/>
        </w:rPr>
        <w:t xml:space="preserve">However, the literature also indicates that these mechanisms are commonly developed and evaluated as separate technological components. In this context, the availability of a security mechanism is not the same as the ability to construct a unified and trustworthy authorisation decision from several mechanisms. The following sections analyse these research areas and identify the gap that is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w:t>
      </w:r>
      <w:r>
        <w:rPr>
          <w:rFonts w:ascii="Cambria" w:cs="Cambria" w:eastAsia="Cambria" w:hAnsi="Cambria"/>
          <w:color w:val="E6007E"/>
          <w:sz w:val="24"/>
          <w:szCs w:val="24"/>
        </w:rPr>
        <w:t xml:space="preserve">This is important because the same consent may be valid for one request and invalid for another request. The validity depends on the requesting party, the requested purpose and the time of the request.</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w:t>
      </w:r>
      <w:r>
        <w:rPr>
          <w:rFonts w:ascii="Cambria" w:cs="Cambria" w:eastAsia="Cambria" w:hAnsi="Cambria"/>
          <w:color w:val="E6007E"/>
          <w:sz w:val="24"/>
          <w:szCs w:val="24"/>
        </w:rPr>
        <w:t xml:space="preserve">This requirement is not satisfied by a workflow in which several participants simply record an approval in the system.</w:t>
      </w:r>
      <w:r>
        <w:rPr>
          <w:rFonts w:ascii="Cambria" w:cs="Cambria" w:eastAsia="Cambria" w:hAnsi="Cambria"/>
          <w:color w:val="000000"/>
          <w:sz w:val="24"/>
          <w:szCs w:val="24"/>
        </w:rPr>
        <w:t xml:space="preserve">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E6007E"/>
          <w:sz w:val="24"/>
          <w:szCs w:val="24"/>
        </w:rPr>
        <w:t xml:space="preserve">Valid identities and the required approvals are not sufficient on their own. An access request should be granted only if it conforms to the purpose and the data scope that the patient authorised. It should also satisfy the contextual constraints that apply to the request, such as the jurisdiction in which the data may be used.</w:t>
      </w:r>
      <w:r>
        <w:rPr>
          <w:rFonts w:ascii="Cambria" w:cs="Cambria" w:eastAsia="Cambria" w:hAnsi="Cambria"/>
          <w:color w:val="000000"/>
          <w:sz w:val="24"/>
          <w:szCs w:val="24"/>
        </w:rPr>
        <w:t xml:space="preserve"> A framework should evaluate every request against these constraints rather than relying on the existence of a valid consent record. </w:t>
      </w:r>
      <w:r>
        <w:rPr>
          <w:rFonts w:ascii="Cambria" w:cs="Cambria" w:eastAsia="Cambria" w:hAnsi="Cambria"/>
          <w:color w:val="E6007E"/>
          <w:sz w:val="24"/>
          <w:szCs w:val="24"/>
        </w:rPr>
        <w:t xml:space="preserve">This is important because many unauthorised disclosures in practice are not caused by unknown requesters. They are caused by legitimate requesters who exceed the scope of what was permitted. This is the insider risk that risk-aware and usage-control models seek to address [11].</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0000CC"/>
          <w:sz w:val="24"/>
          <w:szCs w:val="24"/>
        </w:rPr>
        <w:t xml:space="preserve">The review corpus comprises the 44 primary studies [35]–[78] that were identified, screened and coded through the process described in the remainder of this section, together with three secondary studies [79, 80, 81] that were retained for background only and that are not counted as primary evidence. All 44 primary studies were published between 2020 and 2026, which is the publication period fixed in the review protocol. Of the 44 studies, 19 were retrieved through IEEE Xplore, 21 through Scopus, three through ProQuest and one through the ACM Digital Library, after the duplicate records that these databases share with SpringerLink, ScienceDirect and Web of Science had been removed. In the remainder of this chapter, each primary study is referred to by the label Sn (S1 to S44) together with its reference number, so that the reader can move between the tables, the text and the reference list without ambiguity. Of these 44 studies, 25 are analysed in depth in Section 2.4 and 19 are retained as supporting evidence, as explained in Section 2.3.6.</w:t>
      </w:r>
    </w:p>
    <w:p>
      <w:pPr>
        <w:pStyle w:val="Heading3"/>
        <w:spacing w:after="160" w:before="280"/>
      </w:pPr>
      <w:r>
        <w:rPr>
          <w:rFonts w:ascii="Cambria" w:cs="Cambria" w:eastAsia="Cambria" w:hAnsi="Cambria"/>
          <w:color w:val="0000CC"/>
          <w:sz w:val="24"/>
          <w:szCs w:val="24"/>
        </w:rPr>
        <w:t xml:space="preserve">2.3.1  Review Design and Reporting Framework</w:t>
      </w:r>
    </w:p>
    <w:p>
      <w:pPr>
        <w:spacing w:after="140" w:line="300"/>
        <w:jc w:val="both"/>
      </w:pPr>
      <w:r>
        <w:rPr>
          <w:rFonts w:ascii="Cambria" w:cs="Cambria" w:eastAsia="Cambria" w:hAnsi="Cambria"/>
          <w:color w:val="0000CC"/>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w:t>
      </w:r>
      <w:r>
        <w:rPr>
          <w:rFonts w:ascii="Cambria" w:cs="Cambria" w:eastAsia="Cambria" w:hAnsi="Cambria"/>
          <w:color w:val="E6007E"/>
          <w:sz w:val="24"/>
          <w:szCs w:val="24"/>
        </w:rPr>
        <w:t xml:space="preserve">In particular, the review considered whether a study addresses consent representation, identity, multi-party approval, policy enforcement, temporal validity or security assurance. It also considered whether these mechanisms are integrated into a single authorisation decision that can be trusted.</w:t>
      </w:r>
    </w:p>
    <w:p>
      <w:pPr>
        <w:spacing w:after="140" w:line="300"/>
        <w:jc w:val="both"/>
      </w:pPr>
      <w:r>
        <w:rPr>
          <w:rFonts w:ascii="Cambria" w:cs="Cambria" w:eastAsia="Cambria" w:hAnsi="Cambria"/>
          <w:color w:val="0000CC"/>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E6007E"/>
          <w:sz w:val="24"/>
          <w:szCs w:val="24"/>
        </w:rPr>
        <w:t xml:space="preserve">Screening and coding were organised as six review roles, each of which was responsible for one perspective of the review</w:t>
      </w:r>
      <w:r>
        <w:rPr>
          <w:rFonts w:ascii="Cambria" w:cs="Cambria" w:eastAsia="Cambria" w:hAnsi="Cambria"/>
          <w:color w:val="0000CC"/>
          <w:sz w:val="24"/>
          <w:szCs w:val="24"/>
        </w:rPr>
        <w:t xml:space="preserve">, namely review methodology, trust modelling, identity and multi-party authorisation, policy and temporal enforcement, formal and empirical assurance, and a chair who issued the final decision on each record.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All panel decisions were entered in a decision log (D-001 to D-166) that records the date, the subject, the position of each panel member, the evidence cited and the outcome, and the author retained the right to ratify, veto or reopen any decision by its identifier. The counts reported in this chapter are those of the checkpoint of 10 September 2026 (decision D-166).</w:t>
      </w:r>
    </w:p>
    <w:p>
      <w:pPr>
        <w:pStyle w:val="Heading3"/>
        <w:spacing w:after="160" w:before="280"/>
      </w:pPr>
      <w:r>
        <w:rPr>
          <w:rFonts w:ascii="Cambria" w:cs="Cambria" w:eastAsia="Cambria" w:hAnsi="Cambria"/>
          <w:color w:val="0000CC"/>
          <w:sz w:val="24"/>
          <w:szCs w:val="24"/>
        </w:rPr>
        <w:t xml:space="preserve">2.3.2  Questions for Review</w:t>
      </w:r>
    </w:p>
    <w:p>
      <w:pPr>
        <w:spacing w:after="140" w:line="300"/>
        <w:jc w:val="both"/>
      </w:pPr>
      <w:r>
        <w:rPr>
          <w:rFonts w:ascii="Cambria" w:cs="Cambria" w:eastAsia="Cambria" w:hAnsi="Cambria"/>
          <w:color w:val="0000CC"/>
          <w:sz w:val="24"/>
          <w:szCs w:val="24"/>
        </w:rPr>
        <w:t xml:space="preserve">This systematic literature review is guided by the following seven questions, </w:t>
      </w:r>
      <w:r>
        <w:rPr>
          <w:rFonts w:ascii="Cambria" w:cs="Cambria" w:eastAsia="Cambria" w:hAnsi="Cambria"/>
          <w:color w:val="E6007E"/>
          <w:sz w:val="24"/>
          <w:szCs w:val="24"/>
        </w:rPr>
        <w:t xml:space="preserve">which correspond to the six sub-research questions and the six research objectives of this study, the sixth of which is addressed by two review questions</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CC"/>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CC"/>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CC"/>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CC"/>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CC"/>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CC"/>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CC"/>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w:t>
      </w:r>
      <w:r>
        <w:rPr>
          <w:rFonts w:ascii="Cambria" w:cs="Cambria" w:eastAsia="Cambria" w:hAnsi="Cambria"/>
          <w:color w:val="E6007E"/>
          <w:sz w:val="24"/>
          <w:szCs w:val="24"/>
        </w:rPr>
        <w:t xml:space="preserve">This question is not a review question in its own right. It expresses the research gap rather than a separate objective, and it is answered only after the seven questions have been answered for every included study. Consequently, the review focused on the relationship between the individual security mechanisms rather than treating identity, consent, multi-party approval, policy and lifecycle control as isolated technologies.</w:t>
      </w:r>
      <w:r>
        <w:rPr>
          <w:rFonts w:ascii="Cambria" w:cs="Cambria" w:eastAsia="Cambria" w:hAnsi="Cambria"/>
          <w:color w:val="0000CC"/>
          <w:sz w:val="24"/>
          <w:szCs w:val="24"/>
        </w:rPr>
        <w:t xml:space="preserve">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CC"/>
          <w:sz w:val="24"/>
          <w:szCs w:val="24"/>
        </w:rPr>
        <w:t xml:space="preserve">2.3.3  Search Databases and Search Strategy</w:t>
      </w:r>
    </w:p>
    <w:p>
      <w:pPr>
        <w:spacing w:after="140" w:line="300"/>
        <w:jc w:val="both"/>
      </w:pPr>
      <w:r>
        <w:rPr>
          <w:rFonts w:ascii="Cambria" w:cs="Cambria" w:eastAsia="Cambria" w:hAnsi="Cambria"/>
          <w:color w:val="0000CC"/>
          <w:sz w:val="24"/>
          <w:szCs w:val="24"/>
        </w:rPr>
        <w:t xml:space="preserve">The literature search was conducted using the following seven academic databases: 1) IEEE Xplore, 2) SpringerLink, 3) ProQuest Science and Technology, 4) ScienceDirect, 5) Scopus, 6) Web of Science, and 7) ACM Digital Library. In addition, Google Scholar was used as a discovery arm for snowballing and for testing the sensitivity of the search, but not as a structured retrieval source; its results are reported under the PRISMA 2020 heading of records identified through other methods and are not summed into the database total.</w:t>
      </w:r>
    </w:p>
    <w:p>
      <w:pPr>
        <w:spacing w:after="140" w:line="300"/>
        <w:jc w:val="both"/>
      </w:pPr>
      <w:r>
        <w:rPr>
          <w:rFonts w:ascii="Cambria" w:cs="Cambria" w:eastAsia="Cambria" w:hAnsi="Cambria"/>
          <w:color w:val="0000CC"/>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CC"/>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he three concept blocks of the master query and their combination across the seven databases" title="Figure 1: SLR search string definition: the three concept blocks of the master query and their combination across the seven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CC"/>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CC"/>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w:t>
      </w:r>
      <w:r>
        <w:rPr>
          <w:rFonts w:ascii="Cambria" w:cs="Cambria" w:eastAsia="Cambria" w:hAnsi="Cambria"/>
          <w:color w:val="E6007E"/>
          <w:sz w:val="24"/>
          <w:szCs w:val="24"/>
        </w:rPr>
        <w:t xml:space="preserve">It should also be noted that the review protocol originally listed eight family-specific sensitivity queries for IEEE Xplore. These queries were superseded by the single master query and were never executed. This is declared as a documented deviation from the protocol rather than as an unexecuted step.</w:t>
      </w:r>
      <w:r>
        <w:rPr>
          <w:rFonts w:ascii="Cambria" w:cs="Cambria" w:eastAsia="Cambria" w:hAnsi="Cambria"/>
          <w:color w:val="0000CC"/>
          <w:sz w:val="24"/>
          <w:szCs w:val="24"/>
        </w:rPr>
        <w:t xml:space="preserve"> executed, and this is declared as a documented deviation from the protocol rather than an unexecuted step.</w:t>
      </w:r>
    </w:p>
    <w:p>
      <w:pPr>
        <w:pStyle w:val="Heading3"/>
        <w:spacing w:after="160" w:before="280"/>
      </w:pPr>
      <w:r>
        <w:rPr>
          <w:rFonts w:ascii="Cambria" w:cs="Cambria" w:eastAsia="Cambria" w:hAnsi="Cambria"/>
          <w:color w:val="0000CC"/>
          <w:sz w:val="24"/>
          <w:szCs w:val="24"/>
        </w:rPr>
        <w:t xml:space="preserve">2.3.4  Search Period and Search Execution</w:t>
      </w:r>
    </w:p>
    <w:p>
      <w:pPr>
        <w:spacing w:after="140" w:line="300"/>
        <w:jc w:val="both"/>
      </w:pPr>
      <w:r>
        <w:rPr>
          <w:rFonts w:ascii="Cambria" w:cs="Cambria" w:eastAsia="Cambria" w:hAnsi="Cambria"/>
          <w:color w:val="0000CC"/>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w:t>
      </w:r>
      <w:r>
        <w:rPr>
          <w:rFonts w:ascii="Cambria" w:cs="Cambria" w:eastAsia="Cambria" w:hAnsi="Cambria"/>
          <w:color w:val="E6007E"/>
          <w:sz w:val="24"/>
          <w:szCs w:val="24"/>
        </w:rPr>
        <w:t xml:space="preserve">fall outside this period by design and could enter the review only through snowballing, and this date-range decision is recorded in the protocol.</w:t>
      </w:r>
    </w:p>
    <w:p>
      <w:pPr>
        <w:spacing w:after="140" w:line="300"/>
        <w:jc w:val="both"/>
      </w:pPr>
      <w:r>
        <w:rPr>
          <w:rFonts w:ascii="Cambria" w:cs="Cambria" w:eastAsia="Cambria" w:hAnsi="Cambria"/>
          <w:color w:val="E6007E"/>
          <w:sz w:val="24"/>
          <w:szCs w:val="24"/>
        </w:rPr>
        <w:t xml:space="preserve">The searches were executed on 24 and 25 August 2026 for IEEE Xplore, Scopus, Web of Science, ProQuest, ScienceDirect, SpringerLink and Google Scholar. The ACM Digital Library was searched on 5 September 2026, as a late arm added after the six other database searches had been frozen. This late addition is declared as a limitation of the search strategy.</w:t>
      </w:r>
      <w:r>
        <w:rPr>
          <w:rFonts w:ascii="Cambria" w:cs="Cambria" w:eastAsia="Cambria" w:hAnsi="Cambria"/>
          <w:color w:val="0000CC"/>
          <w:sz w:val="24"/>
          <w:szCs w:val="24"/>
        </w:rPr>
        <w:t xml:space="preserve"> Each query was frozen with a search identifier and a version number (IEEE-M v2, SCOPUS-M v3, WOS-M v2, PROQ-M v2, SD-M v2, SPR-M v3, GS-M v2 and ACM-M v1) before its export was accepted, and a changed query was always recorded as a new version rather than overwriting the previous one. </w:t>
      </w:r>
      <w:r>
        <w:rPr>
          <w:rFonts w:ascii="Cambria" w:cs="Cambria" w:eastAsia="Cambria" w:hAnsi="Cambria"/>
          <w:color w:val="E6007E"/>
          <w:sz w:val="24"/>
          <w:szCs w:val="24"/>
        </w:rPr>
        <w:t xml:space="preserve">Superseded versions were archived together with the cause of their rejection. For example, the first two Scopus versions were rejected because a subject-area limit had removed the medical-venue records. An initial ProQuest run over the full text was rejected because its scope was inconsistent with the title, abstract and keyword scope of the other databases.</w:t>
      </w:r>
      <w:r>
        <w:rPr>
          <w:rFonts w:ascii="Cambria" w:cs="Cambria" w:eastAsia="Cambria" w:hAnsi="Cambria"/>
          <w:color w:val="0000CC"/>
          <w:sz w:val="24"/>
          <w:szCs w:val="24"/>
        </w:rPr>
        <w:t xml:space="preserve">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CC"/>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w:t>
      </w:r>
      <w:r>
        <w:rPr>
          <w:rFonts w:ascii="Cambria" w:cs="Cambria" w:eastAsia="Cambria" w:hAnsi="Cambria"/>
          <w:color w:val="E6007E"/>
          <w:sz w:val="24"/>
          <w:szCs w:val="24"/>
        </w:rPr>
        <w:t xml:space="preserve">ProQuest returned 1,180 records and ScienceDirect returned 65 records, which were reduced to 23 after within-source deduplication. Scopus returned 2,133 records. Web of Science returned 1,137 records, which had to be exported by e-mail because the direct download was blocked by the library proxy. The ACM Digital Library returned 40 records.</w:t>
      </w:r>
      <w:r>
        <w:rPr>
          <w:rFonts w:ascii="Cambria" w:cs="Cambria" w:eastAsia="Cambria" w:hAnsi="Cambria"/>
          <w:color w:val="0000CC"/>
          <w:sz w:val="24"/>
          <w:szCs w:val="24"/>
        </w:rPr>
        <w:t xml:space="preserve">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E6007E"/>
          <w:sz w:val="24"/>
          <w:szCs w:val="24"/>
        </w:rPr>
        <w:t xml:space="preserve">The purpose of the sentinel test was to validate the recall of the master query before it was frozen. Twelve sentinel papers that were already known to be relevant to the review questions were defined in advance, each chosen for one review dimension or for one protocol decision such as the date range. The frozen query was then tested for whether it retrieved each of them. The four healthcare-scoped sentinels, namely Madine et al. [53], Jaiman and Urovi [49], Tith et al. [71] and Albalwy et al. [37], were retrieved by the master query. The first two were retrieved through IEEE Xplore, and all four were retrieved through Scopus, Web of Science and ProQuest and were present in the merged register. The eight sentinels that were not retrieved were diagnosed individually. In five cases the paper is not healthcare-scoped in its title, abstract and keywords, or it is an identity-generic study in which healthcare is only an application domain, so that the healthcare block of the query correctly excludes it. One sentinel lacks the trust and multi-party terms of the third block. One sentinel is the 2016 MedRec proposal, which lies outside the date range by design. For one sentinel the cause of the miss had not been established at the checkpoint, and it is recorded as an open item. These misses were therefore attributed to venue or scope and not to a defect of the query. The protocol rule that no query is tuned to rescue a single paper was observed, and such papers can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CC"/>
          <w:sz w:val="24"/>
          <w:szCs w:val="24"/>
        </w:rPr>
        <w:t xml:space="preserve">2.3.5  Eligibility Criteria</w:t>
      </w:r>
    </w:p>
    <w:p>
      <w:pPr>
        <w:spacing w:after="140" w:line="300"/>
        <w:jc w:val="both"/>
      </w:pPr>
      <w:r>
        <w:rPr>
          <w:rFonts w:ascii="Cambria" w:cs="Cambria" w:eastAsia="Cambria" w:hAnsi="Cambria"/>
          <w:color w:val="0000CC"/>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CC"/>
          <w:sz w:val="24"/>
          <w:szCs w:val="24"/>
        </w:rPr>
        <w:t xml:space="preserve">A study was included if it satisfied all of the following criteria:</w:t>
      </w:r>
    </w:p>
    <w:p>
      <w:pPr>
        <w:spacing w:after="140" w:line="300"/>
        <w:jc w:val="both"/>
      </w:pPr>
      <w:r>
        <w:rPr>
          <w:rFonts w:ascii="Cambria" w:cs="Cambria" w:eastAsia="Cambria" w:hAnsi="Cambria"/>
          <w:color w:val="0000CC"/>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CC"/>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CC"/>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CC"/>
          <w:sz w:val="24"/>
          <w:szCs w:val="24"/>
        </w:rPr>
        <w:t xml:space="preserve">4. IC4: Peer-reviewed journal or conference paper.</w:t>
      </w:r>
    </w:p>
    <w:p>
      <w:pPr>
        <w:spacing w:after="140" w:line="300"/>
        <w:jc w:val="both"/>
      </w:pPr>
      <w:r>
        <w:rPr>
          <w:rFonts w:ascii="Cambria" w:cs="Cambria" w:eastAsia="Cambria" w:hAnsi="Cambria"/>
          <w:color w:val="0000CC"/>
          <w:sz w:val="24"/>
          <w:szCs w:val="24"/>
        </w:rPr>
        <w:t xml:space="preserve">5. IC5: Available in English.</w:t>
      </w:r>
    </w:p>
    <w:p>
      <w:pPr>
        <w:spacing w:after="140" w:line="300"/>
        <w:jc w:val="both"/>
      </w:pPr>
      <w:r>
        <w:rPr>
          <w:rFonts w:ascii="Cambria" w:cs="Cambria" w:eastAsia="Cambria" w:hAnsi="Cambria"/>
          <w:color w:val="0000CC"/>
          <w:sz w:val="24"/>
          <w:szCs w:val="24"/>
        </w:rPr>
        <w:t xml:space="preserve">6. IC6: Full text available for final inclusion.</w:t>
      </w:r>
    </w:p>
    <w:p>
      <w:pPr>
        <w:spacing w:after="140" w:line="300"/>
        <w:jc w:val="both"/>
      </w:pPr>
      <w:r>
        <w:rPr>
          <w:rFonts w:ascii="Cambria" w:cs="Cambria" w:eastAsia="Cambria" w:hAnsi="Cambria"/>
          <w:color w:val="0000CC"/>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CC"/>
          <w:sz w:val="24"/>
          <w:szCs w:val="24"/>
        </w:rPr>
        <w:t xml:space="preserve">A study was excluded if it satisfied one or more of the following criteria:</w:t>
      </w:r>
    </w:p>
    <w:p>
      <w:pPr>
        <w:spacing w:after="140" w:line="300"/>
        <w:jc w:val="both"/>
      </w:pPr>
      <w:r>
        <w:rPr>
          <w:rFonts w:ascii="Cambria" w:cs="Cambria" w:eastAsia="Cambria" w:hAnsi="Cambria"/>
          <w:color w:val="0000CC"/>
          <w:sz w:val="24"/>
          <w:szCs w:val="24"/>
        </w:rPr>
        <w:t xml:space="preserve">1. EC1: Outside healthcare.</w:t>
      </w:r>
    </w:p>
    <w:p>
      <w:pPr>
        <w:spacing w:after="140" w:line="300"/>
        <w:jc w:val="both"/>
      </w:pPr>
      <w:r>
        <w:rPr>
          <w:rFonts w:ascii="Cambria" w:cs="Cambria" w:eastAsia="Cambria" w:hAnsi="Cambria"/>
          <w:color w:val="0000CC"/>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CC"/>
          <w:sz w:val="24"/>
          <w:szCs w:val="24"/>
        </w:rPr>
        <w:t xml:space="preserve">3. EC3: Blockchain consensus but not authorization trust.</w:t>
      </w:r>
    </w:p>
    <w:p>
      <w:pPr>
        <w:spacing w:after="140" w:line="300"/>
        <w:jc w:val="both"/>
      </w:pPr>
      <w:r>
        <w:rPr>
          <w:rFonts w:ascii="Cambria" w:cs="Cambria" w:eastAsia="Cambria" w:hAnsi="Cambria"/>
          <w:color w:val="0000CC"/>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CC"/>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CC"/>
          <w:sz w:val="24"/>
          <w:szCs w:val="24"/>
        </w:rPr>
        <w:t xml:space="preserve">6. EC6: Duplicate publication.</w:t>
      </w:r>
    </w:p>
    <w:p>
      <w:pPr>
        <w:spacing w:after="140" w:line="300"/>
        <w:jc w:val="both"/>
      </w:pPr>
      <w:r>
        <w:rPr>
          <w:rFonts w:ascii="Cambria" w:cs="Cambria" w:eastAsia="Cambria" w:hAnsi="Cambria"/>
          <w:color w:val="0000CC"/>
          <w:sz w:val="24"/>
          <w:szCs w:val="24"/>
        </w:rPr>
        <w:t xml:space="preserve">7. EC7: Secondary review (kept separately for background/snowballing).</w:t>
      </w:r>
    </w:p>
    <w:p>
      <w:pPr>
        <w:spacing w:after="140" w:line="300"/>
        <w:jc w:val="both"/>
      </w:pPr>
      <w:r>
        <w:rPr>
          <w:rFonts w:ascii="Cambria" w:cs="Cambria" w:eastAsia="Cambria" w:hAnsi="Cambria"/>
          <w:color w:val="0000CC"/>
          <w:sz w:val="24"/>
          <w:szCs w:val="24"/>
        </w:rPr>
        <w:t xml:space="preserve">8. EC8: Full text unobtainable after reasonable attempts.</w:t>
      </w:r>
    </w:p>
    <w:p>
      <w:pPr>
        <w:spacing w:after="140" w:line="300"/>
        <w:jc w:val="both"/>
      </w:pPr>
      <w:r>
        <w:rPr>
          <w:rFonts w:ascii="Cambria" w:cs="Cambria" w:eastAsia="Cambria" w:hAnsi="Cambria"/>
          <w:color w:val="0000CC"/>
          <w:sz w:val="24"/>
          <w:szCs w:val="24"/>
        </w:rPr>
        <w:t xml:space="preserve">9. EC9: Superficial mention of healthcare or consent; no evidence for SLR questions.</w:t>
      </w:r>
    </w:p>
    <w:p>
      <w:pPr>
        <w:spacing w:after="140" w:line="300"/>
        <w:jc w:val="both"/>
      </w:pPr>
      <w:r>
        <w:rPr>
          <w:rFonts w:ascii="Cambria" w:cs="Cambria" w:eastAsia="Cambria" w:hAnsi="Cambria"/>
          <w:color w:val="E6007E"/>
          <w:sz w:val="24"/>
          <w:szCs w:val="24"/>
        </w:rPr>
        <w:t xml:space="preserve">Two rules governed the application of these criteria. First, a study was never excluded because it does not support the proposed research gap. The criteria concern relevance, document type and availability only. A study whose findings contradict or weaken the gap was therefore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CC"/>
          <w:sz w:val="24"/>
          <w:szCs w:val="24"/>
        </w:rPr>
        <w:t xml:space="preserve">2.3.6  Screening and Study Selection</w:t>
      </w:r>
    </w:p>
    <w:p>
      <w:pPr>
        <w:spacing w:after="140" w:line="300"/>
        <w:jc w:val="both"/>
      </w:pPr>
      <w:r>
        <w:rPr>
          <w:rFonts w:ascii="Cambria" w:cs="Cambria" w:eastAsia="Cambria" w:hAnsi="Cambria"/>
          <w:color w:val="0000CC"/>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CC"/>
          <w:sz w:val="24"/>
          <w:szCs w:val="24"/>
        </w:rPr>
        <w:t xml:space="preserve">In the identification stage, the seven database searches returned 9,256 records (IEEE Xplore 1,806; SpringerLink 2,895; ProQuest 1,180; ScienceDirect 65; Scopus 2,133; Web of Science 1,137; ACM Digital Library 40).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w:t>
      </w:r>
      <w:r>
        <w:rPr>
          <w:rFonts w:ascii="Cambria" w:cs="Cambria" w:eastAsia="Cambria" w:hAnsi="Cambria"/>
          <w:color w:val="E6007E"/>
          <w:sz w:val="24"/>
          <w:szCs w:val="24"/>
        </w:rPr>
        <w:t xml:space="preserve">422 within-source duplicates from the SpringerLink and ScienceDirect sub-queries, together with the one IEEE Xplore record that was not captured at the export boundary (423 records in total),</w:t>
      </w:r>
      <w:r>
        <w:rPr>
          <w:rFonts w:ascii="Cambria" w:cs="Cambria" w:eastAsia="Cambria" w:hAnsi="Cambria"/>
          <w:color w:val="0000CC"/>
          <w:sz w:val="24"/>
          <w:szCs w:val="24"/>
        </w:rPr>
        <w:t xml:space="preserve"> and 2,794 cross-database duplicates were removed by DOI and normalised-title matching, leaving 6,039 unique records.</w:t>
      </w:r>
    </w:p>
    <w:p>
      <w:pPr>
        <w:spacing w:after="140" w:line="300"/>
        <w:jc w:val="both"/>
      </w:pPr>
      <w:r>
        <w:rPr>
          <w:rFonts w:ascii="Cambria" w:cs="Cambria" w:eastAsia="Cambria" w:hAnsi="Cambria"/>
          <w:color w:val="0000CC"/>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CC"/>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The remaining 588 records, 575 of them from SpringerLink, could not be screened at this stage because the SpringerLink export does not contain abstracts; these records were marked as pending and were not advanced, and they are reported as such in the flow diagram rather than being counted as screened or excluded. Therefore, 1,800 records advanced to full-text retrieval.</w:t>
      </w:r>
    </w:p>
    <w:p>
      <w:pPr>
        <w:spacing w:after="140" w:line="300"/>
        <w:jc w:val="both"/>
      </w:pPr>
      <w:r>
        <w:rPr>
          <w:rFonts w:ascii="Cambria" w:cs="Cambria" w:eastAsia="Cambria" w:hAnsi="Cambria"/>
          <w:color w:val="0000CC"/>
          <w:sz w:val="24"/>
          <w:szCs w:val="24"/>
        </w:rPr>
        <w:t xml:space="preserve">Because the full-text pool of 1,800 records was too large to be read exhaustively within the study period, it was prioritised by signal detectors applied to the title and abstract of each record for the seven trust dimensions T1 to T7, the consent-core terms, formal-verification terms and evaluation terms.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w:t>
      </w:r>
      <w:r>
        <w:rPr>
          <w:rFonts w:ascii="Cambria" w:cs="Cambria" w:eastAsia="Cambria" w:hAnsi="Cambria"/>
          <w:color w:val="E6007E"/>
          <w:sz w:val="24"/>
          <w:szCs w:val="24"/>
        </w:rPr>
        <w:t xml:space="preserve">All 39 Tier A records were processed at full text, 38 of which were assessed, while one could not be retrieved, as reported below.</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Tier B and Tier C records were then read in a targeted order under a dimension-level saturation rule. Under this rule, saturation of a dimension is declared when eight consecutively coded studies that carry a positive signal for that dimension yield no new mechanism class for it. Saturation is declared for each dimension separately and never for the corpus as a whole.</w:t>
      </w:r>
      <w:r>
        <w:rPr>
          <w:rFonts w:ascii="Cambria" w:cs="Cambria" w:eastAsia="Cambria" w:hAnsi="Cambria"/>
          <w:color w:val="0000CC"/>
          <w:sz w:val="24"/>
          <w:szCs w:val="24"/>
        </w:rPr>
        <w:t xml:space="preserv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CC"/>
          <w:sz w:val="24"/>
          <w:szCs w:val="24"/>
        </w:rPr>
        <w:t xml:space="preserve">Therefore, 1,735 of the 1,800 records sought at full text had not been assessed at the checkpoint, in addition to the 588 pending-abstract records that had not been screened. The completeness of the corpus is consequently bounded by the dimension-level saturation rule rather than by exhaustive reading, and this is declared as a limitation of the review that is carried into the interpretation of the synthesis in Section 2.5.</w:t>
      </w:r>
    </w:p>
    <w:p>
      <w:pPr>
        <w:spacing w:after="140" w:line="300"/>
        <w:jc w:val="both"/>
      </w:pPr>
      <w:r>
        <w:rPr>
          <w:rFonts w:ascii="Cambria" w:cs="Cambria" w:eastAsia="Cambria" w:hAnsi="Cambria"/>
          <w:color w:val="0000CC"/>
          <w:sz w:val="24"/>
          <w:szCs w:val="24"/>
        </w:rPr>
        <w:t xml:space="preserve">At the checkpoint, one full text could not be retrieved after five documented retrieval routes (EC8), and 64 full texts had been assessed for eligibility. Of these, 17 were excluded with reasons: nine under EC9 (superficial healthcare or consent relevance, including several studies in which consent was only a clinical procedure or a machine-learning metric), three under EC1 (outside healthcare), two under EC5 (non-peer-reviewed items), two under EC2 (no authorisation relevance) and one under EC4 (identity authentication only). Three studies were classified as secondary reviews under EC7 and retained for background [79, 80, 81]. The remaining 44 studies were included as primary studies and coded in full; of these, 23 are classified as core studies and 21 as supporting studies under the synthesis rule described in Section 2.3.7. Every included study also passed the quality gate described in Section 2.3.7, and the studies that fell exactly on the boundary of the gate were retained and tested in a sensitivity analysis rather than being excluded. For the in-depth review of Section 2.4, the 23 core studies are analysed together with the two highest-quality supporting studies, Albalwy et al. [37] and Li et al. [51], each with a quality score of 7.0, giving 25 analysed studies; the remaining 19 supporting studies are retained as reference evidence and are cited in the supporting-evidence paragraph of each review stream. This bound was adopted so that the review concentrates on the studies that bear most directly on the research gap while every included study remains traceable in Table 2 and in the reference list.</w:t>
      </w:r>
    </w:p>
    <w:p>
      <w:pPr>
        <w:keepNext/>
        <w:spacing w:after="60" w:before="140"/>
        <w:jc w:val="center"/>
      </w:pPr>
      <w:r>
        <w:drawing>
          <wp:inline distT="0" distB="0" distL="0" distR="0">
            <wp:extent cx="5715000" cy="4857750"/>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spacing w:after="140" w:line="300"/>
        <w:jc w:val="both"/>
      </w:pPr>
      <w:r>
        <w:rPr>
          <w:rFonts w:ascii="Cambria" w:cs="Cambria" w:eastAsia="Cambria" w:hAnsi="Cambria"/>
          <w:color w:val="E6007E"/>
          <w:sz w:val="24"/>
          <w:szCs w:val="24"/>
        </w:rPr>
        <w:t xml:space="preserve">Figure 2 presents the PRISMA 2020 flow diagram for this review. The diagram summarises the identification, screening, eligibility and inclusion stages described above. It also shows the records identified through the Google Scholar discovery arm, the pending-abstract records that were not advanced, the full text that could not be retrieved, and the reasons for exclusion at the full-text stage. The chain of counts in the diagram is internally consistent. The 9,256 identified records minus the 2,794 cross-database duplicates and the 423 within-source records give the 6,039 titles screened. The 6,039 titles minus the 2,910 title exclusions give the 3,129 records advanced to the abstract stage. The 3,129 records minus the 741 abstract exclusions and the 588 pending records give the 1,800 full texts sought. The 39 Tier A, 1,066 Tier B and 695 Tier C records add up to the same 1,800. The 64 full texts assessed comprise the 44 included primary studies, the three secondary studies and the 17 excluded reports.</w:t>
      </w:r>
    </w:p>
    <w:p>
      <w:pPr>
        <w:pStyle w:val="Heading3"/>
        <w:spacing w:after="160" w:before="280"/>
      </w:pPr>
      <w:r>
        <w:rPr>
          <w:rFonts w:ascii="Cambria" w:cs="Cambria" w:eastAsia="Cambria" w:hAnsi="Cambria"/>
          <w:color w:val="0000CC"/>
          <w:sz w:val="24"/>
          <w:szCs w:val="24"/>
        </w:rPr>
        <w:t xml:space="preserve">2.3.7  Data Extraction, Quality Assessment and Synthesis</w:t>
      </w:r>
    </w:p>
    <w:p>
      <w:pPr>
        <w:spacing w:after="140" w:line="300"/>
        <w:jc w:val="both"/>
      </w:pPr>
      <w:r>
        <w:rPr>
          <w:rFonts w:ascii="Cambria" w:cs="Cambria" w:eastAsia="Cambria" w:hAnsi="Cambria"/>
          <w:color w:val="0000CC"/>
          <w:sz w:val="24"/>
          <w:szCs w:val="24"/>
        </w:rPr>
        <w:t xml:space="preserve">The included studies were analysed using a predefined data extraction form that was implemented as the screening register of the workbook. </w:t>
      </w:r>
      <w:r>
        <w:rPr>
          <w:rFonts w:ascii="Cambria" w:cs="Cambria" w:eastAsia="Cambria" w:hAnsi="Cambria"/>
          <w:color w:val="E6007E"/>
          <w:sz w:val="24"/>
          <w:szCs w:val="24"/>
        </w:rPr>
        <w:t xml:space="preserve">For every study, the extracted information included the bibliographic record, the document type, and the coding of the seven trust dimensions and the seven requirements defined below. It also included the page reference and evidence note on which each positive coding rests. The technology flags were blockchain, decentralised identifier, verifiable credential, threshold mechanism, policy model, revocation mechanism, formal method, prototype and dataset. In addition, the eight quality assessment items, the evidence tier, the gap-impact verdict, the reviewer and any recorded dissent were extracted.</w:t>
      </w:r>
      <w:r>
        <w:rPr>
          <w:rFonts w:ascii="Cambria" w:cs="Cambria" w:eastAsia="Cambria" w:hAnsi="Cambria"/>
          <w:color w:val="0000CC"/>
          <w:sz w:val="24"/>
          <w:szCs w:val="24"/>
        </w:rPr>
        <w:t xml:space="preserve">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CC"/>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w:t>
      </w:r>
      <w:r>
        <w:rPr>
          <w:rFonts w:ascii="Cambria" w:cs="Cambria" w:eastAsia="Cambria" w:hAnsi="Cambria"/>
          <w:color w:val="E6007E"/>
          <w:sz w:val="24"/>
          <w:szCs w:val="24"/>
        </w:rPr>
        <w:t xml:space="preserve">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w:t>
      </w:r>
      <w:r>
        <w:rPr>
          <w:rFonts w:ascii="Cambria" w:cs="Cambria" w:eastAsia="Cambria" w:hAnsi="Cambria"/>
          <w:color w:val="0000CC"/>
          <w:sz w:val="24"/>
          <w:szCs w:val="24"/>
        </w:rPr>
        <w:t xml:space="preserve">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CC"/>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t>
      </w:r>
      <w:r>
        <w:rPr>
          <w:rFonts w:ascii="Cambria" w:cs="Cambria" w:eastAsia="Cambria" w:hAnsi="Cambria"/>
          <w:color w:val="E6007E"/>
          <w:sz w:val="24"/>
          <w:szCs w:val="24"/>
        </w:rPr>
        <w:t xml:space="preserve">with Partial awarded for a threat discussion only. The statement that a system is secure is not evidence.</w:t>
      </w:r>
      <w:r>
        <w:rPr>
          <w:rFonts w:ascii="Cambria" w:cs="Cambria" w:eastAsia="Cambria" w:hAnsi="Cambria"/>
          <w:color w:val="0000CC"/>
          <w:sz w:val="24"/>
          <w:szCs w:val="24"/>
        </w:rPr>
        <w:t xml:space="preserv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E6007E"/>
          <w:sz w:val="24"/>
          <w:szCs w:val="24"/>
        </w:rPr>
        <w:t xml:space="preserve">Each study that passed the relevance criteria at the full-text stage was additionally evaluated against eight quality assessment items</w:t>
      </w:r>
      <w:r>
        <w:rPr>
          <w:rFonts w:ascii="Cambria" w:cs="Cambria" w:eastAsia="Cambria" w:hAnsi="Cambria"/>
          <w:color w:val="0000CC"/>
          <w:sz w:val="24"/>
          <w:szCs w:val="24"/>
        </w:rPr>
        <w:t xml:space="preserve"> scored 1 for Yes, 0.5 for Partial and 0 for No. </w:t>
      </w:r>
      <w:r>
        <w:rPr>
          <w:rFonts w:ascii="Cambria" w:cs="Cambria" w:eastAsia="Cambria" w:hAnsi="Cambria"/>
          <w:color w:val="E6007E"/>
          <w:sz w:val="24"/>
          <w:szCs w:val="24"/>
        </w:rPr>
        <w:t xml:space="preserve">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QA4 asks whether the proposed methodology is validated by a proof of concept or an implementation.</w:t>
      </w:r>
      <w:r>
        <w:rPr>
          <w:rFonts w:ascii="Cambria" w:cs="Cambria" w:eastAsia="Cambria" w:hAnsi="Cambria"/>
          <w:color w:val="0000CC"/>
          <w:sz w:val="24"/>
          <w:szCs w:val="24"/>
        </w:rPr>
        <w:t xml:space="preserve"> A study was included when the sum of QA1 to QA4 was at least 3.0. The remaining four items, QA5 to QA8, do not affect inclusion but inform the evidence tier assigned to each study, </w:t>
      </w:r>
      <w:r>
        <w:rPr>
          <w:rFonts w:ascii="Cambria" w:cs="Cambria" w:eastAsia="Cambria" w:hAnsi="Cambria"/>
          <w:color w:val="E6007E"/>
          <w:sz w:val="24"/>
          <w:szCs w:val="24"/>
        </w:rPr>
        <w:t xml:space="preserve">namely evidence Tier A for strong direct evidence, evidence Tier B for direct evidence with limitations, evidence Tier C for a supporting mechanism and Background for the secondary studies. It should be noted that these evidence tiers are distinct from the full-text priority tiers of Section 2.3.6, which use the same letters but rank records for reading order only</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It should be noted that a low quality score was never treated as evidence for or against the research gap. Studies with low scores were retained, and their influence was tested in a sensitivity analysis.</w:t>
      </w:r>
      <w:r>
        <w:rPr>
          <w:rFonts w:ascii="Cambria" w:cs="Cambria" w:eastAsia="Cambria" w:hAnsi="Cambria"/>
          <w:color w:val="0000CC"/>
          <w:sz w:val="24"/>
          <w:szCs w:val="24"/>
        </w:rPr>
        <w:t xml:space="preserve"> Quality items were scored for every included study and for exclusions in which the relevance gate corroborated the decision, </w:t>
      </w:r>
      <w:r>
        <w:rPr>
          <w:rFonts w:ascii="Cambria" w:cs="Cambria" w:eastAsia="Cambria" w:hAnsi="Cambria"/>
          <w:color w:val="E6007E"/>
          <w:sz w:val="24"/>
          <w:szCs w:val="24"/>
        </w:rPr>
        <w:t xml:space="preserve">but not for studies excluded as outside healthcare (EC1) or on document type, duplication, secondary status or unavailability (EC5 to EC8), because these criteria precede quality assessment in the protocol</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included studies were divided into core and supporting studies for the synthesis. The distinction was adopted at decision D-164 and tightened at decision D-166 to the following rule: a study is a core study if, and only if, its gap-impact verdict is contradicts, weakens or narrows, or its T3 coding is Yes or Partial. Under this rule, 23 of the 44 included studies are core studies and 21 are supporting studies. </w:t>
      </w:r>
      <w:r>
        <w:rPr>
          <w:rFonts w:ascii="Cambria" w:cs="Cambria" w:eastAsia="Cambria" w:hAnsi="Cambria"/>
          <w:color w:val="E6007E"/>
          <w:sz w:val="24"/>
          <w:szCs w:val="24"/>
        </w:rPr>
        <w:t xml:space="preserve">The distinction does not affect the PRISMA inclusion counts. Supporting studies are reviewed in Section 2.4 and are cited as corroboration, while the core studies carry the argument of the synthesis in Section 2.5.</w:t>
      </w:r>
    </w:p>
    <w:p>
      <w:pPr>
        <w:spacing w:after="140" w:line="300"/>
        <w:jc w:val="both"/>
      </w:pPr>
      <w:r>
        <w:rPr>
          <w:rFonts w:ascii="Cambria" w:cs="Cambria" w:eastAsia="Cambria" w:hAnsi="Cambria"/>
          <w:color w:val="E6007E"/>
          <w:sz w:val="24"/>
          <w:szCs w:val="24"/>
        </w:rPr>
        <w:t xml:space="preserve">Coding and synthesis followed the six-role review procedure described in Section 2.3.1.</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For each full text, the panel executed a fixed review template. The first member verified the completeness of the full text and the bibliographic identity of the record and applied the eligibility and quality gates. The second member coded consent representation and trust modelling, and the third member coded identity, authority and multi-party authorisation. The fourth member coded policy, temporal and lifecycle enforcement, and the fifth member coded formal assurance and empirical validation. The chair issued the final decision and the gap-impact verdict.</w:t>
      </w:r>
      <w:r>
        <w:rPr>
          <w:rFonts w:ascii="Cambria" w:cs="Cambria" w:eastAsia="Cambria" w:hAnsi="Cambria"/>
          <w:color w:val="0000CC"/>
          <w:sz w:val="24"/>
          <w:szCs w:val="24"/>
        </w:rPr>
        <w:t xml:space="preserve"> Where a member disagreed with the final decision, the dissent was recorded in the register against the study together with the reason, and the chair's decision stood subject to the author's ratification; a dissent was never removed from the log, so that the boundary cases remain visible in the sensitivity analysis.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CC"/>
          <w:sz w:val="24"/>
          <w:szCs w:val="24"/>
        </w:rPr>
        <w:t xml:space="preserve">2.3.8  Shortlisted Studies and Their Categorisation</w:t>
      </w:r>
    </w:p>
    <w:p>
      <w:pPr>
        <w:spacing w:after="140" w:line="300"/>
        <w:jc w:val="both"/>
      </w:pPr>
      <w:r>
        <w:rPr>
          <w:rFonts w:ascii="Cambria" w:cs="Cambria" w:eastAsia="Cambria" w:hAnsi="Cambria"/>
          <w:color w:val="0000CC"/>
          <w:sz w:val="24"/>
          <w:szCs w:val="24"/>
        </w:rPr>
        <w:t xml:space="preserve">Each of the 44 shortlisted studies was analysed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w:t>
      </w:r>
      <w:r>
        <w:rPr>
          <w:rFonts w:ascii="Cambria" w:cs="Cambria" w:eastAsia="Cambria" w:hAnsi="Cambria"/>
          <w:color w:val="E6007E"/>
          <w:sz w:val="24"/>
          <w:szCs w:val="24"/>
        </w:rPr>
        <w:t xml:space="preserve">A study was placed in the stream of the requirement on which it is coded most strongly, even though most studies touch on more than one requirement</w:t>
      </w:r>
      <w:r>
        <w:rPr>
          <w:rFonts w:ascii="Cambria" w:cs="Cambria" w:eastAsia="Cambria" w:hAnsi="Cambria"/>
          <w:color w:val="0000CC"/>
          <w:sz w:val="24"/>
          <w:szCs w:val="24"/>
        </w:rPr>
        <w:t xml:space="preserve">, and the extent to which each study addresses every requirement is recorded in the study tables of Section 2.4. The studies are listed in Table 2 in the order of their labels S1 to S44, together with their reference numbers [35] to [78]. The studies in each stream are reviewed in the next section, and their issues and limitations with respect to the key requirements defined in Section 2.2 are discussed. The last column of Table 2 states whether the study is analysed in depth in Section 2.4 or retained as supporting evidence.</w:t>
      </w:r>
    </w:p>
    <w:p>
      <w:pPr>
        <w:spacing w:after="140" w:line="300"/>
        <w:jc w:val="both"/>
      </w:pPr>
      <w:r>
        <w:rPr>
          <w:rFonts w:ascii="Cambria" w:cs="Cambria" w:eastAsia="Cambria" w:hAnsi="Cambria"/>
          <w:color w:val="0000CC"/>
          <w:sz w:val="24"/>
          <w:szCs w:val="24"/>
        </w:rPr>
        <w:t xml:space="preserve">Figure 3 profiles the 44 included studies by publication year and by review stream.</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00"/>
        <w:gridCol w:w="3340"/>
        <w:gridCol w:w="1600"/>
        <w:gridCol w:w="11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3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1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c>
          <w:tcPr>
            <w:tcW w:type="dxa" w:w="11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Role</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Akter and Sanam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Framework for Secure Healthcare Data Management Using Role-Based Access Control and Smart Contracts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Bhalerao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Decentralized Cryptographic Governance for Cloud-Based Medical Record Infrastructure: A Distributed Ledger Framework for Cyber-Resilient Healthcare Data Sovereignty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 Set Intersection Protocol for Medical Data Security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Chockalingam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Improving Security and Privacy of Cognitive Digital Twins Through Dynamic Consent for Healthcare and Resilient Societies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Dhanraj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Blockchain-Augmented Federated Learning for Secure and Healthcare Diagnosis from Distributed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Ferreira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Integration for Trust and Consent Management in MCP-Enabled FHIR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Ghosh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Hybrid Quantum-Safe Attribute-Based Access Control Scheme with Attribute Revocation Strategy for Smart Healthcare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Gao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and Efficient ABSE Scheme for Secure Medical Data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Luo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Privacy-Aware Proxy Re-Encryption With Traceability and Revocation for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Efficient Encryption Scheme with Fully Hidden Access Policy for Medical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Prashanth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Health Record Security and Privacy with Blockchain-Based Access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Qiao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 Over Cloud Based on Blockchain and Secure Multi-Party Computation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Sawant and Gomes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Decentralized Solution for Smarter and Safer Healthcare Systems with FabricMedChain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Shanmugham and Senthilkumar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Enabled Self-Sovereign Identity and Consent Framework for Secure Healthcare Data Access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Ranaweera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Ensuring Electronic Health Record (EHR) Privacy using Zero Knowledge Proofs (ZKP) and Secure Encryption Schemes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Teeda and Subba 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Blockchain Based Electronic Health Records for Data Privacy and Confidentiality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Wagner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Trusted Third Party Software into an EDC System for Data Protection - Compliant Identity Management, Consent Management and Pseudonymization in Medical Research Studies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Xu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Based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(2022)</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Patient-centered cross-enterprise document sharing and dynamic consent framework using consortium blockchain and ciphertext-policy attribute-based encryption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bl>
    <w:p>
      <w:pPr>
        <w:spacing w:after="180"/>
      </w:pPr>
    </w:p>
    <w:p>
      <w:pPr>
        <w:keepNext/>
        <w:spacing w:after="60" w:before="140"/>
        <w:jc w:val="center"/>
      </w:pPr>
      <w:r>
        <w:drawing>
          <wp:inline distT="0" distB="0" distL="0" distR="0">
            <wp:extent cx="5715000" cy="2076450"/>
            <wp:effectExtent t="0" r="0" b="0" l="0"/>
            <wp:docPr id="1" name="gfig2a.png" descr="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 title="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w:t>
      </w:r>
    </w:p>
    <w:p>
      <w:pPr>
        <w:pStyle w:val="Heading2"/>
        <w:spacing w:after="160" w:before="280"/>
      </w:pPr>
      <w:r>
        <w:rPr>
          <w:rFonts w:ascii="Cambria" w:cs="Cambria" w:eastAsia="Cambria" w:hAnsi="Cambria"/>
          <w:color w:val="0000CC"/>
          <w:sz w:val="24"/>
          <w:szCs w:val="24"/>
        </w:rPr>
        <w:t xml:space="preserve">2.4  Review</w:t>
      </w:r>
    </w:p>
    <w:p>
      <w:pPr>
        <w:spacing w:after="140" w:line="300"/>
        <w:jc w:val="both"/>
      </w:pPr>
      <w:r>
        <w:rPr>
          <w:rFonts w:ascii="Cambria" w:cs="Cambria" w:eastAsia="Cambria" w:hAnsi="Cambria"/>
          <w:color w:val="0000CC"/>
          <w:sz w:val="24"/>
          <w:szCs w:val="24"/>
        </w:rPr>
        <w:t xml:space="preserve">This section reviews the 44 primary studies that were shortlisted in Section 2.3.8. The review is organised by the six key requirements of Section 2.2, so that Sections 2.4.1 to 2.4.6 correspond to Req 1 to Req 6 respectively. It should be noted that the 44 included studies are not all discussed individually. Following the synthesis rule ratified by the coding panel (D-166), 23 studies were classified as core, because their full-text evidence contradicts, weakens or narrows the research gap or because they involve more than one authorising party (T3 graded Yes or Partial), and the remaining 21 were classified as supporting. The in-depth review in this section therefore covers 25 analysed studies, namely the 23 core studies together with the two supporting studies with the highest quality-assessment score, Albalwy et al. [37] and Li et al. [51], each scored 7.0 of 8. The other 19 supporting studies remain included in the review corpus and in Table 2, but they are cited only in a short closing paragraph of the stream to which they were assigned, which states in general terms what they corroborate. Each subsection </w:t>
      </w:r>
      <w:r>
        <w:rPr>
          <w:rFonts w:ascii="Cambria" w:cs="Cambria" w:eastAsia="Cambria" w:hAnsi="Cambria"/>
          <w:color w:val="E6007E"/>
          <w:sz w:val="24"/>
          <w:szCs w:val="24"/>
        </w:rPr>
        <w:t xml:space="preserve">reviews the analysed studies that were assigned to that stream and states their issues and limitations with respect to the requirement in question. Each subsection ends with a table that summarises the analysed studies and records their commitment to all six requirements. In the tables,</w:t>
      </w:r>
      <w:r>
        <w:rPr>
          <w:rFonts w:ascii="Cambria" w:cs="Cambria" w:eastAsia="Cambria" w:hAnsi="Cambria"/>
          <w:color w:val="0000CC"/>
          <w:sz w:val="24"/>
          <w:szCs w:val="24"/>
        </w:rPr>
        <w:t xml:space="preserve"> √ denotes that the requirement is satisfied, ~ denotes that it is partially satisfied and × denotes that it is not satisfied, as coded from the full texts using the codebook described in Section 2.3.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25 analysed studies only. In addition, a small number of studies outside the healthcare consent domain, concerning archival record-keeping [8], blockchain data integrity [17], attested execution environments [23] and decentralised decision-making [29], were consulted as background for the supporting requirements of Section 2.2 and are not part of the review corpus.</w:t>
      </w:r>
    </w:p>
    <w:p>
      <w:pPr>
        <w:spacing w:after="140" w:line="300"/>
        <w:jc w:val="both"/>
      </w:pPr>
      <w:r>
        <w:rPr>
          <w:rFonts w:ascii="Cambria" w:cs="Cambria" w:eastAsia="Cambria" w:hAnsi="Cambria"/>
          <w:color w:val="0000CC"/>
          <w:sz w:val="24"/>
          <w:szCs w:val="24"/>
        </w:rPr>
        <w:t xml:space="preserve">Figure 4 shows the correspondence between the seven review questions of Section 2.3.2 and the sections of this review in which each of them is answered.</w:t>
      </w:r>
    </w:p>
    <w:p>
      <w:pPr>
        <w:keepNext/>
        <w:spacing w:after="60" w:before="140"/>
        <w:jc w:val="center"/>
      </w:pPr>
      <w:r>
        <w:drawing>
          <wp:inline distT="0" distB="0" distL="0" distR="0">
            <wp:extent cx="5334000" cy="4095750"/>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CC"/>
          <w:sz w:val="24"/>
          <w:szCs w:val="24"/>
        </w:rPr>
        <w:t xml:space="preserve">2.4.1  Consent Representation and Blockchain-Based Consent Governance</w:t>
      </w:r>
    </w:p>
    <w:p>
      <w:pPr>
        <w:spacing w:after="140" w:line="300"/>
        <w:jc w:val="both"/>
      </w:pPr>
      <w:r>
        <w:rPr>
          <w:rFonts w:ascii="Cambria" w:cs="Cambria" w:eastAsia="Cambria" w:hAnsi="Cambria"/>
          <w:color w:val="E6007E"/>
          <w:sz w:val="24"/>
          <w:szCs w:val="24"/>
        </w:rPr>
        <w:t xml:space="preserve">This section reviews the two analysed studies whose main contribution is the representation and governance of patient consent. Both are deployed platforms rather than research prototypes. The ten supporting studies assigned to this stream, most of which govern consent on a blockchain, are cited at the end of the section.</w:t>
      </w:r>
      <w:r>
        <w:rPr>
          <w:rFonts w:ascii="Cambria" w:cs="Cambria" w:eastAsia="Cambria" w:hAnsi="Cambria"/>
          <w:color w:val="0000CC"/>
          <w:sz w:val="24"/>
          <w:szCs w:val="24"/>
        </w:rPr>
        <w:t xml:space="preserve">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The full-text coding shows that all twelve studies assigned to this stream, including the two analysed here, were graded Partial on Req 1 and that none was graded Yes. In this context, three situations recur across the stream: consent that is represented but absent from the decision, consent that is present in the decision but reduced to a boolean flag, and consent that is held in a registry whose status is displayed or queried but never enforced. The two analysed studies illustrate the first and the third of these situations in production settings.</w:t>
      </w:r>
    </w:p>
    <w:p>
      <w:pPr>
        <w:spacing w:after="140" w:line="300"/>
        <w:jc w:val="both"/>
      </w:pPr>
      <w:r>
        <w:rPr>
          <w:rFonts w:ascii="Cambria" w:cs="Cambria" w:eastAsia="Cambria" w:hAnsi="Cambria"/>
          <w:color w:val="0000CC"/>
          <w:sz w:val="24"/>
          <w:szCs w:val="24"/>
        </w:rPr>
        <w:t xml:space="preserve">Soohoo et al. [67] describe the authentication and authorisation module of the iAgree patient-controlled data-sharing portal, deployed across three United States health systems, with OAuth2, SMART on FHIR and one-time-password identity that was tested with matched and unmatched accounts, and with a permissioned Ethereum audit contract. Consent is a preference matrix of data category by recipient type whose enforcement is outside the scope of the paper, so that the consent object is represented but absent from the access decision that the paper describes. A single patient decides, and the involvement of several institutions does not make the decision multi-party. Authorisation is OAuth2 delegation with no separate authority evidence for researchers, the one-hour window is a session token rather than a consent validity period, and revocation is append-only and untested. The evaluation consists of functional tests of identity matching and contains no formal method and no allow or deny correctness case for the preference matrix itself.</w:t>
      </w:r>
    </w:p>
    <w:p>
      <w:pPr>
        <w:spacing w:after="140" w:line="300"/>
        <w:jc w:val="both"/>
      </w:pPr>
      <w:r>
        <w:rPr>
          <w:rFonts w:ascii="Cambria" w:cs="Cambria" w:eastAsia="Cambria" w:hAnsi="Cambria"/>
          <w:color w:val="0000CC"/>
          <w:sz w:val="24"/>
          <w:szCs w:val="24"/>
        </w:rPr>
        <w:t xml:space="preserve">Tremper et al. [72] report ten years of the Mainzelliste pseudonymisation, record-linkage and consent-management service, an open-source production tool in use since 2015, with multi-tenant role-based access control, per-request token validation, modular FHIR consent directives scoped by use type and an automated consent-check capability. The consent object is the richest in this stream, yet the paper specifies no check semantics, no term list and no allow or deny protocol, so that the way in which a directive is evaluated at the time of a request cannot be established from the publication. Consent withdrawal is implemented at the registry level through an API delete, with no downstream enforcement shown, and no temporal validity is evaluated. The reason for each request is captured for audit but not adjudicated. It should be noted that the secure multi-party computation parties of the service perform record linkage rather than authorisation, and that the security evidence is an independent penetration test and a secure development process rather than a formal analysis.</w:t>
      </w:r>
    </w:p>
    <w:p>
      <w:pPr>
        <w:spacing w:after="140" w:line="300"/>
        <w:jc w:val="both"/>
      </w:pPr>
      <w:r>
        <w:rPr>
          <w:rFonts w:ascii="Cambria" w:cs="Cambria" w:eastAsia="Cambria" w:hAnsi="Cambria"/>
          <w:color w:val="E6007E"/>
          <w:sz w:val="24"/>
          <w:szCs w:val="24"/>
        </w:rPr>
        <w:t xml:space="preserve">The two analysed studies show that the representation of consent and the evaluation of consent have been developed separately, even in production systems. In both studies the consent object is comparatively rich. In iAgree [67] it is a preference matrix of data category by recipient type, and in Mainzelliste [72] it is a set of FHIR consent directives scoped by use type. However, neither paper specifies the semantics by which an access decision evaluates that object. Enforcement is out of scope in the first study and unspecified in the second. In addition, neither study verifies its own authorisation decisions. The functional tests of Soohoo et al. [67] and the penetration test of Tremper et al. [72] contain no allow or deny correctness case, and Req 6 is graded Partial for both. Neither study involves more than one authorising party, and Req 3 is graded No for both, as it is for all twelve studies assigned to this stream. The closest single-party analogues of the consent object C = (I, A, P, T, L, E) required by the proposed framework are not found in this stream. They are found in the on-chain consent object of Phuyal et al. [58] in Section 2.4.2 and in the patient-driven policy of Al Amin et al. [38] in Section 2.4.3. Therefore, Req 1 is partially addressed in this stream. However, consent as an object that is evaluated on every request against identity, authority, purpose, scope, time and jurisdiction is not provided by either of the reviewed consent-governance platforms. Table 3 presents a summary of the analysed studies in this stream and their commitment to the key requirements.</w:t>
      </w:r>
    </w:p>
    <w:p>
      <w:pPr>
        <w:spacing w:after="140" w:line="300"/>
        <w:jc w:val="both"/>
      </w:pPr>
      <w:r>
        <w:rPr>
          <w:rFonts w:ascii="Cambria" w:cs="Cambria" w:eastAsia="Cambria" w:hAnsi="Cambria"/>
          <w:color w:val="0000CC"/>
          <w:sz w:val="24"/>
          <w:szCs w:val="24"/>
        </w:rPr>
        <w:t xml:space="preserve">Supporting evidence. Ten further studies were assigned to this stream and coded but are not discussed individually [36], [39], [41], [42], [60], [65], [68], [70], [74], [78]. </w:t>
      </w:r>
      <w:r>
        <w:rPr>
          <w:rFonts w:ascii="Cambria" w:cs="Cambria" w:eastAsia="Cambria" w:hAnsi="Cambria"/>
          <w:color w:val="E6007E"/>
          <w:sz w:val="24"/>
          <w:szCs w:val="24"/>
        </w:rPr>
        <w:t xml:space="preserve">They corroborate the pattern described above rather than alter it. Where consent enters the access decision, it enters as a per-record boolean grant [36], [60]. Where consent is bound to cryptographic operations, the conditions are fixed at encryption or key-issuance time and cannot be re-evaluated at the time of the request [70], [78]. Where the consent object is rich, as in the gICS directives integrated into REDCap [74], its state is displayed and queried but no access decision depends on it. Consent is absent from the formalised decision function of the largest measurement campaign in the stream [65] and is reduced to a logged event with a gas cost in [42]. The zero-knowledge and homomorphic-encryption workflow of [68] evaluates a free-text reason rather than a purpose term. The two conceptual designs [39], [41] remain unimplemented.</w:t>
      </w:r>
      <w:r>
        <w:rPr>
          <w:rFonts w:ascii="Cambria" w:cs="Cambria" w:eastAsia="Cambria" w:hAnsi="Cambria"/>
          <w:color w:val="0000CC"/>
          <w:sz w:val="24"/>
          <w:szCs w:val="24"/>
        </w:rPr>
        <w:t xml:space="preserve"> All ten supporting studies were graded Partial on Req 1 and No on Req 3, and none of them provides a formal security analysis, the closest being the threat model and simulated attacks of [65].</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2.4.2  Decentralised Identity and Authority Trust</w:t>
      </w:r>
    </w:p>
    <w:p>
      <w:pPr>
        <w:spacing w:after="140" w:line="300"/>
        <w:jc w:val="both"/>
      </w:pPr>
      <w:r>
        <w:rPr>
          <w:rFonts w:ascii="Cambria" w:cs="Cambria" w:eastAsia="Cambria" w:hAnsi="Cambria"/>
          <w:color w:val="0000CC"/>
          <w:sz w:val="24"/>
          <w:szCs w:val="24"/>
        </w:rPr>
        <w:t xml:space="preserve">This section reviews the three analysed studies whose main contribution is the decentralised verification of the participants in a consent decision; the two supporting studies assigned to this stream are cited at the end of the section. Req 2 requires that the patient, the guardians, the healthcare professional and the institution can be identified without a single central identity provider, and that establishing who a participant is (identity) is treated separately from establishing what that participant may do (authority), each with its own evidence.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Across the 44 included studies, T2 was graded Yes in only 10 studies and Partial in 34; that is, in more than three quarters of the corpus a verified identity, a platform role or an administratively assigned attribute stands in for authority over a particular patient's data.</w:t>
      </w:r>
    </w:p>
    <w:p>
      <w:pPr>
        <w:spacing w:after="140" w:line="300"/>
        <w:jc w:val="both"/>
      </w:pPr>
      <w:r>
        <w:rPr>
          <w:rFonts w:ascii="Cambria" w:cs="Cambria" w:eastAsia="Cambria" w:hAnsi="Cambria"/>
          <w:color w:val="0000CC"/>
          <w:sz w:val="24"/>
          <w:szCs w:val="24"/>
        </w:rPr>
        <w:t xml:space="preserve">Phuyal et al. </w:t>
      </w:r>
      <w:r>
        <w:rPr>
          <w:rFonts w:ascii="Cambria" w:cs="Cambria" w:eastAsia="Cambria" w:hAnsi="Cambria"/>
          <w:color w:val="E6007E"/>
          <w:sz w:val="24"/>
          <w:szCs w:val="24"/>
        </w:rPr>
        <w:t xml:space="preserve">[58] present the most integrated system in the corpus. It is a simulated Norwegian cross-institution exchange in which patients and professionals hold EUDI-compatible wallets with W3C decentralised identifiers and verifiable credentials. Consent is an executable on-chain object on a Hyperledger Besu ledger that carries the patient identifier, the requester identifier, the data scope and an expiry, together with an ACTIVE or REVOKED state. Access proofs are generated with Groth16 circuits.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Identity verification checks the issuer registry, the signature and the credential expiry. With respect to Req 2, a licensing-body credential asserts the professional's role, specialisation and scope of practice, and the system verifies this credential separately from authentication.</w:t>
      </w:r>
      <w:r>
        <w:rPr>
          <w:rFonts w:ascii="Cambria" w:cs="Cambria" w:eastAsia="Cambria" w:hAnsi="Cambria"/>
          <w:color w:val="0000CC"/>
          <w:sz w:val="24"/>
          <w:szCs w:val="24"/>
        </w:rPr>
        <w:t xml:space="preserve"> This is the strongest Req 2 evidence in the corpus. Revocation is enforced at run time in 1.45 seconds and subsequent access returns an error, and allow and deny cases are tested over 100 runs per workflow. </w:t>
      </w:r>
      <w:r>
        <w:rPr>
          <w:rFonts w:ascii="Cambria" w:cs="Cambria" w:eastAsia="Cambria" w:hAnsi="Cambria"/>
          <w:color w:val="E6007E"/>
          <w:sz w:val="24"/>
          <w:szCs w:val="24"/>
        </w:rPr>
        <w:t xml:space="preserve">The limitations are also clear. A single patient grants a bilateral data-sharing agreement and there is no multi-party approval,</w:t>
      </w:r>
      <w:r>
        <w:rPr>
          <w:rFonts w:ascii="Cambria" w:cs="Cambria" w:eastAsia="Cambria" w:hAnsi="Cambria"/>
          <w:color w:val="0000CC"/>
          <w:sz w:val="24"/>
          <w:szCs w:val="24"/>
        </w:rPr>
        <w:t xml:space="preserve"> the expiry field is stored on the ledger but the access algorithm checks only state and proof, purpose exists only at the user-interface level, and there is no threat model, formal verification or adversarial test. The companion architecture of Phuyal et al. </w:t>
      </w:r>
      <w:r>
        <w:rPr>
          <w:rFonts w:ascii="Cambria" w:cs="Cambria" w:eastAsia="Cambria" w:hAnsi="Cambria"/>
          <w:color w:val="E6007E"/>
          <w:sz w:val="24"/>
          <w:szCs w:val="24"/>
        </w:rPr>
        <w:t xml:space="preserve">[59]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In addition, the proxy or guardian delegation mentioned as an option is substitution rather than joint approval.</w:t>
      </w:r>
    </w:p>
    <w:p>
      <w:pPr>
        <w:spacing w:after="140" w:line="300"/>
        <w:jc w:val="both"/>
      </w:pPr>
      <w:r>
        <w:rPr>
          <w:rFonts w:ascii="Cambria" w:cs="Cambria" w:eastAsia="Cambria" w:hAnsi="Cambria"/>
          <w:color w:val="0000CC"/>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w:t>
      </w:r>
      <w:r>
        <w:rPr>
          <w:rFonts w:ascii="Cambria" w:cs="Cambria" w:eastAsia="Cambria" w:hAnsi="Cambria"/>
          <w:color w:val="E6007E"/>
          <w:sz w:val="24"/>
          <w:szCs w:val="24"/>
        </w:rPr>
        <w:t xml:space="preserve">Its limitations with respect to the later requirements are as follows. The patient and requester co-signature on a request is bilateral authentication rather than independent approval. Purpose is logged in the transaction record but never evaluated, and scope is at the hospital level. The token expiry enforced at the validator is a session bound rather than a consent validity window, and revocation of the access list does not invalidate tokens already issued. The security discussion is narrative.</w:t>
      </w:r>
    </w:p>
    <w:p>
      <w:pPr>
        <w:spacing w:after="140" w:line="300"/>
        <w:jc w:val="both"/>
      </w:pPr>
      <w:r>
        <w:rPr>
          <w:rFonts w:ascii="Cambria" w:cs="Cambria" w:eastAsia="Cambria" w:hAnsi="Cambria"/>
          <w:color w:val="E6007E"/>
          <w:sz w:val="24"/>
          <w:szCs w:val="24"/>
        </w:rPr>
        <w:t xml:space="preserve">Identity is the strongest dimension of this stream. T1 is graded Yes in two of the three analysed studies and Partial in the design-only architecture of Phuyal et al. [59]. Authority verified with its own evidence is found in Phuyal et al. [58], through licensing-body credentials, and in Tseng et al. [73], through authority-issued roles. The remaining eight Yes gradings for T2 among the 44 included studies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analysed study that comes closest to an evaluable consent object, Phuyal et al. [58], is a single-party design and is not formally assured. It is also the only one of the three analysed studies that verifies allow and deny outcomes. Therefore, the literature provides mature mechanisms for decentralised identity and, increasingly, for credential-based authority. However, it does not yet combine separated identity and authority evidence with multi-party approval, policy evaluation and formal assurance in one decision. Table 4 presents a summary of the analysed studies in this stream and their commitment to the key requirements.</w:t>
      </w:r>
    </w:p>
    <w:p>
      <w:pPr>
        <w:spacing w:after="140" w:line="300"/>
        <w:jc w:val="both"/>
      </w:pPr>
      <w:r>
        <w:rPr>
          <w:rFonts w:ascii="Cambria" w:cs="Cambria" w:eastAsia="Cambria" w:hAnsi="Cambria"/>
          <w:color w:val="0000CC"/>
          <w:sz w:val="24"/>
          <w:szCs w:val="24"/>
        </w:rPr>
        <w:t xml:space="preserve">Supporting evidence. Two further studies were assigned to this stream and corroborate these findings without altering them [45], [66]. Ferreira et al. </w:t>
      </w:r>
      <w:r>
        <w:rPr>
          <w:rFonts w:ascii="Cambria" w:cs="Cambria" w:eastAsia="Cambria" w:hAnsi="Cambria"/>
          <w:color w:val="E6007E"/>
          <w:sz w:val="24"/>
          <w:szCs w:val="24"/>
        </w:rPr>
        <w:t xml:space="preserve">[45] design the widest authorisation predicate in the corpus, in which a single call conjoins the subject, the purpose, the scope and the time over the current consent state. Shanmugham and Senthilkumar [66] propose a consent token carrying an identifier, a role, a scope, a validity interval and a three-state lifecycle. This token is the closest single-party structural analogue of the consent object required by the proposed framework.</w:t>
      </w:r>
      <w:r>
        <w:rPr>
          <w:rFonts w:ascii="Cambria" w:cs="Cambria" w:eastAsia="Cambria" w:hAnsi="Cambria"/>
          <w:color w:val="0000CC"/>
          <w:sz w:val="24"/>
          <w:szCs w:val="24"/>
        </w:rPr>
        <w:t xml:space="preserve"> In both, however, case-specific authority reduces to a credential together with the consent state, the guardians named in [45] are a key-recovery mechanism rather than co-authorisers, no denial after revocation or expiry is tested, and neither study is formally assured, so that both were graded Partial on Req 2 and No on Req 3.</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2.4.3  Multi-Party Authorisation and Collaborative Consent</w:t>
      </w:r>
    </w:p>
    <w:p>
      <w:pPr>
        <w:spacing w:after="140" w:line="300"/>
        <w:jc w:val="both"/>
      </w:pPr>
      <w:r>
        <w:rPr>
          <w:rFonts w:ascii="Cambria" w:cs="Cambria" w:eastAsia="Cambria" w:hAnsi="Cambria"/>
          <w:color w:val="0000CC"/>
          <w:sz w:val="24"/>
          <w:szCs w:val="24"/>
        </w:rPr>
        <w:t xml:space="preserve">This section reviews the eight analysed studies of stream 3, whose main contribution involves the participation of more than one party in a consent or access decision. Req 3 requires that, where a single party cannot lawfully authorise access on its own, a predefined number of designated parties must each provide an independently verifiable approval, and that this threshold condition is represented within the consent object and can be checked by any party at a later time. An earlier version of this review, which was based on the background corpus [1]–[34], stated that multi-party joint authorisation of patient data access had not been realised in the literature. The full-text coding of the present corpus does not support that statement, and it is withdrawn. Across the 44 included studies, T3 (at least two distinct independent participants must approve) was graded Yes in 6 studies, Partial in 4 and No in 34, and the coding panel ratified six distinct mechanism classes of multi-party authorisation. 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CC"/>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combined with expiry enforced inside the decision predicate, since stale attestations stop counting, and with explicit revocation of claims and removal of guardians. However, on the normal path a single patient key authorises access, so that joint approval is an availability fallback conditioned on the absence of the principal rather than a condition of every decision. In addition, the guardians hold no key shares: the decryption key is split between the patient and the regulatory agency, which can decrypt with its own shares, so the joint guarantee holds at the smart-contract layer only. The paper contains no formal analysis, no dataset and no allow or deny correctness matrix. A related design is threshold key custody. Abbasi et al. </w:t>
      </w:r>
      <w:r>
        <w:rPr>
          <w:rFonts w:ascii="Cambria" w:cs="Cambria" w:eastAsia="Cambria" w:hAnsi="Cambria"/>
          <w:color w:val="E6007E"/>
          <w:sz w:val="24"/>
          <w:szCs w:val="24"/>
        </w:rPr>
        <w:t xml:space="preserve">[35] present Nexa, a public-blockchain record system in which a Shamir (5, 3) threshold protects each record key. A clinical access combines the requester's own share with two automated oracle shares released on the basis of the current on-chain role. There is therefore a single authorisation locus and no human co-approval, and the patient's share is not required. The institutional multi-signature for bulk access is proposed but outside the prototype.</w:t>
      </w:r>
      <w:r>
        <w:rPr>
          <w:rFonts w:ascii="Cambria" w:cs="Cambria" w:eastAsia="Cambria" w:hAnsi="Cambria"/>
          <w:color w:val="0000CC"/>
          <w:sz w:val="24"/>
          <w:szCs w:val="24"/>
        </w:rPr>
        <w:t xml:space="preserve"> The prototype is public and measured, but no authorisation decision is verified. The threshold over patient-designated relatives of Maruthi and Singh [54], reviewed in Section 2.4.6, belongs to the same custody class.</w:t>
      </w:r>
    </w:p>
    <w:p>
      <w:pPr>
        <w:spacing w:after="140" w:line="300"/>
        <w:jc w:val="both"/>
      </w:pPr>
      <w:r>
        <w:rPr>
          <w:rFonts w:ascii="Cambria" w:cs="Cambria" w:eastAsia="Cambria" w:hAnsi="Cambria"/>
          <w:color w:val="0000CC"/>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What the threshold gates is asymmetric: the admission of a trial record to the ledger requires a majority of investigators and the revocation of a consent requires half of them, whereas the consent grant itself is submitted unilaterally by the patient. </w:t>
      </w:r>
      <w:r>
        <w:rPr>
          <w:rFonts w:ascii="Cambria" w:cs="Cambria" w:eastAsia="Cambria" w:hAnsi="Cambria"/>
          <w:color w:val="E6007E"/>
          <w:sz w:val="24"/>
          <w:szCs w:val="24"/>
        </w:rPr>
        <w:t xml:space="preserve">In addition, each investigator's vote consists of recomputing and confirming the hash of the message,</w:t>
      </w:r>
      <w:r>
        <w:rPr>
          <w:rFonts w:ascii="Cambria" w:cs="Cambria" w:eastAsia="Cambria" w:hAnsi="Cambria"/>
          <w:color w:val="0000CC"/>
          <w:sz w:val="24"/>
          <w:szCs w:val="24"/>
        </w:rPr>
        <w:t xml:space="preserve"> so the threshold is a threshold of integrity verifiers rather than of authorisers, and the voters act for the institution rather than for the patient. The third class is institutional custodian approval conjoined with a policy engine. Punia et al. [61] implement MedXBlock, a permissioned Ethereum access-control system in which an M-of-N multi-signature contract over registered doctors and administrators, for example two of three, governs high-sensitivity and cross-departmental requests, and in which an implemented hybrid attribute- and role-based policy engine evaluates a conjunctive grant predicate with deny-by-default over a stateful policy store. This is the only study among the 44 included studies in which multi-party approval and an enforced policy predicate co-occur. </w:t>
      </w:r>
      <w:r>
        <w:rPr>
          <w:rFonts w:ascii="Cambria" w:cs="Cambria" w:eastAsia="Cambria" w:hAnsi="Cambria"/>
          <w:color w:val="E6007E"/>
          <w:sz w:val="24"/>
          <w:szCs w:val="24"/>
        </w:rPr>
        <w:t xml:space="preserve">Even so, the threshold is scoped, since ordinary access is token-only, and it is defeasible, since a single emergency officer can bypass it. It also sits outside the grant predicate as a separate orchestration layer. The patient enters the predicate as a boolean consent attribute rather than as an authoriser, and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CC"/>
          <w:sz w:val="24"/>
          <w:szCs w:val="24"/>
        </w:rPr>
        <w:t xml:space="preserve">The fourth class appoints witnesses. 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and without t shares no key and no plaintext exist. This is the first threshold in the corpus whose authorisers are appointed by the patient for the patient's own access decision, and expiry is checked at the point of approval. </w:t>
      </w:r>
      <w:r>
        <w:rPr>
          <w:rFonts w:ascii="Cambria" w:cs="Cambria" w:eastAsia="Cambria" w:hAnsi="Cambria"/>
          <w:color w:val="E6007E"/>
          <w:sz w:val="24"/>
          <w:szCs w:val="24"/>
        </w:rPr>
        <w:t xml:space="preserve">The joint approval is nevertheless a pre-delegated contingency for the case in which the patient is unable to act. The verifiers evaluate identity, grant, time and revocation but not purpose or data scope, since attribute-based policy is explicitly future work. Only the secure multi-party computation layer is implemented, while the identity, wallet and ledger layers are not. The security argument is a STRIDE and LINDDUN enumeration with no proof over the authorisation protocol.</w:t>
      </w:r>
      <w:r>
        <w:rPr>
          <w:rFonts w:ascii="Cambria" w:cs="Cambria" w:eastAsia="Cambria" w:hAnsi="Cambria"/>
          <w:color w:val="0000CC"/>
          <w:sz w:val="24"/>
          <w:szCs w:val="24"/>
        </w:rPr>
        <w:t xml:space="preserve"> The fifth class, reviewed in Section 2.4.6, is the consumer-side delegated threshold of Zhao and Su [50], in which l of d already-authorised clinicians jointly authorise an out-of-policy requester; the delegates are consumer-side rather than patient-side parties, and the scheme has no time, lifecycle or purpose term.</w:t>
      </w:r>
    </w:p>
    <w:p>
      <w:pPr>
        <w:spacing w:after="140" w:line="300"/>
        <w:jc w:val="both"/>
      </w:pPr>
      <w:r>
        <w:rPr>
          <w:rFonts w:ascii="Cambria" w:cs="Cambria" w:eastAsia="Cambria" w:hAnsi="Cambria"/>
          <w:color w:val="0000CC"/>
          <w:sz w:val="24"/>
          <w:szCs w:val="24"/>
        </w:rPr>
        <w:t xml:space="preserve">The sixth class is register-verified guardian co-consent at consent registration, and it is the only class found in deployed systems. Ekholm et al. </w:t>
      </w:r>
      <w:r>
        <w:rPr>
          <w:rFonts w:ascii="Cambria" w:cs="Cambria" w:eastAsia="Cambria" w:hAnsi="Cambria"/>
          <w:color w:val="E6007E"/>
          <w:sz w:val="24"/>
          <w:szCs w:val="24"/>
        </w:rPr>
        <w:t xml:space="preserve">[43] report the implementation of electronic informed consent in rare disease genomics on a commercial platform used by three genomic medicine centres in Sweden. The consent of a minor is valid only when all legal guardians, one or two, have signed. Guardianship is verified in real time against the national Population Register, and 61 paediatric trio consents were obtained under this rule.</w:t>
      </w:r>
      <w:r>
        <w:rPr>
          <w:rFonts w:ascii="Cambria" w:cs="Cambria" w:eastAsia="Cambria" w:hAnsi="Cambria"/>
          <w:color w:val="0000CC"/>
          <w:sz w:val="24"/>
          <w:szCs w:val="24"/>
        </w:rPr>
        <w:t xml:space="preserve"> This is a deployed n-of-n guardian condition with authority verified separately from the national electronic identity used for authentication, and it is the cleanest separation of identity and authority in the corpus. Its locus is, however, the registration of consent and not the access decision: the only decision-time touchpoint is an interface that answers whether a valid consent exists, without purpose, scope or time parameters, the platform is centralised, and the paper provides no formal or authorisation-correctness evidence. Hagström et al. [47] examine, in a retrospective comparative case study of the national patient portals of Sweden and Finland, how guardian proxy access to a minor's record is gated jointly by a healthcare professional's assessment of the minor's capacity and by the minor's own consent, with register-verified guardianship and age windows whose enforcement is demonstrated by the absence of use within blocked windows and by the consent of 95.8 per cent of capable minors to disclosure.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w:t>
      </w:r>
      <w:r>
        <w:rPr>
          <w:rFonts w:ascii="Cambria" w:cs="Cambria" w:eastAsia="Cambria" w:hAnsi="Cambria"/>
          <w:color w:val="E6007E"/>
          <w:sz w:val="24"/>
          <w:szCs w:val="24"/>
        </w:rPr>
        <w:t xml:space="preserve">The only multi-party element is a two-of-two multi-signature wallet in the experimental harness, in which every member must sign to store a consent. The members are not named, the mechanism gates registration rather than access, and it is absent from the model. No purpose term exists, and the Goerli deployment reports no measured result or allow or deny case.</w:t>
      </w:r>
      <w:r>
        <w:rPr>
          <w:rFonts w:ascii="Cambria" w:cs="Cambria" w:eastAsia="Cambria" w:hAnsi="Cambria"/>
          <w:color w:val="0000CC"/>
          <w:sz w:val="24"/>
          <w:szCs w:val="24"/>
        </w:rPr>
        <w:t xml:space="preserve"> The panel recorded it as a candidate class only.</w:t>
      </w:r>
    </w:p>
    <w:p>
      <w:pPr>
        <w:spacing w:after="140" w:line="300"/>
        <w:jc w:val="both"/>
      </w:pPr>
      <w:r>
        <w:rPr>
          <w:rFonts w:ascii="Cambria" w:cs="Cambria" w:eastAsia="Cambria" w:hAnsi="Cambria"/>
          <w:color w:val="E6007E"/>
          <w:sz w:val="24"/>
          <w:szCs w:val="24"/>
        </w:rPr>
        <w:t xml:space="preserve">The position of the literature with respect to Req 3 can therefore be stated precisely. Multi-party authorisation exists in the six mechanism classes ratified by the coding panel. The first is joint approval on a contingency path when the principal is absent, with key-share reconstruction among guardians, custodians or relatives [53, 35, 54]. The second is an institution-side threshold over record admission and consent revocation [75]. The third is a consumer-side delegated threshold [50]. The fourth is a patient-appointed witness threshold bound to key release [69]. The fifth is custodial M-of-N approval placed around, but not inside, a policy predicate [61]. The sixth is guardian co-consent at the time of consent registration [43, 47], with the bilateral co-signature of Al Amin et al. [38] recorded as a candidate of this class. In this context, the statement that multi-party authorisation does not exist in the literature is no longer defensible and is not made in this review. What does not exist in any of the 44 included studies is a threshold predicate over the guardian set G with threshold N that is constitutive of the access decision. Such a predicate would be evaluated on every access request in a decentralised exchange, as a conjunct of the same predicate that evaluates the purpose and data scope, the temporal validity and the jurisdiction of the consent object C, with allow and deny correctness evidence and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eight analysed studies in this stream and their commitment to the key requirements.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What exists is multi-party authorisation in six forms. The first two are joint approval on a contingency path when the principal is absent [53, 69], and guardian or bilateral co-consent at the time of consent registration [43, 47, 38]. The next two are institution-side thresholds over record admission and consent revocation [75], and custodial M-of-N approval around, but not inside, a policy predicate [61]. The last two are a patient-appointed witness threshold welded to key release [69], and threshold key custody or delegation among custodians, relatives or clinicians [35, 54, 50].</w:t>
      </w:r>
      <w:r>
        <w:rPr>
          <w:rFonts w:ascii="Cambria" w:cs="Cambria" w:eastAsia="Cambria" w:hAnsi="Cambria"/>
          <w:color w:val="0000CC"/>
          <w:sz w:val="24"/>
          <w:szCs w:val="24"/>
        </w:rPr>
        <w:t xml:space="preserve"> In this context, the sentence that multi-party authorisation does not exist in the literature is no longer defensible and is not made in this review. </w:t>
      </w:r>
      <w:r>
        <w:rPr>
          <w:rFonts w:ascii="Cambria" w:cs="Cambria" w:eastAsia="Cambria" w:hAnsi="Cambria"/>
          <w:color w:val="E6007E"/>
          <w:sz w:val="24"/>
          <w:szCs w:val="24"/>
        </w:rPr>
        <w:t xml:space="preserve">What does not exist in any of the 44 included studies is a threshold predicate over the guardian set G with threshold N that is constitutive of the access decision. Such a predicate would be evaluated on every access request in a decentralised exchange. It would be a conjunct of the same predicate that evaluates the policy conditions of purpose and data scope, the temporal validity and the jurisdiction of the consent object C. It would also be supported by allow and deny correctness evidence and by formal assurance of the conjunction.</w:t>
      </w:r>
      <w:r>
        <w:rPr>
          <w:rFonts w:ascii="Cambria" w:cs="Cambria" w:eastAsia="Cambria" w:hAnsi="Cambria"/>
          <w:color w:val="0000CC"/>
          <w:sz w:val="24"/>
          <w:szCs w:val="24"/>
        </w:rPr>
        <w:t xml:space="preserve"> The coding supports each element of this statement. Only Punia et al. [61] combine T3 = Yes with an enforced policy predicate, and there the threshold is outside the predicate, the patient is an attribute and purpose is absent. </w:t>
      </w:r>
      <w:r>
        <w:rPr>
          <w:rFonts w:ascii="Cambria" w:cs="Cambria" w:eastAsia="Cambria" w:hAnsi="Cambria"/>
          <w:color w:val="E6007E"/>
          <w:sz w:val="24"/>
          <w:szCs w:val="24"/>
        </w:rPr>
        <w:t xml:space="preserve">Every T3-positive study in this stream except the observational study of Hagström et al. [47], whose Req 6 tick rests on empirical evidence alone, is graded No or Partial on Req 6</w:t>
      </w:r>
      <w:r>
        <w:rPr>
          <w:rFonts w:ascii="Cambria" w:cs="Cambria" w:eastAsia="Cambria" w:hAnsi="Cambria"/>
          <w:color w:val="0000CC"/>
          <w:sz w:val="24"/>
          <w:szCs w:val="24"/>
        </w:rPr>
        <w:t xml:space="preserve">, and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eight analysed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2.4.4  Policy- and Context-Aware Access Control</w:t>
      </w:r>
    </w:p>
    <w:p>
      <w:pPr>
        <w:spacing w:after="140" w:line="300"/>
        <w:jc w:val="both"/>
      </w:pPr>
      <w:r>
        <w:rPr>
          <w:rFonts w:ascii="Cambria" w:cs="Cambria" w:eastAsia="Cambria" w:hAnsi="Cambria"/>
          <w:color w:val="0000CC"/>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This section reviews the four analysed studies of stream 4 against Req 4. The question asked of each study is not whether a policy exists, but whether purpose, data scope, requester role and contextual constraints influence the decision at the time of access, and whether the evaluated policy is bound to the consent object rather than to the requester alone.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CC"/>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However, the consent tuple carries no temporal element, withdrawal is implemented in chaincode but its effect on subsequent access is not tested, identity rests on the Fabric membership service without decentralised identifiers or authority credentials, and the prototype on four nodes reports functional targets without quantitative results, attack cases or a formal argument. Jaiman and Urovi [49] developed a consent model for blockchain-based health data sharing platforms in which the purpose of a request is matched inside the smart contract against the patient's consent using the Data Use Ontology and the Automatable Discovery and Access Matrix ontology, and denial is tested across several requester profiles.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w:t>
      </w:r>
    </w:p>
    <w:p>
      <w:pPr>
        <w:spacing w:after="140" w:line="300"/>
        <w:jc w:val="both"/>
      </w:pPr>
      <w:r>
        <w:rPr>
          <w:rFonts w:ascii="Cambria" w:cs="Cambria" w:eastAsia="Cambria" w:hAnsi="Cambria"/>
          <w:color w:val="0000CC"/>
          <w:sz w:val="24"/>
          <w:szCs w:val="24"/>
        </w:rPr>
        <w:t xml:space="preserve">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w:t>
      </w:r>
      <w:r>
        <w:rPr>
          <w:rFonts w:ascii="Cambria" w:cs="Cambria" w:eastAsia="Cambria" w:hAnsi="Cambria"/>
          <w:color w:val="E6007E"/>
          <w:sz w:val="24"/>
          <w:szCs w:val="24"/>
        </w:rPr>
        <w:t xml:space="preserve">The evaluation is a rigid exact-match of hashes rather than a policy engine, and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w:t>
      </w:r>
      <w:r>
        <w:rPr>
          <w:rFonts w:ascii="Cambria" w:cs="Cambria" w:eastAsia="Cambria" w:hAnsi="Cambria"/>
          <w:color w:val="0000CC"/>
          <w:sz w:val="24"/>
          <w:szCs w:val="24"/>
        </w:rPr>
        <w:t xml:space="preserve"> The proof of concept is deployed in a production environment with measured throughput and open source code, but no adversarial or systematic allow-and-deny tests are reported. 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w:t>
      </w:r>
    </w:p>
    <w:p>
      <w:pPr>
        <w:spacing w:after="140" w:line="300"/>
        <w:jc w:val="both"/>
      </w:pPr>
      <w:r>
        <w:rPr>
          <w:rFonts w:ascii="Cambria" w:cs="Cambria" w:eastAsia="Cambria" w:hAnsi="Cambria"/>
          <w:color w:val="E6007E"/>
          <w:sz w:val="24"/>
          <w:szCs w:val="24"/>
        </w:rPr>
        <w:t xml:space="preserve">Across the 44 included studies, T4 is coded Yes in 16, Partial in 22 and No in 6. A policy or attribute condition therefore influences the access decision in a substantial share of the reviewed systems, and the requirement cannot be described as unaddressed. However, the nature of the policy is narrower than Req 4 demands. In most of the T4-positive studies the evaluated policy is bound to the requester, that is, to a role, a department, an institution or an attribute set. This is the case in Punia et al. [61], in Li et al. [51], in the attribute-based access control of Ghosh et al. [46] and in the attribute-based encryption schemes of stream 6. Purpose-of-use enters the evaluated decision in only seven of the 44 included studies [37, 44, 45, 49, 57, 63, 71]. Purpose and data scope are jointly present in the decision by design in fewer still, in Albalwy et al. [37], Eneh et al. [44], Tith et al. [71] and the supporting study [45]. Contextual constraints such as jurisdiction appear only as a rule field in Eneh et al. [44].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It is the absence of purpose-of-use and data-scope constraints that are carried by the consent object C itself and evaluated together with the identity, authority and multi-party conditions, with evidence that requests outside the authorised scope are refused. Table 6 presents a summary of the four analysed studies of stream 4 and their commitment to the key requirements.</w:t>
      </w:r>
    </w:p>
    <w:p>
      <w:pPr>
        <w:spacing w:after="140" w:line="300"/>
        <w:jc w:val="both"/>
      </w:pPr>
      <w:r>
        <w:rPr>
          <w:rFonts w:ascii="Cambria" w:cs="Cambria" w:eastAsia="Cambria" w:hAnsi="Cambria"/>
          <w:color w:val="0000CC"/>
          <w:sz w:val="24"/>
          <w:szCs w:val="24"/>
        </w:rPr>
        <w:t xml:space="preserve">Supporting evidence. One further included study of stream 4 was coded but is not discussed individually. The quantum-safe attribute-based access control scheme of Ghosh et al. </w:t>
      </w:r>
      <w:r>
        <w:rPr>
          <w:rFonts w:ascii="Cambria" w:cs="Cambria" w:eastAsia="Cambria" w:hAnsi="Cambria"/>
          <w:color w:val="E6007E"/>
          <w:sz w:val="24"/>
          <w:szCs w:val="24"/>
        </w:rPr>
        <w:t xml:space="preserve">[46] corroborates the finding that an attribute policy can operate inside the access decision and be enforced cryptographically, with attribute revocation checked at every access. It also confirms the residual deficit. The policy carries no purpose-of-use or data-scope term, one fully trusted authority issues and verifies both identity and authority, and the security analysis is argued without a theorem or tool.</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2.4.5  Temporal Validity and Consent Lifecycle</w:t>
      </w:r>
    </w:p>
    <w:p>
      <w:pPr>
        <w:spacing w:after="140" w:line="300"/>
        <w:jc w:val="both"/>
      </w:pPr>
      <w:r>
        <w:rPr>
          <w:rFonts w:ascii="Cambria" w:cs="Cambria" w:eastAsia="Cambria" w:hAnsi="Cambria"/>
          <w:color w:val="0000CC"/>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This section reviews the four analysed studies of stream 5, namely Eneh et al. [44], Li et al. [51], Panagoulias et al. [57] and Hema et al. [64], and draws on the lifecycle evidence recorded for the analysed studies of the other streams.</w:t>
      </w:r>
    </w:p>
    <w:p>
      <w:pPr>
        <w:spacing w:after="140" w:line="300"/>
        <w:jc w:val="both"/>
      </w:pPr>
      <w:r>
        <w:rPr>
          <w:rFonts w:ascii="Cambria" w:cs="Cambria" w:eastAsia="Cambria" w:hAnsi="Cambria"/>
          <w:color w:val="0000CC"/>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w:t>
      </w:r>
      <w:r>
        <w:rPr>
          <w:rFonts w:ascii="Cambria" w:cs="Cambria" w:eastAsia="Cambria" w:hAnsi="Cambria"/>
          <w:color w:val="E6007E"/>
          <w:sz w:val="24"/>
          <w:szCs w:val="24"/>
        </w:rPr>
        <w:t xml:space="preserve">The lifecycle is nevertheless limited to an active flag and the temporal bounds, without pending, suspended or renewed states. Identity is a wallet address with an attribute registry whose issuance governance is unspecified, and a single patient authors the rules. There is no threat model. The evaluation is a two-page demonstration on a local network with gas measurements and an integration test suite.</w:t>
      </w:r>
      <w:r>
        <w:rPr>
          <w:rFonts w:ascii="Cambria" w:cs="Cambria" w:eastAsia="Cambria" w:hAnsi="Cambria"/>
          <w:color w:val="0000CC"/>
          <w:sz w:val="24"/>
          <w:szCs w:val="24"/>
        </w:rPr>
        <w:t xml:space="preserve"> Hema et al. </w:t>
      </w:r>
      <w:r>
        <w:rPr>
          <w:rFonts w:ascii="Cambria" w:cs="Cambria" w:eastAsia="Cambria" w:hAnsi="Cambria"/>
          <w:color w:val="E6007E"/>
          <w:sz w:val="24"/>
          <w:szCs w:val="24"/>
        </w:rPr>
        <w:t xml:space="preserve">[64] took a different route in a patient-centric cryptographic protection scheme for cloud EHRs. In this scheme the patient's signed consent token, the requester role and the expiry time are inputs to the key derivation function. Once the expiry has passed, the decryption key cannot be reconstructed, and revocation likewise causes derivation to fail without re-encryption.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Therefore, the expiry is enforced by the key derivation itself rather than by a check inside the decision, and authority is separated from identity through role-scoped keys.</w:t>
      </w:r>
      <w:r>
        <w:rPr>
          <w:rFonts w:ascii="Cambria" w:cs="Cambria" w:eastAsia="Cambria" w:hAnsi="Cambria"/>
          <w:color w:val="0000CC"/>
          <w:sz w:val="24"/>
          <w:szCs w:val="24"/>
        </w:rPr>
        <w:t xml:space="preserve"> However, there is no lifecycle state machine, the consent is issued by a single patient key, identity relies on a commercial authentication service without credentials, the security argument is an adversary model with a probabilistic statement rather than a proof, and only operation latency is measured. Panagoulias et al. [57] proposed a blockchain-enabled governance overlay for clinical artificial intelligence pipelines in which a formal policy object carries identifiers, roles, purposes, a validity window and a revoked flag with a version number, and access is allowed only if the policy is valid at time t and the role and purpose conditions hold. Revocation is enforced mid-stream at decision time and is verified through a consent-drift metric over 43,500 simulated attempts across nine scenarios, with denials recorded as ledger events. The temporal conjunct is implemented but interval-bound denials are not separately exercised, the lifecycle is a binary active or revoked state, the ledger is a single-node hash chain without consensus, identity is inherited from an existing clinical identity provider, and the authors explicitly declare that no formal verification was performed.</w:t>
      </w:r>
    </w:p>
    <w:p>
      <w:pPr>
        <w:spacing w:after="140" w:line="300"/>
        <w:jc w:val="both"/>
      </w:pPr>
      <w:r>
        <w:rPr>
          <w:rFonts w:ascii="Cambria" w:cs="Cambria" w:eastAsia="Cambria" w:hAnsi="Cambria"/>
          <w:color w:val="0000CC"/>
          <w:sz w:val="24"/>
          <w:szCs w:val="24"/>
        </w:rPr>
        <w:t xml:space="preserve">The fourth analysed study illustrates a pattern that the coding panel describes as displacement, in which time is enforced on an artefact issued to the requester rather than on the consent itself. Li et al. </w:t>
      </w:r>
      <w:r>
        <w:rPr>
          <w:rFonts w:ascii="Cambria" w:cs="Cambria" w:eastAsia="Cambria" w:hAnsi="Cambria"/>
          <w:color w:val="E6007E"/>
          <w:sz w:val="24"/>
          <w:szCs w:val="24"/>
        </w:rPr>
        <w:t xml:space="preserve">[51] presented a hybrid role-based and smart-contract scheme with attribute-based authorisation for IoMT records. The expiry of a signed credential is compared with the current time at every sharing interaction, and a grant ledger records authorisations. The credential window is therefore enforced. However, the consent or authorisation object itself carries no enforced validity window, and there is no consent state machine.</w:t>
      </w:r>
      <w:r>
        <w:rPr>
          <w:rFonts w:ascii="Cambria" w:cs="Cambria" w:eastAsia="Cambria" w:hAnsi="Cambria"/>
          <w:color w:val="0000CC"/>
          <w:sz w:val="24"/>
          <w:szCs w:val="24"/>
        </w:rPr>
        <w:t xml:space="preserve"> The same displacement is observed in the short-lived tokens of Tseng et al. [73] in stream 2, whose expiry is checked by the token validator while revocation of the access-control list does not invalidate tokens already issued. In both cases the enforced time belongs to a credential or a token, and the consent object is left without a validity interval of its own.</w:t>
      </w:r>
    </w:p>
    <w:p>
      <w:pPr>
        <w:spacing w:after="140" w:line="300"/>
        <w:jc w:val="both"/>
      </w:pPr>
      <w:r>
        <w:rPr>
          <w:rFonts w:ascii="Cambria" w:cs="Cambria" w:eastAsia="Cambria" w:hAnsi="Cambria"/>
          <w:color w:val="0000CC"/>
          <w:sz w:val="24"/>
          <w:szCs w:val="24"/>
        </w:rPr>
        <w:t xml:space="preserve">Across the 44 included studies, T5 is coded Yes in 10 and T6 in 11, while Req 5, which requires enforcement in the decision, is Yes in 8; among the 25 analysed studies the corresponding counts are 8, 7 and 8, so that every study coded Yes on Req 5 belongs to the analysed set. The distinction between recorded and enforced time explains most of the Partial codes. Albalwy et al. [37], for example, store a struct timestamp in the consent record and apply time only to the download link, so that the consent tuple itself has no validity interval. A parallel distinction separates named state machines from ad hoc revocation flags. Named states with constrained transitions appear in Phuyal et al. [58] (active and revoked with an audited emergency override), Wu et al. [75] (approved, pending, completed and revoked with investigator-verified transitions) and Punia et al. [61], although in the last case the states belong to policies and tokens rather than to the consent. By contrast, Abbasi et al. [35] enforce a role status without consent states, and even Madine et al. [53], with four transitions that affect the decision, define no named state set. Where revocation is enforced at scheme level, as in the immediate ciphertext update of Mei et al. [55], its cost is measured but its effect on a revoked requester is not exercised; among the analysed studies a post-revocation denial is actually demonstrated only by Phuyal et al. [58], Panagoulias et al. [57] and Eneh et al. [44]. In this context, the residual deficit for Req 5 is not the absence of decision-time temporal enforcement, which Eneh et al. [44], Hema et al. [64] and Panagoulias et al. [57] each achieve in isolation. </w:t>
      </w:r>
      <w:r>
        <w:rPr>
          <w:rFonts w:ascii="Cambria" w:cs="Cambria" w:eastAsia="Cambria" w:hAnsi="Cambria"/>
          <w:color w:val="E6007E"/>
          <w:sz w:val="24"/>
          <w:szCs w:val="24"/>
        </w:rPr>
        <w:t xml:space="preserve">It is the absence of verified temporal and lifecycle enforcement at the level of the consent object in a deployed multi-institution exchange. In addition, the three stream-5 systems which enforce time inside the decision are all single-party. Of the eight analysed studies coded Yes on Req 5, including the multi-party designs of Madine et al. [53] and Punia et al. [61], only the encryption scheme of Mei et al. [55] carries a formal proof. That proof concerns the static encryption predicate rather than the consent decision.</w:t>
      </w:r>
      <w:r>
        <w:rPr>
          <w:rFonts w:ascii="Cambria" w:cs="Cambria" w:eastAsia="Cambria" w:hAnsi="Cambria"/>
          <w:color w:val="0000CC"/>
          <w:sz w:val="24"/>
          <w:szCs w:val="24"/>
        </w:rPr>
        <w:t xml:space="preserve"> Table 7 presents a summary of the analysed stream-5 studies and their commitment to the key requirements.</w:t>
      </w:r>
    </w:p>
    <w:p>
      <w:pPr>
        <w:spacing w:after="140" w:line="300"/>
        <w:jc w:val="both"/>
      </w:pPr>
      <w:r>
        <w:rPr>
          <w:rFonts w:ascii="Cambria" w:cs="Cambria" w:eastAsia="Cambria" w:hAnsi="Cambria"/>
          <w:color w:val="0000CC"/>
          <w:sz w:val="24"/>
          <w:szCs w:val="24"/>
        </w:rPr>
        <w:t xml:space="preserve">Supporting evidence. One further included study of stream 5 was coded but is not discussed individually. The revocable attribute-based encryption scheme of Xu et al. [77], organised in key epochs for hospital-to-hospital sharing, corroborates the displacement pattern, since revocation is realised by key rollover so that a revoked user retains access until the epoch ends, the word consent does not appear and keyword matching is a discovery mechanism rather than an approval. </w:t>
      </w:r>
      <w:r>
        <w:rPr>
          <w:rFonts w:ascii="Cambria" w:cs="Cambria" w:eastAsia="Cambria" w:hAnsi="Cambria"/>
          <w:color w:val="E6007E"/>
          <w:sz w:val="24"/>
          <w:szCs w:val="24"/>
        </w:rPr>
        <w:t xml:space="preserve">The distinction between recorded and enforced time is likewise corroborated by supporting studies of the other streams. In several of them a timestamp is stored, logged or used only as a replay window without being read by the decision [46], [60], [62], [78]. In others, automatic expiry is claimed without specifying where the clock is read [68], [70]. Outside the analysed set, a post-revocation denial is reported only in results captioned as illustrative [45] or in a single narrated scenario [68]. Named consent states gating the decision appear in one further supporting study [66].</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2.4.6  Formal Security Assurance and Empirical Validation</w:t>
      </w:r>
    </w:p>
    <w:p>
      <w:pPr>
        <w:spacing w:after="140" w:line="300"/>
        <w:jc w:val="both"/>
      </w:pPr>
      <w:r>
        <w:rPr>
          <w:rFonts w:ascii="Cambria" w:cs="Cambria" w:eastAsia="Cambria" w:hAnsi="Cambria"/>
          <w:color w:val="0000CC"/>
          <w:sz w:val="24"/>
          <w:szCs w:val="24"/>
        </w:rPr>
        <w:t xml:space="preserve">Req 6 has two components. The first is that the security properties of the authorisation mechanism are formally defined and demonstrated, through a security proof, a model, a verification tool or an explicit adversary model with a theorem; under the codebook, the statement that a system is secure is not evidence, and a threat discussion alone is coded Partial.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Stream 6 gathers the four analysed studies in which formal argument is a principal contribution, namely Zhao and Su [50], Maruthi and Singh [54], Mei et al. [55] and Wu and Zhang [76], all of them cryptographic constructions published in security and network journals.</w:t>
      </w:r>
    </w:p>
    <w:p>
      <w:pPr>
        <w:spacing w:after="140" w:line="300"/>
        <w:jc w:val="both"/>
      </w:pPr>
      <w:r>
        <w:rPr>
          <w:rFonts w:ascii="Cambria" w:cs="Cambria" w:eastAsia="Cambria" w:hAnsi="Cambria"/>
          <w:color w:val="0000CC"/>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authorisation is thereby cleanly separated from the DID challenge-response authentication.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This is the first complete formal assurance in the corpus. What is proven, however, concerns the identity and authority fragment only. </w:t>
      </w:r>
      <w:r>
        <w:rPr>
          <w:rFonts w:ascii="Cambria" w:cs="Cambria" w:eastAsia="Cambria" w:hAnsi="Cambria"/>
          <w:color w:val="E6007E"/>
          <w:sz w:val="24"/>
          <w:szCs w:val="24"/>
        </w:rPr>
        <w:t xml:space="preserve">There is no theorem of the form that access is granted only under stated conditions. The proofs cannot cover policy, temporal or lifecycle conjuncts because the system has none. Access is all-or-nothing per authorising owner, the only time values are index and document fields that no algorithm reads, and there is no revocation, withdrawal or state.</w:t>
      </w:r>
      <w:r>
        <w:rPr>
          <w:rFonts w:ascii="Cambria" w:cs="Cambria" w:eastAsia="Cambria" w:hAnsi="Cambria"/>
          <w:color w:val="0000CC"/>
          <w:sz w:val="24"/>
          <w:szCs w:val="24"/>
        </w:rPr>
        <w:t xml:space="preserve"> The term multi-party denotes several stakeholders whose privacy requirements are satisfied simultaneously, not several parties authorising one decision. The evaluation is a rigorous and reproducible performance study with a public repository, but without allow-and-deny tests, executed attacks or a dataset. </w:t>
      </w:r>
      <w:r>
        <w:rPr>
          <w:rFonts w:ascii="Cambria" w:cs="Cambria" w:eastAsia="Cambria" w:hAnsi="Cambria"/>
          <w:color w:val="E6007E"/>
          <w:sz w:val="24"/>
          <w:szCs w:val="24"/>
        </w:rPr>
        <w:t xml:space="preserve">Zhao and Su [50] proposed a threshold traceable delegation authorisation scheme in which the data owner delegates to l of d already-authorised users. Each of these users must run an authorisation algorithm bound to a private key before an out-of-policy requester can restore the data. Unforgeability below the threshold rests on the bilinear Diffie-Hellman assumption, and confidentiality is proven under an IND-CPA game with reduction.</w:t>
      </w:r>
      <w:r>
        <w:rPr>
          <w:rFonts w:ascii="Cambria" w:cs="Cambria" w:eastAsia="Cambria" w:hAnsi="Cambria"/>
          <w:color w:val="0000CC"/>
          <w:sz w:val="24"/>
          <w:szCs w:val="24"/>
        </w:rPr>
        <w:t xml:space="preserve"> The proof covers the threshold gate in isolation, the delegates are consumer-side clinicians rather than patient-side stakeholders, there is no time, expiry, revocation or state, and the Java benchmark measures performance only. </w:t>
      </w:r>
      <w:r>
        <w:rPr>
          <w:rFonts w:ascii="Cambria" w:cs="Cambria" w:eastAsia="Cambria" w:hAnsi="Cambria"/>
          <w:color w:val="E6007E"/>
          <w:sz w:val="24"/>
          <w:szCs w:val="24"/>
        </w:rPr>
        <w:t xml:space="preserve">Maruthi and Singh [54] addressed the unconscious patient with a threshold proxy re-encryption scheme. In this scheme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w:t>
      </w:r>
      <w:r>
        <w:rPr>
          <w:rFonts w:ascii="Cambria" w:cs="Cambria" w:eastAsia="Cambria" w:hAnsi="Cambria"/>
          <w:color w:val="0000CC"/>
          <w:sz w:val="24"/>
          <w:szCs w:val="24"/>
        </w:rPr>
        <w:t xml:space="preserve"> The collective mechanism is genuine and decision-time, but policy and temporal conditions are both absent, so the proof again covers a narrow predicate. Mei et al. </w:t>
      </w:r>
      <w:r>
        <w:rPr>
          <w:rFonts w:ascii="Cambria" w:cs="Cambria" w:eastAsia="Cambria" w:hAnsi="Cambria"/>
          <w:color w:val="E6007E"/>
          <w:sz w:val="24"/>
          <w:szCs w:val="24"/>
        </w:rPr>
        <w:t xml:space="preserve">[55] proposed a dual-revocation ciphertext-policy attribute-based encryption scheme for IoMT in which a direct mode terminates access immediately through a ciphertext update. The authors motivate this construction by patient consent withdrawal. The scheme offers user-level and attribute-level granularity and an IND-CPA reduction under the q-BDHE assumption. It has no audit element and no multi-party approval, and the proof concerns the static encryption predicate.</w:t>
      </w:r>
    </w:p>
    <w:p>
      <w:pPr>
        <w:spacing w:after="140" w:line="300"/>
        <w:jc w:val="both"/>
      </w:pPr>
      <w:r>
        <w:rPr>
          <w:rFonts w:ascii="Cambria" w:cs="Cambria" w:eastAsia="Cambria" w:hAnsi="Cambria"/>
          <w:color w:val="E6007E"/>
          <w:sz w:val="24"/>
          <w:szCs w:val="24"/>
        </w:rPr>
        <w:t xml:space="preserve">Two observations follow at corpus level. The first concerns formal assurance in the sense of the workbook's Req6. It is coded Yes in only 4 of the 25 analysed studies, all of them in this stream, and in 6 of the 44 included studies, the remaining two being supporting encryption schemes of this stream. In every case the proven property attaches to a narrow predicate. It is an identity-and-authority fragment in HealthDID [76], a threshold gate in Zhao and Su [50] and Maruthi and Singh [54], and a static attribute policy in the encryption scheme of Mei et al. [55]. By contrast,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Panagoulias et al. [57], whose decision is the best verified in the corpus, state that no formal method was applied. The coding panel records this as an inverse relation between predicate breadth and assurance strength, and the quadrant in which a broad conjunctive predicate is also formally assured is empty. Structured threat models in the STRIDE or LINDDUN style, as in Tan et al. [69], Phuyal et al. [59] and Panagoulias et al. [57], are useful, but they were coded Partial because they enumerate threats without demonstrating properties.</w:t>
      </w:r>
    </w:p>
    <w:p>
      <w:pPr>
        <w:spacing w:after="140" w:line="300"/>
        <w:jc w:val="both"/>
      </w:pPr>
      <w:r>
        <w:rPr>
          <w:rFonts w:ascii="Cambria" w:cs="Cambria" w:eastAsia="Cambria" w:hAnsi="Cambria"/>
          <w:color w:val="E6007E"/>
          <w:sz w:val="24"/>
          <w:szCs w:val="24"/>
        </w:rPr>
        <w:t xml:space="preserve">The second observation concerns empirical validation in the sense of the workbook's Req7. It is coded Yes in only 5 of the 44 included studies, Partial in 35 and No in 4. All five Yes codes fall within the analysed set, where the distribution is Yes in 5 of the 25, Partial in 19 and No in 1. In the large majority of the Partial cases, evaluation means throughput, latency, gas cost, block time or encryption timing. Abbasi et al. [35] measure hundreds to a thousand transactions per operation on a public test network with a published repository and a Synthea-generated dataset, but execute no allow-or-deny test. Punia et al. [61] instrument 100 transactions and describe, but do not run, the single denial scenario. The four cryptographic studies of this stream report benchmarks of their primitives without exercising a single denial. The coding panel describes this pattern as built and measured but never validated as an authorisation decision, and it is the dominant form of evidence in the corpus.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and Hagström et al. [47] show that age windows in a national portal are enforced in practice. No study executes an adversarial campaign against the authorisation decision itself. Where adversarial testing exists, it targets ledger integrity, as in Panagoulias et al. [57],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analysed stream-6 studies and their commitment to the key requirements.</w:t>
      </w:r>
    </w:p>
    <w:p>
      <w:pPr>
        <w:spacing w:after="140" w:line="300"/>
        <w:jc w:val="both"/>
      </w:pPr>
      <w:r>
        <w:rPr>
          <w:rFonts w:ascii="Cambria" w:cs="Cambria" w:eastAsia="Cambria" w:hAnsi="Cambria"/>
          <w:color w:val="0000CC"/>
          <w:sz w:val="24"/>
          <w:szCs w:val="24"/>
        </w:rPr>
        <w:t xml:space="preserve">Supporting evidence. Five further included studies of stream 6 were coded but are not discussed individually. The revocable attribute-based searchable encryption scheme of Gao et al. [48] and the bilateral proxy re-encryption scheme of Luo et al. [52] are the two remaining studies coded Yes on formal assurance among the 44 included studies, and they corroborate the first observation, since each proof concerns a static encryption predicate, the threshold among authorisation nodes in [48] is key-management resilience rather than approval and the bilateral matching in [52] is policy symmetry rather than co-approval. The private set intersection protocol of Cao et al. [40], the lightweight multi-authority CP-ABE scheme of Qiao et al. [62] and the policy-hiding encryption scheme of Zhang et al. [56] were coded Partial on formal assurance because their proofs do not reach the authorisation decision, and all five corroborate the second observation, since their evaluations are timing benchmarks or simulations without allow-and-deny or attack tests.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2.4.7  Comparative Analysis of Existing Approaches</w:t>
      </w:r>
    </w:p>
    <w:p>
      <w:pPr>
        <w:spacing w:after="140" w:line="300"/>
        <w:jc w:val="both"/>
      </w:pPr>
      <w:r>
        <w:rPr>
          <w:rFonts w:ascii="Cambria" w:cs="Cambria" w:eastAsia="Cambria" w:hAnsi="Cambria"/>
          <w:color w:val="E6007E"/>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They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These include the guardian and agency approvals of Madine et al. [53], the patient-appointed verifiers of Tan et al. [69], the delegated threshold of Zhao and Su [50], the institutional multi-signature of Punia et al. [61], the kin threshold of Maruthi and Singh [54] and the deployed guardian co-consent of Ekholm et al. [43]. Policy engines operate inside the decision in Punia et al. [61] and Román-Martínez et al. [63]. Temporal validity is enforced inside the decision by Eneh et al. [44], Hema et al. [64] and Madine et al. [53]. Formal proofs are given for the identity fragment of HealthDID [76] and for several threshold and encryption schemes. Verified allow-and-deny behaviour is reported by Panagoulias et al. [57] and Phuyal et al. [58].</w:t>
      </w:r>
    </w:p>
    <w:p>
      <w:pPr>
        <w:spacing w:after="140" w:line="300"/>
        <w:jc w:val="both"/>
      </w:pPr>
      <w:r>
        <w:rPr>
          <w:rFonts w:ascii="Cambria" w:cs="Cambria" w:eastAsia="Cambria" w:hAnsi="Cambria"/>
          <w:color w:val="E6007E"/>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provide no formal argument. The systems that provide multi-party approval carry no purpose or data-scope condition and no formal argument.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In that sense, the identity, authority, multi-party, policy and temporal conditions must hold together, and this conjunction must be both formally argued and empirically tested.</w:t>
      </w:r>
    </w:p>
    <w:p>
      <w:pPr>
        <w:spacing w:after="140" w:line="300"/>
        <w:jc w:val="both"/>
      </w:pPr>
      <w:r>
        <w:rPr>
          <w:rFonts w:ascii="Cambria" w:cs="Cambria" w:eastAsia="Cambria" w:hAnsi="Cambria"/>
          <w:color w:val="0000CC"/>
          <w:sz w:val="24"/>
          <w:szCs w:val="24"/>
        </w:rPr>
        <w:t xml:space="preserve">Table 9 summarises the position of the 25 analysed studies against the six key requirements and positions the proposed framework relative to the existing literature. The analysed studies are the 23 core studies ratified by the coding panel, that is, the studies whose coding narrows, weakens or contradicts one of the deficits of the gap statement or which carry a multi-party signal (T3 Yes or Partial), together with the two highest-quality supporting studies, Albalwy et al. [37] and Li et al. [51]. The 19 remaining supporting studies are cited in the supporting-evidence paragraphs of Sections 2.4.1 to 2.4.6 and are excluded from the matrix so that the comparison rests on the studies closest to the research problem.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CC"/>
          <w:sz w:val="21"/>
          <w:szCs w:val="21"/>
        </w:rPr>
        <w:t xml:space="preserve">Table 9: </w:t>
      </w:r>
      <w:r>
        <w:rPr>
          <w:rFonts w:ascii="Cambria" w:cs="Cambria" w:eastAsia="Cambria" w:hAnsi="Cambria"/>
          <w:color w:val="0000CC"/>
          <w:sz w:val="21"/>
          <w:szCs w:val="21"/>
        </w:rPr>
        <w:t xml:space="preserve">Comparison of the analysed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 Albalwy et al. (2021)</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 Li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0000CC"/>
          <w:sz w:val="24"/>
          <w:szCs w:val="24"/>
        </w:rPr>
        <w:t xml:space="preserve">The matrix supports four observations. </w:t>
      </w:r>
      <w:r>
        <w:rPr>
          <w:rFonts w:ascii="Cambria" w:cs="Cambria" w:eastAsia="Cambria" w:hAnsi="Cambria"/>
          <w:color w:val="E6007E"/>
          <w:sz w:val="24"/>
          <w:szCs w:val="24"/>
        </w:rPr>
        <w:t xml:space="preserve">First, counting only full satisfaction, Req 1 is met by 12 of the 25 analysed studies, Req 2 by 7, Req 3 by 6, Req 4 by 10, Req 5 by 8 and Req 6 by 9. No requirement is unaddressed. However, none is met by a majority of the analysed studies, and Req 1, at 12 of 25, comes closest.</w:t>
      </w:r>
      <w:r>
        <w:rPr>
          <w:rFonts w:ascii="Cambria" w:cs="Cambria" w:eastAsia="Cambria" w:hAnsi="Cambria"/>
          <w:color w:val="0000CC"/>
          <w:sz w:val="24"/>
          <w:szCs w:val="24"/>
        </w:rPr>
        <w:t xml:space="preserve"> Second, no study satisfies all six requirements together. The largest number of requirements fully satisfied by a single study is four, reached by Madine et al. [53] on Req 1, Req 2, Req 3 and Req 5 and by Panagoulias et al. [57] on Req 1, Req 4, Req 5 and Req 6; six studies (Abbasi, Al Amin, Hagström, Madine, Punia and Wu et al. [75]) carry no cross in any column, but each of them relies on Partial codes for at least two requirements, and five studies (Abbasi, Phuyal et al. [59], Soohoo, Tremper and Wu et al. [75]) fully satisfy no requirement at all. Third, the pairs of requirements that co-occur most often are Req 1 with Req 4 (seven studies: Albalwy, Eneh, Jaiman and Urovi, Panagoulias, Román-Martínez, Hema and Tith) and Req 4 with Req 5 (six studies: Eneh, Li, Mei, Panagoulias, Punia and Hema), which reflects the maturity of single-party consent objects with purpose and time conditions. By contrast, Req 2 and Req 4 never co-occur in full, Req 3 co-occurs with Req 4 only in Punia et al. [61], and Req 3 co-occurs with Req 6 only in the two cryptographic threshold schemes of Zhao and Su [50] and Maruthi and Singh [54], both of which have no policy or temporal enforcement. Two triples are the most frequent, each found in three studies: Req 1 with Req 4 and Req 5, in Eneh et al. [44], Panagoulias et al. [57] and Hema et al. [64], all of them single-party systems, and Req 1 with Req 4 and Req 6, in Albalwy et al. [37], Jaiman and Urovi [49] and Panagoulias et al. [57], all of them single-party systems whose Req 6 tick rests on empirical validation rather than a formal proof. </w:t>
      </w:r>
      <w:r>
        <w:rPr>
          <w:rFonts w:ascii="Cambria" w:cs="Cambria" w:eastAsia="Cambria" w:hAnsi="Cambria"/>
          <w:color w:val="E6007E"/>
          <w:sz w:val="24"/>
          <w:szCs w:val="24"/>
        </w:rPr>
        <w:t xml:space="preserve">The triples that include Req 3 are Req 1, Req 2 and Req 3 in Madine et al. [53], whose quadruple also yields Req 1 or Req 2 with Req 3 and Req 5, and in Tan et al. [69],</w:t>
      </w:r>
      <w:r>
        <w:rPr>
          <w:rFonts w:ascii="Cambria" w:cs="Cambria" w:eastAsia="Cambria" w:hAnsi="Cambria"/>
          <w:color w:val="0000CC"/>
          <w:sz w:val="24"/>
          <w:szCs w:val="24"/>
        </w:rPr>
        <w:t xml:space="preserve"> neither of which enforces purpose or data scope or provides a formal argument, and Req 3, Req 4 and Req 5 in Punia et al. [61], where the threshold lies outside the policy predicate and no purpose term exists. </w:t>
      </w:r>
      <w:r>
        <w:rPr>
          <w:rFonts w:ascii="Cambria" w:cs="Cambria" w:eastAsia="Cambria" w:hAnsi="Cambria"/>
          <w:color w:val="E6007E"/>
          <w:sz w:val="24"/>
          <w:szCs w:val="24"/>
        </w:rPr>
        <w:t xml:space="preserve">Fourth, the two quadruples among the analysed studies share only Req 1 and Req 5 and are otherwise complementary in exactly the way the gap predicts:</w:t>
      </w:r>
      <w:r>
        <w:rPr>
          <w:rFonts w:ascii="Cambria" w:cs="Cambria" w:eastAsia="Cambria" w:hAnsi="Cambria"/>
          <w:color w:val="0000CC"/>
          <w:sz w:val="24"/>
          <w:szCs w:val="24"/>
        </w:rPr>
        <w:t xml:space="preserve"> Madine et al. [53] combine multi-party approval with identity, consent representation and time but not with policy or assurance, while Panagoulias et al. [57] combine consent representation, policy, time and validation but not with multi-party approval or identity depth.</w:t>
      </w:r>
    </w:p>
    <w:p>
      <w:pPr>
        <w:spacing w:after="140" w:line="300"/>
        <w:jc w:val="both"/>
      </w:pPr>
      <w:r>
        <w:rPr>
          <w:rFonts w:ascii="Cambria" w:cs="Cambria" w:eastAsia="Cambria" w:hAnsi="Cambria"/>
          <w:color w:val="E6007E"/>
          <w:sz w:val="24"/>
          <w:szCs w:val="24"/>
        </w:rPr>
        <w:t xml:space="preserve">The comparison therefore indicates that the principal contribution of the proposed framework is not the replacement of existing technologies, each of which the literature has developed to a high standard in isolation. The contribution lies in establishing an explicit and verifiable relationship among them. In the proposed framework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No reviewed study occupies this integrated position, which is represented by the final row of Table 9. The next section states the resulting research gap requirement by requirement.</w:t>
      </w:r>
    </w:p>
    <w:p>
      <w:pPr>
        <w:pStyle w:val="Heading2"/>
        <w:spacing w:after="160" w:before="280"/>
      </w:pPr>
      <w:r>
        <w:rPr>
          <w:rFonts w:ascii="Cambria" w:cs="Cambria" w:eastAsia="Cambria" w:hAnsi="Cambria"/>
          <w:color w:val="0000CC"/>
          <w:sz w:val="24"/>
          <w:szCs w:val="24"/>
        </w:rPr>
        <w:t xml:space="preserve">2.5  Synthesis and Research Gap</w:t>
      </w:r>
    </w:p>
    <w:p>
      <w:pPr>
        <w:spacing w:after="140" w:line="300"/>
        <w:jc w:val="both"/>
      </w:pPr>
      <w:r>
        <w:rPr>
          <w:rFonts w:ascii="Cambria" w:cs="Cambria" w:eastAsia="Cambria" w:hAnsi="Cambria"/>
          <w:color w:val="E6007E"/>
          <w:sz w:val="24"/>
          <w:szCs w:val="24"/>
        </w:rPr>
        <w:t xml:space="preserve">This section synthesises the review of Section 2.4 against the six requirements defined in Section 2.2. It should be noted that the synthesis draws on the coding of all 44 included studies, whereas the in-depth discussion of Section 2.4 concentrated on the 25 analysed studies. The counts stated in this section therefore refer to the 44 included studies unless stated otherwise.</w:t>
      </w:r>
      <w:r>
        <w:rPr>
          <w:rFonts w:ascii="Cambria" w:cs="Cambria" w:eastAsia="Cambria" w:hAnsi="Cambria"/>
          <w:color w:val="0000CC"/>
          <w:sz w:val="24"/>
          <w:szCs w:val="24"/>
        </w:rPr>
        <w:t xml:space="preserve"> </w:t>
      </w:r>
      <w:r>
        <w:rPr>
          <w:rFonts w:ascii="Cambria" w:cs="Cambria" w:eastAsia="Cambria" w:hAnsi="Cambria"/>
          <w:color w:val="0000CC"/>
          <w:sz w:val="24"/>
          <w:szCs w:val="24"/>
        </w:rPr>
        <w:t xml:space="preserve">This section synthesises the review of the 44 primary studies presented in Section 2.4 against the six requirements defined in Section 2.2. Across the corpus, the requirement that is most often satisfied is the representation of consent as an evaluable authorisation object (Req 1), which 14 studies satisfy fully and 30 satisfy in part. Policy- and context-aware enforcement (Req 4) is satisfied fully by 13 studies, in part by 25 and not at all by 6, and temporal validity and lifecycle control (Req 5) is satisfied fully by 8 studies, in part by 26 and not at all by 10. Decentralised verification of identity and authority (Req 2) is satisfied fully by 7 studies and in part by 35, and only 2 studies describe no identity mechanism at all. Multi-party authorisation through a verifiable threshold (Req 3) is the least satisfied requirement: 6 studies satisfy it fully, 4 satisfy it in part and 34 do not address it. With respect to Req 6, formal security assurance of the authorisation decision is provided by 6 studies and argued informally by 17, while 21 studies offer no security analysis beyond assertion; empirical validation is complete in 5 studies, partial in 35 and absent in 4. It should be noted that these proportions are consistent with </w:t>
      </w:r>
      <w:r>
        <w:rPr>
          <w:rFonts w:ascii="Cambria" w:cs="Cambria" w:eastAsia="Cambria" w:hAnsi="Cambria"/>
          <w:color w:val="E6007E"/>
          <w:sz w:val="24"/>
          <w:szCs w:val="24"/>
        </w:rPr>
        <w:t xml:space="preserve">the signal prevalence in the wider full-text pool of 1,800 records described in Section 2.3.6, as recorded by the signal detectors of the screening workbook, in which only 8% of the records carry a multi-party signal,</w:t>
      </w:r>
      <w:r>
        <w:rPr>
          <w:rFonts w:ascii="Cambria" w:cs="Cambria" w:eastAsia="Cambria" w:hAnsi="Cambria"/>
          <w:color w:val="0000CC"/>
          <w:sz w:val="24"/>
          <w:szCs w:val="24"/>
        </w:rPr>
        <w:t xml:space="preserve">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E6007E"/>
          <w:sz w:val="24"/>
          <w:szCs w:val="24"/>
        </w:rPr>
        <w:t xml:space="preserve">It should be noted that the most important correction which the review makes to the framing of this research concerns multi-party authorisation.</w:t>
      </w:r>
      <w:r>
        <w:rPr>
          <w:rFonts w:ascii="Cambria" w:cs="Cambria" w:eastAsia="Cambria" w:hAnsi="Cambria"/>
          <w:color w:val="0000CC"/>
          <w:sz w:val="24"/>
          <w:szCs w:val="24"/>
        </w:rPr>
        <w:t xml:space="preserve"> An earlier version of this chapter, built on a smaller corpus, stated that multi-party authorisation of patient consent does not exist in the literature.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Ekholm et al. [43] and Hagström et al. </w:t>
      </w:r>
      <w:r>
        <w:rPr>
          <w:rFonts w:ascii="Cambria" w:cs="Cambria" w:eastAsia="Cambria" w:hAnsi="Cambria"/>
          <w:color w:val="E6007E"/>
          <w:sz w:val="24"/>
          <w:szCs w:val="24"/>
        </w:rPr>
        <w:t xml:space="preserve">[47] report deployed platforms in which all legal guardians must co-sign at consent registration. In [43] this occurs on a commercial research platform. In [47] it is a condition of guardian proxy access in national patient portals, which is gated also by a professional's capacity assessment and the minor's own consent. In both cases guardianship is verified against a population register. The co-consent is a validity condition of the registered consent and not a predicate evaluated on each subsequent access request.</w:t>
      </w:r>
      <w:r>
        <w:rPr>
          <w:rFonts w:ascii="Cambria" w:cs="Cambria" w:eastAsia="Cambria" w:hAnsi="Cambria"/>
          <w:color w:val="0000CC"/>
          <w:sz w:val="24"/>
          <w:szCs w:val="24"/>
        </w:rPr>
        <w:t xml:space="preserve"> In addition, Maruthi and Singh [54] distribute a threshold key among patient-designated relatives, and Abbasi et al. [35] among automated oracles, so that the threshold protects key custody rather than expressing an authorisation judgement. </w:t>
      </w:r>
      <w:r>
        <w:rPr>
          <w:rFonts w:ascii="Cambria" w:cs="Cambria" w:eastAsia="Cambria" w:hAnsi="Cambria"/>
          <w:color w:val="E6007E"/>
          <w:sz w:val="24"/>
          <w:szCs w:val="24"/>
        </w:rPr>
        <w:t xml:space="preserve">Therefore, multi-party approval exists in the reviewed literature in six forms: joint approval on a contingency path with key-share reconstruction, an institution-side admission gate, a consumer-side delegated threshold, a patient-appointed witness threshold, a custodial M-of-N around a policy engine, and a guardian co-consent at consent registration.</w:t>
      </w:r>
      <w:r>
        <w:rPr>
          <w:rFonts w:ascii="Cambria" w:cs="Cambria" w:eastAsia="Cambria" w:hAnsi="Cambria"/>
          <w:color w:val="0000CC"/>
          <w:sz w:val="24"/>
          <w:szCs w:val="24"/>
        </w:rPr>
        <w:t xml:space="preserve"> In no reviewed study is it a constitutive predicate that every access decision must satisfy together with the identity, policy and temporal conditions, and in no study is the approving set both defined by the patient and evaluated on every request.</w:t>
      </w:r>
    </w:p>
    <w:p>
      <w:pPr>
        <w:spacing w:after="140" w:line="300"/>
        <w:jc w:val="both"/>
      </w:pPr>
      <w:r>
        <w:rPr>
          <w:rFonts w:ascii="Cambria" w:cs="Cambria" w:eastAsia="Cambria" w:hAnsi="Cambria"/>
          <w:color w:val="0000CC"/>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In most other studies the time element is a stored timestamp [37, 71], an expiry field that the decision algorithm never reads [58], a session or token lifetime rather than a consent validity window [73, 67, 51], or a claimed auto-expiry with no enforcement locus [68, 70]. </w:t>
      </w:r>
      <w:r>
        <w:rPr>
          <w:rFonts w:ascii="Cambria" w:cs="Cambria" w:eastAsia="Cambria" w:hAnsi="Cambria"/>
          <w:color w:val="E6007E"/>
          <w:sz w:val="24"/>
          <w:szCs w:val="24"/>
        </w:rPr>
        <w:t xml:space="preserve">Verified revocation with an observed denial is reported by Panagoulias et al. [57] and Phuyal et al. [58], in a demonstration by Eneh et al. [44], and in a single narrated scenario in [68]</w:t>
      </w:r>
      <w:r>
        <w:rPr>
          <w:rFonts w:ascii="Cambria" w:cs="Cambria" w:eastAsia="Cambria" w:hAnsi="Cambria"/>
          <w:color w:val="0000CC"/>
          <w:sz w:val="24"/>
          <w:szCs w:val="24"/>
        </w:rPr>
        <w:t xml:space="preserve">; elsewhere revocation is specified and its cost measured, but its effect on a subsequent request is not exercised [61, 62, 60]. The gap under Req 5 is therefore not the absence of temporal mechanisms but the enforcement, at the consent object itself and verified at decision time, of the validity interval, revocation and state transitions in a multi-institution exchange.</w:t>
      </w:r>
    </w:p>
    <w:p>
      <w:pPr>
        <w:spacing w:after="140" w:line="300"/>
        <w:jc w:val="both"/>
      </w:pPr>
      <w:r>
        <w:rPr>
          <w:rFonts w:ascii="Cambria" w:cs="Cambria" w:eastAsia="Cambria" w:hAnsi="Cambria"/>
          <w:color w:val="0000CC"/>
          <w:sz w:val="24"/>
          <w:szCs w:val="24"/>
        </w:rPr>
        <w:t xml:space="preserve">Formal assurance of the authorisation decision is almost absent, and where it exists it is narrow. The six studies with a formal proof, Wu and Zhang [76], Zhao and Su [50], Maruthi and Singh [54], Mei et al. [55], Gao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and report no outcome for the access-control function that they formalise. When the formal and empirical halves of Req 6 are combined, </w:t>
      </w:r>
      <w:r>
        <w:rPr>
          <w:rFonts w:ascii="Cambria" w:cs="Cambria" w:eastAsia="Cambria" w:hAnsi="Cambria"/>
          <w:color w:val="E6007E"/>
          <w:sz w:val="24"/>
          <w:szCs w:val="24"/>
        </w:rPr>
        <w:t xml:space="preserve">eleven of the 44 included studies would reach a tick in the combined Req 6 column, nine of them among the 25 analysed studies shown in the tables of Section 2.4</w:t>
      </w:r>
      <w:r>
        <w:rPr>
          <w:rFonts w:ascii="Cambria" w:cs="Cambria" w:eastAsia="Cambria" w:hAnsi="Cambria"/>
          <w:color w:val="0000CC"/>
          <w:sz w:val="24"/>
          <w:szCs w:val="24"/>
        </w:rPr>
        <w:t xml:space="preserve">, but no study combines a formal proof of its decision with a systematic empirical test of that decision.</w:t>
      </w:r>
    </w:p>
    <w:p>
      <w:pPr>
        <w:spacing w:after="140" w:line="300"/>
        <w:jc w:val="both"/>
      </w:pPr>
      <w:r>
        <w:rPr>
          <w:rFonts w:ascii="Cambria" w:cs="Cambria" w:eastAsia="Cambria" w:hAnsi="Cambria"/>
          <w:color w:val="E6007E"/>
          <w:sz w:val="24"/>
          <w:szCs w:val="24"/>
        </w:rPr>
        <w:t xml:space="preserve">Therefore, the review establishes two gaps rather than one. The first is a conjunction gap. Identity and authority verification, collective approval, purpose and data-scope policy, temporal validity and lifecycle control each exist in the literature, several of them in mature form, and a number of studies combine three or four of them in one design [58, 61, 45, 66, 57]. However, no study conjoins identity, authority, threshold, policy, temporal,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It is positioned on the conjunction of the conditions and on the assurance of that conjunction.</w:t>
      </w:r>
    </w:p>
    <w:p>
      <w:pPr>
        <w:pStyle w:val="Heading3"/>
        <w:spacing w:after="160" w:before="280"/>
      </w:pPr>
      <w:r>
        <w:rPr>
          <w:rFonts w:ascii="Cambria" w:cs="Cambria" w:eastAsia="Cambria" w:hAnsi="Cambria"/>
          <w:color w:val="0000CC"/>
          <w:sz w:val="24"/>
          <w:szCs w:val="24"/>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In the 30 studies coded as partial, the consent is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CC"/>
          <w:sz w:val="24"/>
          <w:szCs w:val="24"/>
        </w:rPr>
        <w:t xml:space="preserve">Gap 2 (Req 2): The clearest separations of identity from authority are found in Ekholm et al. [43] and Hagström et al. [47], where guardianship is verified against a national population register independently of the eID login, in Phuyal et al. [58], where a licensing-body credential asserts role and scope of practice separately from the wallet identity, in Wu and Zhang [76], where a zero-knowledge proof binds the owner's authorisation to a specific requester key, and in Tan et al. [69], Madine et al. [53] and Tseng et al. [73]. In the 35 studies coded as partial the identity is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CC"/>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w:t>
      </w:r>
      <w:r>
        <w:rPr>
          <w:rFonts w:ascii="Cambria" w:cs="Cambria" w:eastAsia="Cambria" w:hAnsi="Cambria"/>
          <w:color w:val="E6007E"/>
          <w:sz w:val="24"/>
          <w:szCs w:val="24"/>
        </w:rPr>
        <w:t xml:space="preserve">As set out above, the joint approval in these studies is limited in one of four ways. In some studies it is contingent on the absence of the patient [53, 69, 54], or it is reserved for particular request classes and bypassable in an emergency [61]. In others it is placed among consumer-side delegates or institution-side investigators rather than patient-side parties [50, 75], or it is applied at consent registration rather than at each access decision [43, 47, 38].</w:t>
      </w:r>
      <w:r>
        <w:rPr>
          <w:rFonts w:ascii="Cambria" w:cs="Cambria" w:eastAsia="Cambria" w:hAnsi="Cambria"/>
          <w:color w:val="0000CC"/>
          <w:sz w:val="24"/>
          <w:szCs w:val="24"/>
        </w:rPr>
        <w:t xml:space="preserve">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CC"/>
          <w:sz w:val="24"/>
          <w:szCs w:val="24"/>
        </w:rPr>
        <w:t xml:space="preserve">Gap 4 (Req 4): The strongest policy enforcement is found in Eneh et al. [44], whose on-chain rules evaluate purpose, data category, sensitivity, jurisdiction and action with deny-by-default, in Panagoulias et al. [57], who verify a purpose conjunct over thousands of requests, in Román-Martínez et al. [63], Tith et al. [71], Albalwy et al. [37] and Jaiman and Urovi [49], who evaluate purpose against the consent, in the key-derivation scheme of [64], which binds role and consent into the key, and in Punia et al. [61], whose attribute policy is evaluated in a conjunctive predicate. In the remaining studies the policy is bound to the requester's role or attributes or to the ciphertext rather than to what the patient authorised [46, 56, 78, 36], the purpose is captured for audit but not adjudicated [72, 73], or the policy is described but not enforced [39, 41, 59].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CC"/>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w:t>
      </w:r>
      <w:r>
        <w:rPr>
          <w:rFonts w:ascii="Cambria" w:cs="Cambria" w:eastAsia="Cambria" w:hAnsi="Cambria"/>
          <w:color w:val="E6007E"/>
          <w:sz w:val="24"/>
          <w:szCs w:val="24"/>
        </w:rPr>
        <w:t xml:space="preserve">However, the enforced window is usually attached to a token, a key or a credential rather than to the consent [73, 51, 77]. The stored expiry of the consent is not read by the decision [58], and revocation does not invalidate tokens already issued [73]. No study verifies expiry, revocation and state transition together at the consent level in a multi-institution exchange.</w:t>
      </w:r>
      <w:r>
        <w:rPr>
          <w:rFonts w:ascii="Cambria" w:cs="Cambria" w:eastAsia="Cambria" w:hAnsi="Cambria"/>
          <w:color w:val="0000CC"/>
          <w:sz w:val="24"/>
          <w:szCs w:val="24"/>
        </w:rPr>
        <w:t xml:space="preserv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CC"/>
          <w:sz w:val="24"/>
          <w:szCs w:val="24"/>
        </w:rPr>
        <w:t xml:space="preserve">Gap 6 (Req 6): Formal proofs are provided by Wu and Zhang [76], Zhao and Su [50], Maruthi and Singh [54], Mei et al. [55], Gao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No study provides both, and </w:t>
      </w:r>
      <w:r>
        <w:rPr>
          <w:rFonts w:ascii="Cambria" w:cs="Cambria" w:eastAsia="Cambria" w:hAnsi="Cambria"/>
          <w:color w:val="E6007E"/>
          <w:sz w:val="24"/>
          <w:szCs w:val="24"/>
        </w:rPr>
        <w:t xml:space="preserve">the studies with the broadest predicates [61, 53, 45, 66] provide neither a proof nor an ALLOW and DENY test of the decision, and Phuyal et al. [58], which does test both outcomes, provides no formal argument</w:t>
      </w:r>
      <w:r>
        <w:rPr>
          <w:rFonts w:ascii="Cambria" w:cs="Cambria" w:eastAsia="Cambria" w:hAnsi="Cambria"/>
          <w:color w:val="0000CC"/>
          <w:sz w:val="24"/>
          <w:szCs w:val="24"/>
        </w:rPr>
        <w:t xml:space="preserve">.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E6007E"/>
          <w:sz w:val="24"/>
          <w:szCs w:val="24"/>
        </w:rPr>
        <w:t xml:space="preserve">This is the rule enforced by the implemented Consent Engine. Every access request is evaluated over the complete tuple, where V T(C, t) additionally represents the temporal validity of the request instant and V L(C) the jurisdictional constraint. Both predicates are enforced in the implemented Consent Engine and are evaluated empirically in the later chapters of this report.</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color w:val="E6007E"/>
          <w:sz w:val="24"/>
          <w:szCs w:val="24"/>
        </w:rPr>
        <w:t xml:space="preserve">The present research therefore establishes the relationship between trust-centric consent modelling, decentralised identity and authority verification, multi-party authorisation, policy-aware access control and temporal and lifecycle trust, and subjects the resulting conjunction to formal security assurance and empirical validation, in accordance with RO1 to RO6. In this context, the principal research opportunity identified by the literature is not the development of another isolated blockchain consent mechanism or identity-management system. It is the construction of a coherent trust-oriented authorisation model in which the different security mechanisms contribute to a common and explainable authorisation decision. Trustworthy healthcare data sharing can then be evaluated according to whether the combined identity, authority, collective authorisation, policy, temporal and jurisdictional conditions required for access have been satisfied, and not simply according to whether a consent record exists.</w:t>
      </w:r>
      <w:r>
        <w:rPr>
          <w:rFonts w:ascii="Cambria" w:cs="Cambria" w:eastAsia="Cambria" w:hAnsi="Cambria"/>
          <w:color w:val="E6007E"/>
          <w:sz w:val="24"/>
          <w:szCs w:val="24"/>
        </w:rPr>
        <w:t xml:space="preserve"> trust-centric consent modelling, decentralised identity and authority verification, multi-party authorisation, policy-aware access control and temporal and lifecycle trust, and subjects the resulting conjunction to formal security assurance and empirical validation, in accordance with RO1 to RO6.</w:t>
      </w:r>
    </w:p>
    <w:p>
      <w:pPr>
        <w:spacing w:after="140" w:line="300"/>
        <w:jc w:val="both"/>
      </w:pPr>
      <w:r>
        <w:rPr>
          <w:rFonts w:ascii="Cambria" w:cs="Cambria" w:eastAsia="Cambria" w:hAnsi="Cambria"/>
          <w:sz w:val="24"/>
          <w:szCs w:val="24"/>
        </w:rPr>
        <w:t xml:space="preserve">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w:t>
      </w:r>
      <w:r>
        <w:rPr>
          <w:rFonts w:ascii="Cambria" w:cs="Cambria" w:eastAsia="Cambria" w:hAnsi="Cambria"/>
          <w:color w:val="E6007E"/>
          <w:sz w:val="24"/>
          <w:szCs w:val="24"/>
        </w:rPr>
        <w:t xml:space="preserve">according to whether the combined identity, authority, collective authorisation, policy, temporal and jurisdictional conditions required for access have been satisfied</w:t>
      </w:r>
      <w:r>
        <w:rPr>
          <w:rFonts w:ascii="Cambria" w:cs="Cambria" w:eastAsia="Cambria" w:hAnsi="Cambria"/>
          <w:sz w:val="24"/>
          <w:szCs w:val="24"/>
        </w:rPr>
        <w:t xml:space="preserve">.</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CC"/>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w:t>
      </w:r>
      <w:r>
        <w:rPr>
          <w:rFonts w:ascii="Cambria" w:cs="Cambria" w:eastAsia="Cambria" w:hAnsi="Cambria"/>
          <w:color w:val="E6007E"/>
          <w:sz w:val="24"/>
          <w:szCs w:val="24"/>
        </w:rPr>
        <w:t xml:space="preserve">Seven frozen database searches, supplemented by a Google Scholar discovery arm, identified 9,256 records,</w:t>
      </w:r>
      <w:r>
        <w:rPr>
          <w:rFonts w:ascii="Cambria" w:cs="Cambria" w:eastAsia="Cambria" w:hAnsi="Cambria"/>
          <w:color w:val="0000CC"/>
          <w:sz w:val="24"/>
          <w:szCs w:val="24"/>
        </w:rPr>
        <w:t xml:space="preserve"> of which 6,039 unique records were screened by title. After abstract screening, full-text assessment and quality appraisal, 44 primary studies published between 2020 and 2026 were retained, together with three secondary studies that were used as background only.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CC"/>
          <w:sz w:val="24"/>
          <w:szCs w:val="24"/>
        </w:rPr>
        <w:t xml:space="preserve">It should be noted that the review has limitations. The 588 pending-abstract records described in Section 2.3.6 were not screened, the full-text pool of 1,800 records was read in a prioritised order under the saturation rule rather than exhaustively, and the coding was performed by a single panel, so that a small number of relevant studies may have been missed. The consistency between the coding of the included studies and the signal prevalence of the wider pool, reported in Section 2.5, limits but does not remove this risk.</w:t>
      </w:r>
    </w:p>
    <w:p>
      <w:pPr>
        <w:spacing w:after="140" w:line="300"/>
        <w:jc w:val="both"/>
      </w:pPr>
      <w:r>
        <w:rPr>
          <w:rFonts w:ascii="Cambria" w:cs="Cambria" w:eastAsia="Cambria" w:hAnsi="Cambria"/>
          <w:color w:val="E6007E"/>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and temporal validity and revocation are enforced at decision time in a few. Identity and authority are separated most clearly where guardianship or professional licensing is verified against an external register or credential. Multi-party approval exists in six mechanism classes. The review also found that these conditions are not conjoined. Multi-party approval appears as joint approval on a contingency path with key-share reconstruction, an institution-side gate, a consumer-side delegated threshold, a patient-appointed witness threshold, a custodial M-of-N around a policy engine, or a guardian co-consent at consent registration, rather than as a standing condition of every access decision. The purpose and data-scope policy is never conjoined with multi-party approval. Temporal and lifecycle enforcement at the consent level is rarely verified.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CC"/>
          <w:sz w:val="24"/>
          <w:szCs w:val="24"/>
        </w:rPr>
        <w:t xml:space="preserve">These two gaps define the research undertaken in the remainder of this report. The conjunction gap motivates a consent object whose components, namely the participating identities, the guardian set G and the threshold N, the purpose and data scope, the validity interval, the jurisdiction, the lifecycle state and the evidence, are evaluated as separate predicates whose conjunction determines every access decision.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spacing w:after="140" w:line="300"/>
        <w:jc w:val="both"/>
      </w:pPr>
      <w:r>
        <w:rPr>
          <w:rFonts w:ascii="Cambria" w:cs="Cambria" w:eastAsia="Cambria" w:hAnsi="Cambria"/>
          <w:color w:val="0000CC"/>
          <w:sz w:val="24"/>
          <w:szCs w:val="24"/>
        </w:rPr>
        <w:t xml:space="preserve">Figure 5 summarises this synthesis, showing that each requirement is satisfied by some of the 44 studies while no study conjoins all six conditions in one assured access decision.</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of 44 primary studies presented in Chapter 2 (Section 2.5) indicates that substantial research</w:t>
      </w:r>
      <w:r>
        <w:rPr>
          <w:rFonts w:ascii="Cambria" w:cs="Cambria" w:eastAsia="Cambria" w:hAnsi="Cambria"/>
          <w:color w:val="E6007E"/>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Representative examples are the blockchain consent surveys of [1, 13], the DID and VC survey of [20], the attribute-based encryption scheme of [32], the access-control survey of [25] and the multi-party mechanisms of [53, 61, 69].</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E6007E"/>
          <w:sz w:val="24"/>
          <w:szCs w:val="24"/>
        </w:rPr>
        <w:t xml:space="preserve">They are commonly investigated as independent technical solutions. The few studies that coordinate several of them in one decision</w:t>
      </w:r>
      <w:r>
        <w:rPr>
          <w:rFonts w:ascii="Cambria" w:cs="Cambria" w:eastAsia="Cambria" w:hAnsi="Cambria"/>
          <w:color w:val="E6007E"/>
          <w:sz w:val="24"/>
          <w:szCs w:val="24"/>
        </w:rPr>
        <w:t xml:space="preserve">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as established in Section 2.5.</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E6007E"/>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color w:val="E6007E"/>
          <w:sz w:val="24"/>
          <w:szCs w:val="24"/>
        </w:rPr>
        <w:t xml:space="preserve">From a Trust Computing perspective, this leads to a more fundamental research problem. Trustworthy access should be understood as the outcome of several independent conditions that are each verified and that are all satisfied together. The relevant conditions are the legitimacy of the participating identities, the authority associated with those identities, the satisfaction of the required collective approval and the compliance of the requested operation with the policy defined by the consent. In this context, the research does not treat trust as a static attribute of a particular entity or technology. It treats trust as a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color w:val="E6007E"/>
          <w:sz w:val="24"/>
          <w:szCs w:val="24"/>
        </w:rPr>
        <w:t xml:space="preserve">The identified gap can therefore be stated as follows. Existing healthcare consent and access-control research provides many of the necessary technological building blocks. However, there remains a need for an authorisation framework in which the consent object carries identity, authority, threshold, policy, temporal, jurisdictional and lifecycle conditions. In this framework, multi-party approval must be a standing condition of every access decision, and the conjunction of these conditions must be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color w:val="0000CC"/>
          <w:sz w:val="24"/>
          <w:szCs w:val="24"/>
        </w:rPr>
        <w:t xml:space="preserve">In the terms of Section 2.5, these two requirements correspond to the conjunction gap and the assurance gap respectively. It should be noted that the approving set must be defined by the patient rather than by an institution, </w:t>
      </w:r>
      <w:r>
        <w:rPr>
          <w:rFonts w:ascii="Cambria" w:cs="Cambria" w:eastAsia="Cambria" w:hAnsi="Cambria"/>
          <w:color w:val="E6007E"/>
          <w:sz w:val="24"/>
          <w:szCs w:val="24"/>
        </w:rPr>
        <w:t xml:space="preserve">since in the reviewed studies the approving set is either defined on the institutional or delegate side [61, 50, 75] or, where it is appointed by the patient [69, 54], is evaluated only as a contingency path or as a key-custody threshold rather than on every access request.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E6007E"/>
          <w:sz w:val="24"/>
          <w:szCs w:val="24"/>
        </w:rPr>
        <w:t xml:space="preserve">Before the question is stated, the scope of the current stage should be noted. Temporal and lifecycle trust has been operationalised in the current</w:t>
      </w:r>
      <w:r>
        <w:rPr>
          <w:rFonts w:ascii="Cambria" w:cs="Cambria" w:eastAsia="Cambria" w:hAnsi="Cambria"/>
          <w:color w:val="000000"/>
          <w:sz w:val="24"/>
          <w:szCs w:val="24"/>
        </w:rPr>
        <w:t xml:space="preserve"> prototype, and empirical validation has been partially completed through automated and live negative testing. </w:t>
      </w:r>
      <w:r>
        <w:rPr>
          <w:rFonts w:ascii="Cambria" w:cs="Cambria" w:eastAsia="Cambria" w:hAnsi="Cambria"/>
          <w:color w:val="E6007E"/>
          <w:sz w:val="24"/>
          <w:szCs w:val="24"/>
        </w:rPr>
        <w:t xml:space="preserve">The formal component of security assurance therefore forms the remaining research scope and is developed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w:t>
      </w:r>
      <w:r>
        <w:rPr>
          <w:rFonts w:ascii="Cambria" w:cs="Cambria" w:eastAsia="Cambria" w:hAnsi="Cambria"/>
          <w:color w:val="E6007E"/>
          <w:sz w:val="24"/>
          <w:szCs w:val="24"/>
        </w:rPr>
        <w:t xml:space="preserve">are referred to as RQ1 to RQ6 in Chapter 4 and in the remaining chapters, except in Section 5.1, where the full label SRQ is retained in the mapping of each sub-research question to the MVC layers.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color w:val="E6007E"/>
          <w:sz w:val="24"/>
          <w:szCs w:val="24"/>
        </w:rPr>
        <w:t xml:space="preserve">This formulation changes the role of consent from a passive record into an evaluable authorisation object. The security significance of the consent is not determined merely by the existence of a consent record. It is determined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w:t>
      </w:r>
      <w:r>
        <w:rPr>
          <w:rFonts w:ascii="Cambria" w:cs="Cambria" w:eastAsia="Cambria" w:hAnsi="Cambria"/>
          <w:color w:val="E6007E"/>
          <w:sz w:val="24"/>
          <w:szCs w:val="24"/>
        </w:rPr>
        <w:t xml:space="preserve">denote the set of independently verified authorisation participants and let N denote the required authorisation threshold. In this context,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is the subset of the guardian set G whose approvals have been independently verified, so that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G and 1 ≤ N ≤ |G|.</w:t>
      </w:r>
      <w:r>
        <w:rPr>
          <w:rFonts w:ascii="Cambria" w:cs="Cambria" w:eastAsia="Cambria" w:hAnsi="Cambria"/>
          <w:sz w:val="24"/>
          <w:szCs w:val="24"/>
        </w:rPr>
        <w:t xml:space="preserve">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(5)</w:t>
      </w:r>
    </w:p>
    <w:p>
      <w:pPr>
        <w:spacing w:after="140" w:line="300"/>
        <w:jc w:val="both"/>
      </w:pPr>
      <w:r>
        <w:rPr>
          <w:rFonts w:ascii="Cambria" w:cs="Cambria" w:eastAsia="Cambria" w:hAnsi="Cambria"/>
          <w:color w:val="0000CC"/>
          <w:sz w:val="24"/>
          <w:szCs w:val="24"/>
        </w:rPr>
        <w:t xml:space="preserve">In the implemented framework, N is instantiated as |G|, the number of designated guardians, so that activation requires the approval of every listed guardian. Configurable k-of-n thresholds are identified as future work (Section 9.2), and the evaluated configuration is 2-of-2.</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color w:val="E6007E"/>
          <w:sz w:val="24"/>
          <w:szCs w:val="24"/>
        </w:rPr>
        <w:t xml:space="preserve">In this context, SRQ3 changes the interpretation of trust. Trust is no longer an assumption about a single trusted entity. It is a property that is established when several independently verified participants have jointly satisfied the authorisation requirement.</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color w:val="E6007E"/>
          <w:sz w:val="24"/>
          <w:szCs w:val="24"/>
        </w:rPr>
        <w:t xml:space="preserve">The consent object against which this predicate is evaluated is the six-component object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It should be noted that the question of SRQ1 and Equation (2) name four dimensions, namely identity, authority requirements, policy constraints and authorisation evidence, whereas the consent object contains six components.</w:t>
      </w:r>
      <w:r>
        <w:rPr>
          <w:rFonts w:ascii="Cambria" w:cs="Cambria" w:eastAsia="Cambria" w:hAnsi="Cambria"/>
          <w:color w:val="0000CC"/>
          <w:sz w:val="24"/>
          <w:szCs w:val="24"/>
        </w:rPr>
        <w:t xml:space="preserve"> The temporal component T and the jurisdictional </w:t>
      </w:r>
      <w:r>
        <w:rPr>
          <w:rFonts w:ascii="Cambria" w:cs="Cambria" w:eastAsia="Cambria" w:hAnsi="Cambria"/>
          <w:color w:val="E6007E"/>
          <w:sz w:val="24"/>
          <w:szCs w:val="24"/>
        </w:rPr>
        <w:t xml:space="preserve">component L are required by Gap 1 of Section 2.5.1 and were made explicit during implementation as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constraints of the policy dimension; the jurisdictional constraint is motivated by Gap 4 and the temporal constraint by Gap 5 of Section 2.5.1, and both are evaluated as the separate predicates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defined in Section 6.5</w:t>
      </w:r>
      <w:r>
        <w:rPr>
          <w:rFonts w:ascii="Cambria" w:cs="Cambria" w:eastAsia="Cambria" w:hAnsi="Cambria"/>
          <w:color w:val="0000CC"/>
          <w:sz w:val="24"/>
          <w:szCs w:val="24"/>
        </w:rPr>
        <w:t xml:space="preserve"> rather than as an additional sub-research question.</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For example, if a consent authorises access to the data scope S</w:t>
      </w:r>
      <w:r>
        <w:rPr>
          <w:rFonts w:ascii="Cambria" w:cs="Cambria" w:eastAsia="Cambria" w:hAnsi="Cambria"/>
          <w:color w:val="0000CC"/>
          <w:sz w:val="24"/>
          <w:szCs w:val="24"/>
          <w:vertAlign w:val="subscript"/>
        </w:rPr>
        <w:t xml:space="preserve">C</w:t>
      </w:r>
      <w:r>
        <w:rPr>
          <w:rFonts w:ascii="Cambria" w:cs="Cambria" w:eastAsia="Cambria" w:hAnsi="Cambria"/>
          <w:color w:val="0000CC"/>
          <w:sz w:val="24"/>
          <w:szCs w:val="24"/>
        </w:rPr>
        <w:t xml:space="preserve"> = {Observation, Medication} and the access request declares the scope</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color w:val="E6007E"/>
          <w:sz w:val="24"/>
          <w:szCs w:val="24"/>
        </w:rPr>
        <w:t xml:space="preserve">Therefore, trustworthy authorisation requires trusted participants and sufficient approvals, and in addition it requires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w:t>
      </w:r>
      <w:r>
        <w:rPr>
          <w:rFonts w:ascii="Cambria" w:cs="Cambria" w:eastAsia="Cambria" w:hAnsi="Cambria"/>
          <w:color w:val="E6007E"/>
          <w:sz w:val="24"/>
          <w:szCs w:val="24"/>
        </w:rPr>
        <w:t xml:space="preserve">It should also be noted that the symbol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is reserved for the</w:t>
      </w:r>
      <w:r>
        <w:rPr>
          <w:rFonts w:ascii="Cambria" w:cs="Cambria" w:eastAsia="Cambria" w:hAnsi="Cambria"/>
          <w:color w:val="000000"/>
          <w:sz w:val="24"/>
          <w:szCs w:val="24"/>
        </w:rPr>
        <w:t xml:space="preserve"> jurisdictional predicate, which corresponds to the component L of the consent object.</w:t>
      </w:r>
    </w:p>
    <w:p>
      <w:pPr>
        <w:spacing w:after="140" w:line="300"/>
        <w:jc w:val="both"/>
      </w:pPr>
      <w:r>
        <w:rPr>
          <w:rFonts w:ascii="Cambria" w:cs="Cambria" w:eastAsia="Cambria" w:hAnsi="Cambria"/>
          <w:color w:val="0000CC"/>
          <w:sz w:val="24"/>
          <w:szCs w:val="24"/>
        </w:rPr>
        <w:t xml:space="preserve">It should be noted that Section 6.4 also writes the data-scope condition of Equation (9) as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for this reason the lifecycle predicate is written with three arguments,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t, q), wherever the two could be confused.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w:t>
      </w:r>
      <w:r>
        <w:rPr>
          <w:rFonts w:ascii="Cambria" w:cs="Cambria" w:eastAsia="Cambria" w:hAnsi="Cambria"/>
          <w:color w:val="E6007E"/>
          <w:sz w:val="24"/>
          <w:szCs w:val="24"/>
        </w:rPr>
        <w:t xml:space="preserve">The purpose is to determine whether the prototype can execute valid consent workflows. In addition, the purpose is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color w:val="E6007E"/>
          <w:sz w:val="24"/>
          <w:szCs w:val="24"/>
        </w:rPr>
        <w:t xml:space="preserve">SRQ6 therefore represents the final assurance stage of the research programme. It connects formal security reasoning with evidence from the implementation. Together, these two forms of analysis provide evidence that the proposed framework is conceptually defined and that it can also enforce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color w:val="E6007E"/>
          <w:sz w:val="24"/>
          <w:szCs w:val="24"/>
        </w:rPr>
        <w:t xml:space="preserve">The six sub-research questions are not independent technical questions. They represent successive and interdependent trust conditions within a single healthcare data authorisation problem.</w:t>
      </w:r>
      <w:r>
        <w:rPr>
          <w:rFonts w:ascii="Cambria" w:cs="Cambria" w:eastAsia="Cambria" w:hAnsi="Cambria"/>
          <w:sz w:val="24"/>
          <w:szCs w:val="24"/>
        </w:rPr>
        <w:t xml:space="preserve">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(24)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(59)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color w:val="E6007E"/>
          <w:sz w:val="24"/>
          <w:szCs w:val="24"/>
        </w:rPr>
        <w:t xml:space="preserve">The research questions are ordered so that each one builds on the previous one. SRQ1 establishes the consent representation. SRQ2 establishes participant trust on that representation. SRQ3 uses trusted participants to establish collective authorisation, and SRQ4 adds policy enforcement to the resulting decision. SRQ5 adds temporal and lifecycle control over the decision, and SRQ6 provides security assurance and validation of the whole. In this way the questions connect the interaction of the participants with the authorisation checks that the system performs.</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color w:val="E6007E"/>
          <w:sz w:val="24"/>
          <w:szCs w:val="24"/>
        </w:rPr>
        <w:t xml:space="preserve">This progression provides a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 the proposed framework they are complementary mechanisms within a single trust-oriented authorisation model.</w:t>
      </w:r>
    </w:p>
    <w:p>
      <w:pPr>
        <w:spacing w:after="140" w:line="300"/>
        <w:jc w:val="both"/>
      </w:pPr>
      <w:r>
        <w:rPr>
          <w:rFonts w:ascii="Cambria" w:cs="Cambria" w:eastAsia="Cambria" w:hAnsi="Cambria"/>
          <w:color w:val="E6007E"/>
          <w:sz w:val="24"/>
          <w:szCs w:val="24"/>
        </w:rPr>
        <w:t xml:space="preserve">Accordingly, the contribution of the research is not simply the implementation of a blockchain-based consent prototype. The research investigates how multiple trust conditions can be represented explicitly, evaluated independently and enforced jointly in a decentralised healthcare data-sharing environment, and how the resulting decision can be reasoned about formally and validated empirically. The six research questions therefore define the integrated research problem together, and they correspond directly to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E6007E"/>
          <w:sz w:val="24"/>
          <w:szCs w:val="24"/>
        </w:rPr>
        <w:t xml:space="preserve">The third research objective is to develop a threshold-based multi-party authorisation mechanism through which multiple independently verified participants can jointly establish a trustworthy consent decision.</w:t>
      </w:r>
      <w:r>
        <w:rPr>
          <w:rFonts w:ascii="Cambria" w:cs="Cambria" w:eastAsia="Cambria" w:hAnsi="Cambria"/>
          <w:color w:val="000000"/>
          <w:sz w:val="24"/>
          <w:szCs w:val="24"/>
        </w:rPr>
        <w:t xml:space="preserve">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color w:val="E6007E"/>
          <w:sz w:val="24"/>
          <w:szCs w:val="24"/>
        </w:rPr>
        <w:t xml:space="preserve">In the implemented framework, the designated guardians are defined at consent creation, each EIP-712 approval is verified through signature recovery, and a valid signature is required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The fourth research objective is to develop a policy-aware authorisation mechanism that evaluates the purpose and data scope of a requested operation against the constraints defined by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E6007E"/>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r>
        <w:rPr>
          <w:rFonts w:ascii="Cambria" w:cs="Cambria" w:eastAsia="Cambria" w:hAnsi="Cambria"/>
          <w:color w:val="000000"/>
          <w:sz w:val="24"/>
          <w:szCs w:val="24"/>
        </w:rPr>
        <w:t xml:space="preserve">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t>
      </w:r>
      <w:r>
        <w:rPr>
          <w:rFonts w:ascii="Cambria" w:cs="Cambria" w:eastAsia="Cambria" w:hAnsi="Cambria"/>
          <w:color w:val="E6007E"/>
          <w:sz w:val="24"/>
          <w:szCs w:val="24"/>
        </w:rPr>
        <w:t xml:space="preserve">work therefore concerns hardening these controls and extending them to consent modification, delegation and guardian-set changes (Section 9.2), rather than introducing</w:t>
      </w:r>
      <w:r>
        <w:rPr>
          <w:rFonts w:ascii="Cambria" w:cs="Cambria" w:eastAsia="Cambria" w:hAnsi="Cambria"/>
          <w:color w:val="000000"/>
          <w:sz w:val="24"/>
          <w:szCs w:val="24"/>
        </w:rPr>
        <w:t xml:space="preserve"> them.</w:t>
      </w:r>
    </w:p>
    <w:p>
      <w:pPr>
        <w:spacing w:after="140" w:line="300"/>
        <w:jc w:val="both"/>
      </w:pPr>
      <w:r>
        <w:rPr>
          <w:rFonts w:ascii="Cambria" w:cs="Cambria" w:eastAsia="Cambria" w:hAnsi="Cambria"/>
          <w:color w:val="E6007E"/>
          <w:sz w:val="24"/>
          <w:szCs w:val="24"/>
        </w:rPr>
        <w:t xml:space="preserve">This objective has been substantially realised in the current implementation. In particular, the prototype enforces the temporal validity window at every access decision through the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records notBefore and expiry on-chain within the consent token, implements end-to-end revocation including an on-chain revoke transaction, and manages the consent through an explicit lifecycle state machine. The remaining work therefore concerns hardening these controls and extending them to consent modification, delegation and guardian-set changes (Section 9.2), rather than introducing them.</w:t>
      </w:r>
      <w:r>
        <w:rPr>
          <w:rFonts w:ascii="Cambria" w:cs="Cambria" w:eastAsia="Cambria" w:hAnsi="Cambria"/>
          <w:sz w:val="24"/>
          <w:szCs w:val="24"/>
        </w:rPr>
        <w:t xml:space="preserve">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t>
      </w:r>
      <w:r>
        <w:rPr>
          <w:rFonts w:ascii="Cambria" w:cs="Cambria" w:eastAsia="Cambria" w:hAnsi="Cambria"/>
          <w:color w:val="E6007E"/>
          <w:sz w:val="24"/>
          <w:szCs w:val="24"/>
        </w:rPr>
        <w:t xml:space="preserve">Whereas the current stage establishes whether an authorisation can be considered valid</w:t>
      </w:r>
      <w:r>
        <w:rPr>
          <w:rFonts w:ascii="Cambria" w:cs="Cambria" w:eastAsia="Cambria" w:hAnsi="Cambria"/>
          <w:sz w:val="24"/>
          <w:szCs w:val="24"/>
        </w:rPr>
        <w:t xml:space="preserve">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E6007E"/>
          <w:sz w:val="24"/>
          <w:szCs w:val="24"/>
        </w:rPr>
        <w:t xml:space="preserve">The empirical component of this objective has been partially delivered in the current stage, as reported in Section 7.6 and summarised later in this section. Consequently, the complete formal analysis, whether through proofs or model checking of the stated properties, remains the subject of the next stage of the research.</w:t>
      </w:r>
      <w:r>
        <w:rPr>
          <w:rFonts w:ascii="Cambria" w:cs="Cambria" w:eastAsia="Cambria" w:hAnsi="Cambria"/>
          <w:color w:val="000000"/>
          <w:sz w:val="24"/>
          <w:szCs w:val="24"/>
        </w:rPr>
        <w:t xml:space="preserve">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color w:val="E6007E"/>
          <w:sz w:val="24"/>
          <w:szCs w:val="24"/>
        </w:rPr>
        <w:t xml:space="preserve">RO6 addresses RQ6 and combines formal security assurance with empirical validation of the proposed framework. The formal component, which is planned for the next stage, will specify and analyse the security properties, consistency requirements and soundness conditions of the trust-oriented authorisation mechanism. The empirical component evaluates the implementation through representative consent workflows, negative and adversarial scenarios and testing of the HALAH prototype.</w:t>
      </w:r>
      <w:r>
        <w:rPr>
          <w:rFonts w:ascii="Cambria" w:cs="Cambria" w:eastAsia="Cambria" w:hAnsi="Cambria"/>
          <w:sz w:val="24"/>
          <w:szCs w:val="24"/>
        </w:rPr>
        <w:t xml:space="preserve">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E6007E"/>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color w:val="E6007E"/>
          <w:sz w:val="24"/>
          <w:szCs w:val="24"/>
        </w:rPr>
        <w:t xml:space="preserve">The objective is to establish that the prototype can execute valid consent workflows. In addition, the objective is to establish that the prototype behaves correctly when one or more trust conditions are violated.</w:t>
      </w:r>
      <w:r>
        <w:rPr>
          <w:rFonts w:ascii="Cambria" w:cs="Cambria" w:eastAsia="Cambria" w:hAnsi="Cambria"/>
          <w:sz w:val="24"/>
          <w:szCs w:val="24"/>
        </w:rPr>
        <w:t xml:space="preserve">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w:t>
      </w:r>
      <w:r>
        <w:rPr>
          <w:rFonts w:ascii="Cambria" w:cs="Cambria" w:eastAsia="Cambria" w:hAnsi="Cambria"/>
          <w:color w:val="E6007E"/>
          <w:sz w:val="24"/>
          <w:szCs w:val="24"/>
        </w:rPr>
        <w:t xml:space="preserve">together with the systematic performance study and the identified prototype hardening (Sections 7.6 and 9.2)</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Because each research question corresponds to one requirement of Section 2.2 and to one gap of Section 2.5.1, </w:t>
      </w:r>
      <w:r>
        <w:rPr>
          <w:rFonts w:ascii="Cambria" w:cs="Cambria" w:eastAsia="Cambria" w:hAnsi="Cambria"/>
          <w:color w:val="E6007E"/>
          <w:sz w:val="24"/>
          <w:szCs w:val="24"/>
        </w:rPr>
        <w:t xml:space="preserve">each objective also corresponds to the gap of the same number, so that RO1 addresses Gap 1,</w:t>
      </w:r>
      <w:r>
        <w:rPr>
          <w:rFonts w:ascii="Cambria" w:cs="Cambria" w:eastAsia="Cambria" w:hAnsi="Cambria"/>
          <w:color w:val="0000CC"/>
          <w:sz w:val="24"/>
          <w:szCs w:val="24"/>
        </w:rPr>
        <w:t xml:space="preserve"> RO2 addresses Gap 2, and so on to RO6 and Gap 6.</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satisfy the formally defined security properties and whether their security can be formally demonstrated, building on the empirical evidence already obtained.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color w:val="E6007E"/>
          <w:sz w:val="24"/>
          <w:szCs w:val="24"/>
        </w:rPr>
        <w:t xml:space="preserve">The overall research argument is that trustworthy patient consent should not be understood as a single technological artefact or as the outcome of a single access-control operation. It should be understood as a security decision that results from a set of independently verifiable conditions. The contribution of the research is therefore a trust-oriented authorisation framework through which these conditions can be represented, evaluated, enforced and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(25)</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E6007E"/>
          <w:sz w:val="24"/>
          <w:szCs w:val="24"/>
        </w:rPr>
        <w:t xml:space="preserve">MVC was selected in preference to a purely on-chain design for two reasons. First, the authorisation decision must combine the identity, threshold, policy, temporal and jurisdictional evaluation performed by the Controller with the anchoring of consent state on the blockchain. Second, the pattern allows each stakeholder interface to be replaced without altering the enforcement logic. This is necessary if the trust predicates are to be evaluated independently of any particular user interface.</w:t>
      </w:r>
      <w:r>
        <w:rPr>
          <w:rFonts w:ascii="Cambria" w:cs="Cambria" w:eastAsia="Cambria" w:hAnsi="Cambria"/>
          <w:color w:val="0000CC"/>
          <w:sz w:val="24"/>
          <w:szCs w:val="24"/>
        </w:rPr>
        <w:t xml:space="preserve">,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spacing w:after="140" w:line="300"/>
        <w:jc w:val="both"/>
      </w:pPr>
      <w:r>
        <w:rPr>
          <w:rFonts w:ascii="Cambria" w:cs="Cambria" w:eastAsia="Cambria" w:hAnsi="Cambria"/>
          <w:color w:val="E6007E"/>
          <w:sz w:val="24"/>
          <w:szCs w:val="24"/>
        </w:rPr>
        <w:t xml:space="preserve">The Controller layer additionally incorporates two implementation components. The first is a ZK Proof Service, which generates and verifies the Groth16 proof and feeds its result directly into the Authorisation Decision. The second is an On-chain Anchor Service, which performs the minting and revocation transactions asynchronously. The Model layer correspondingly contains the ConsentSBTv3 contract deployed on Sepolia together with the application audit ledger. A revocation path flows from the Patient interface through the Controller to both the ledger and the contract. In addition, an external independent verification tool, described in Section 6.8.9, reads from both the audit ledger and the Sepolia chain.</w:t>
      </w:r>
    </w:p>
    <w:p>
      <w:pPr>
        <w:spacing w:after="140" w:line="300"/>
        <w:jc w:val="both"/>
      </w:pPr>
      <w:r>
        <w:rPr>
          <w:rFonts w:ascii="Cambria" w:cs="Cambria" w:eastAsia="Cambria" w:hAnsi="Cambria"/>
          <w:color w:val="E6007E"/>
          <w:sz w:val="24"/>
          <w:szCs w:val="24"/>
        </w:rPr>
        <w:t xml:space="preserve">It should be acknowledged that, in the present prototype, credential verification consists of a structural check that each DID is well formed, and that the requester's role and jurisdiction are declared in the interface rather than authenticated. Wallet-held signing keys and authenticated verifiable credentials are deferred to the production design and are therefore identified as future work. Guardian approvals are nevertheless verified cryptographically in the prototype. Each approval is an EIP-712 typed-data signature bound to the consent identifier. Consequently,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E6007E"/>
          <w:sz w:val="24"/>
          <w:szCs w:val="24"/>
        </w:rPr>
        <w:t xml:space="preserve">In the implemented prototype the Controller layer comprises eight principal functions rather than the six functions of the conceptual model described below. The two additional functions are Cryptographic Proof Generation and Verification, which is realised through the Groth16 proving system, and On-chain Anchoring and State Synchronisation, which performs the Sepolia mint and revoke operations as a background process. The Controller row of Figure 7 reflects these eight functions.</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w:t>
      </w:r>
      <w:r>
        <w:rPr>
          <w:rFonts w:ascii="Cambria" w:cs="Cambria" w:eastAsia="Cambria" w:hAnsi="Cambria"/>
          <w:color w:val="E6007E"/>
          <w:sz w:val="24"/>
          <w:szCs w:val="24"/>
        </w:rPr>
        <w:t xml:space="preserve">The DID component represents decentralised identity information, and the VC component represents credential and authority evidence. The Consent component represents the structured patient authorisation object, the Approval component represents verified multi-party approval evidence, and the Policy component represents purpose and data-scope constraints. The Evidence component represents evidence generated throughout the authorisation process, and the Lifecycle component represents the current state of the consent object and its permissible transitions.</w:t>
      </w:r>
      <w:r>
        <w:rPr>
          <w:rFonts w:ascii="Cambria" w:cs="Cambria" w:eastAsia="Cambria" w:hAnsi="Cambria"/>
          <w:sz w:val="24"/>
          <w:szCs w:val="24"/>
        </w:rPr>
        <w:t xml:space="preserve">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w:t>
      </w:r>
      <w:r>
        <w:rPr>
          <w:rFonts w:ascii="Cambria" w:cs="Cambria" w:eastAsia="Cambria" w:hAnsi="Cambria"/>
          <w:color w:val="E6007E"/>
          <w:sz w:val="24"/>
          <w:szCs w:val="24"/>
        </w:rPr>
        <w:t xml:space="preserve">The relationship between the MVC components and the trust predicates introduced by SRQ1–SRQ5 is illustrated in Figure 8.</w:t>
      </w:r>
      <w:r>
        <w:rPr>
          <w:rFonts w:ascii="Cambria" w:cs="Cambria" w:eastAsia="Cambria" w:hAnsi="Cambria"/>
          <w:sz w:val="24"/>
          <w:szCs w:val="24"/>
        </w:rPr>
        <w:t xml:space="preserve">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(26).</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In Figure 8 the corresponding component is labelled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that is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(59)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(26).</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(27)</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w:t>
      </w:r>
      <w:r>
        <w:rPr>
          <w:rFonts w:ascii="Cambria" w:cs="Cambria" w:eastAsia="Cambria" w:hAnsi="Cambria"/>
          <w:color w:val="E6007E"/>
          <w:sz w:val="24"/>
          <w:szCs w:val="24"/>
        </w:rPr>
        <w:t xml:space="preserve">This ensures that the architecture supports accountability and subsequent verification in addition to access enforcement.</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w:t>
      </w:r>
      <w:r>
        <w:rPr>
          <w:rFonts w:ascii="Cambria" w:cs="Cambria" w:eastAsia="Cambria" w:hAnsi="Cambria"/>
          <w:color w:val="E6007E"/>
          <w:sz w:val="24"/>
          <w:szCs w:val="24"/>
        </w:rPr>
        <w:t xml:space="preserve">and the independent verification tool described in Section 6.8.9 provide</w:t>
      </w:r>
      <w:r>
        <w:rPr>
          <w:rFonts w:ascii="Cambria" w:cs="Cambria" w:eastAsia="Cambria" w:hAnsi="Cambria"/>
          <w:color w:val="0000CC"/>
          <w:sz w:val="24"/>
          <w:szCs w:val="24"/>
        </w:rPr>
        <w:t xml:space="preserv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w:t>
      </w:r>
      <w:r>
        <w:rPr>
          <w:rFonts w:ascii="Cambria" w:cs="Cambria" w:eastAsia="Cambria" w:hAnsi="Cambria"/>
          <w:color w:val="E6007E"/>
          <w:sz w:val="24"/>
          <w:szCs w:val="24"/>
        </w:rPr>
        <w:t xml:space="preserve">It should be noted that the framework explicitly separates identity authentication from 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(28)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(28)</w:t>
      </w:r>
    </w:p>
    <w:p>
      <w:pPr>
        <w:spacing w:after="140" w:line="300"/>
        <w:jc w:val="both"/>
      </w:pPr>
      <w:r>
        <w:rPr>
          <w:rFonts w:ascii="Cambria" w:cs="Cambria" w:eastAsia="Cambria" w:hAnsi="Cambria"/>
          <w:color w:val="E6007E"/>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color w:val="E6007E"/>
          <w:sz w:val="24"/>
          <w:szCs w:val="24"/>
        </w:rPr>
        <w:t xml:space="preserve">Figure 9 further shows the steps that follow the threshold check. Once all |G| guardians have signed and the N-of-N condition of Eq. (28) is satisfied, the consent token is minted in the local ledger, and a background job anchors the mint on Sepolia asynchronously. The temporal check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the jurisdictional check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are then evaluated before the Authorisation Decision. A Groth16 proof is generated and verified before access is granted, and the audit evidence is recorded. The flow then continues through patient-initiated revocation and the corresponding on-chain revoke transaction. Finally, the auditor reviews the record, and the verification tool of Section 6.8.9 performs an independent verification.</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w:t>
      </w:r>
      <w:r>
        <w:rPr>
          <w:rFonts w:ascii="Cambria" w:cs="Cambria" w:eastAsia="Cambria" w:hAnsi="Cambria"/>
          <w:color w:val="E6007E"/>
          <w:sz w:val="24"/>
          <w:szCs w:val="24"/>
        </w:rPr>
        <w:t xml:space="preserve">It should be noted that both successful and denied decisions should be recorded. A trustworthy authorisation framework requires accountability for the data that were released and also for the access attempts that were rejected.</w:t>
      </w:r>
      <w:r>
        <w:rPr>
          <w:rFonts w:ascii="Cambria" w:cs="Cambria" w:eastAsia="Cambria" w:hAnsi="Cambria"/>
          <w:sz w:val="24"/>
          <w:szCs w:val="24"/>
        </w:rPr>
        <w:t xml:space="preserve">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(30)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(26),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(32)</w:t>
      </w:r>
    </w:p>
    <w:p>
      <w:pPr>
        <w:spacing w:after="140" w:line="300"/>
        <w:jc w:val="both"/>
      </w:pPr>
      <w:r>
        <w:rPr>
          <w:rFonts w:ascii="Cambria" w:cs="Cambria" w:eastAsia="Cambria" w:hAnsi="Cambria"/>
          <w:color w:val="E6007E"/>
          <w:sz w:val="24"/>
          <w:szCs w:val="24"/>
        </w:rPr>
        <w:t xml:space="preserve">This mechanism differs from the reviewed systems. In those systems joint approval is a contingency path [53], a witness or notary threshold [69], a registration-time co-consent [43, 47], an institution-side admission gate [75], a custodial M-of-N signature [61] or a key-share reconstruction [35, 54]. In a single-owner model, the compromise, error or misuse of one privileged account may be sufficient to produce an authorisation decision. In the proposed framework, trust is instead distributed across multiple independently verified participants. A sensitive access decision becomes valid only when the defined collective authorisation condition has been satisfied.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(33)</w:t>
      </w:r>
    </w:p>
    <w:p>
      <w:pPr>
        <w:spacing w:after="140" w:line="300"/>
        <w:jc w:val="both"/>
      </w:pPr>
      <w:r>
        <w:rPr>
          <w:rFonts w:ascii="Cambria" w:cs="Cambria" w:eastAsia="Cambria" w:hAnsi="Cambria"/>
          <w:color w:val="0000CC"/>
          <w:sz w:val="24"/>
          <w:szCs w:val="24"/>
        </w:rPr>
        <w:t xml:space="preserve">It should be noted that the lifecycle state of the consent, State(C), is not an element of the tuple itself but is maintained by the Lifecycle component of the Model alongside C, and it is evaluated within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(C), as stated in Section 6.5.</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28],</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spacing w:after="140" w:line="300"/>
        <w:jc w:val="both"/>
      </w:pPr>
      <w:r>
        <w:rPr>
          <w:rFonts w:ascii="Cambria" w:cs="Cambria" w:eastAsia="Cambria" w:hAnsi="Cambria"/>
          <w:color w:val="E6007E"/>
          <w:sz w:val="24"/>
          <w:szCs w:val="24"/>
        </w:rPr>
        <w:t xml:space="preserve">The implemented prototype described in Section 6.8 realises the consent representation defined in this section in full, including temporal validity, expiration, on-chain revocation and an explicit lifecycle state machine. Formal verification of the associated security properties, however, remains a matter for future work.</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(36)</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(26)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E6007E"/>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(40),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(34)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where ID represents identity-verification evidence, </w:t>
      </w:r>
      <w:r>
        <w:rPr>
          <w:rFonts w:ascii="Cambria" w:cs="Cambria" w:eastAsia="Cambria" w:hAnsi="Cambria"/>
          <w:color w:val="E6007E"/>
          <w:sz w:val="24"/>
          <w:szCs w:val="24"/>
        </w:rPr>
        <w:t xml:space="preserve">Credential represents authority or role-verification evidence, Approval represents the verified multi-party approval state</w:t>
      </w:r>
      <w:r>
        <w:rPr>
          <w:rFonts w:ascii="Cambria" w:cs="Cambria" w:eastAsia="Cambria" w:hAnsi="Cambria"/>
          <w:sz w:val="24"/>
          <w:szCs w:val="24"/>
        </w:rPr>
        <w:t xml:space="preserve">, P olicy represents the result of policy evaluation, Decision represents the final access outcome, and Audit represents the associated event record. The resulting audit trail provides a stronger governance capability than a simple record of successful access. </w:t>
      </w:r>
      <w:r>
        <w:rPr>
          <w:rFonts w:ascii="Cambria" w:cs="Cambria" w:eastAsia="Cambria" w:hAnsi="Cambria"/>
          <w:color w:val="E6007E"/>
          <w:sz w:val="24"/>
          <w:szCs w:val="24"/>
        </w:rPr>
        <w:t xml:space="preserve">An auditor can examine whether access occurred. The auditor can also examine whether the requester possessed a valid identity, whether the required authorisation threshold was satisfied, whether the requested data complied with the authorised scope, and which conditions produced the final decision.</w:t>
      </w:r>
      <w:r>
        <w:rPr>
          <w:rFonts w:ascii="Cambria" w:cs="Cambria" w:eastAsia="Cambria" w:hAnsi="Cambria"/>
          <w:sz w:val="24"/>
          <w:szCs w:val="24"/>
        </w:rPr>
        <w:t xml:space="preserve">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E6007E"/>
          <w:sz w:val="24"/>
          <w:szCs w:val="24"/>
        </w:rPr>
        <w:t xml:space="preserve">The record ER is the per-request instance of the evidence component E of the consent object C. In the implementation it corresponds to the event rows of the audit ledger. For on-chain events these rows additionally carry the Sepolia transaction hash and block number, as described in Section 6.8.8.</w:t>
      </w:r>
    </w:p>
    <w:p>
      <w:pPr>
        <w:spacing w:after="140" w:line="300"/>
        <w:jc w:val="both"/>
      </w:pPr>
      <w:r>
        <w:rPr>
          <w:rFonts w:ascii="Cambria" w:cs="Cambria" w:eastAsia="Cambria" w:hAnsi="Cambria"/>
          <w:color w:val="E6007E"/>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are summarised in Table 12 together with the separation of interaction and enforcement established in Section 5.1.4. In Table 12, collective authorisation integrity is listed as multi-party authorisation integrity and decision accountability is listed as authorisation evidence.</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w:t>
      </w:r>
      <w:r>
        <w:rPr>
          <w:rFonts w:ascii="Cambria" w:cs="Cambria" w:eastAsia="Cambria" w:hAnsi="Cambria"/>
          <w:color w:val="E6007E"/>
          <w:sz w:val="24"/>
          <w:szCs w:val="24"/>
        </w:rPr>
        <w:t xml:space="preserve">It should be noted that the View does not determine whether an operation is authorised.</w:t>
      </w:r>
      <w:r>
        <w:rPr>
          <w:rFonts w:ascii="Cambria" w:cs="Cambria" w:eastAsia="Cambria" w:hAnsi="Cambria"/>
          <w:sz w:val="24"/>
          <w:szCs w:val="24"/>
        </w:rPr>
        <w:t xml:space="preserve">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E6007E"/>
          <w:sz w:val="24"/>
          <w:szCs w:val="24"/>
        </w:rPr>
        <w:t xml:space="preserve">The key innovation is not the evaluable consent object as such, which the literature provides [71, 37, 44, 58], but the conjunction in which the effectiveness of the consent depends on the joint satisfaction of identity, authority, collective approval, policy, temporal and jurisdictional conditions on every access decision, and the assurance of that conjunction.</w:t>
      </w:r>
      <w:r>
        <w:rPr>
          <w:rFonts w:ascii="Cambria" w:cs="Cambria" w:eastAsia="Cambria" w:hAnsi="Cambria"/>
          <w:sz w:val="24"/>
          <w:szCs w:val="24"/>
        </w:rPr>
        <w:t xml:space="preserve">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w:t>
      </w:r>
      <w:r>
        <w:rPr>
          <w:rFonts w:ascii="Cambria" w:cs="Cambria" w:eastAsia="Cambria" w:hAnsi="Cambria"/>
          <w:color w:val="E6007E"/>
          <w:sz w:val="24"/>
          <w:szCs w:val="24"/>
        </w:rPr>
        <w:t xml:space="preserve">stage will extend the assurance of the architecture rather than its mechanisms.</w:t>
      </w:r>
      <w:r>
        <w:rPr>
          <w:rFonts w:ascii="Cambria" w:cs="Cambria" w:eastAsia="Cambria" w:hAnsi="Cambria"/>
          <w:sz w:val="24"/>
          <w:szCs w:val="24"/>
        </w:rPr>
        <w:t xml:space="preserve">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(26) and enforced in the prototype.</w:t>
      </w:r>
      <w:r>
        <w:rPr>
          <w:rFonts w:ascii="Cambria" w:cs="Cambria" w:eastAsia="Cambria" w:hAnsi="Cambria"/>
          <w:sz w:val="24"/>
          <w:szCs w:val="24"/>
        </w:rPr>
        <w:t xml:space="preserve"> In addition, the complete decision model will be subjected to formal security analysis and broader empirical validation. </w:t>
      </w:r>
      <w:r>
        <w:rPr>
          <w:rFonts w:ascii="Cambria" w:cs="Cambria" w:eastAsia="Cambria" w:hAnsi="Cambria"/>
          <w:color w:val="E6007E"/>
          <w:sz w:val="24"/>
          <w:szCs w:val="24"/>
        </w:rPr>
        <w:t xml:space="preserve">Accordingly, the current stage architecture establishes the foundational security core of the research. The next stage will investigate whether this core can maintain trust dynamically over time beyond the lifecycle mechanisms already demonstrated in the prototype. It will also investigate whether the core can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CC"/>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(46)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E6007E"/>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idC are generated by the system. The evidence component is accumulated by the audit layer, the guardians' signatures and the blockchain as the consent progresses.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E6007E"/>
          <w:sz w:val="24"/>
          <w:szCs w:val="24"/>
        </w:rPr>
        <w:t xml:space="preserve">Step 6 also validates the declared jurisdiction L as a well-formed ISO alpha-2 territory code and binds it to the consent object, as described in Section 6.1.1, so that the subsequent jurisdictional check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w:t>
      </w:r>
      <w:r>
        <w:rPr>
          <w:rFonts w:ascii="Cambria" w:cs="Cambria" w:eastAsia="Cambria" w:hAnsi="Cambria"/>
          <w:color w:val="E6007E"/>
          <w:sz w:val="24"/>
          <w:szCs w:val="24"/>
        </w:rPr>
        <w:t xml:space="preserve">The identifier is not supplied by any participant. It is generated by the Consent Service as a universally unique identifier (UUID) when the patient submits the consent.</w:t>
      </w:r>
      <w:r>
        <w:rPr>
          <w:rFonts w:ascii="Cambria" w:cs="Cambria" w:eastAsia="Cambria" w:hAnsi="Cambria"/>
          <w:color w:val="000000"/>
          <w:sz w:val="24"/>
          <w:szCs w:val="24"/>
        </w:rPr>
        <w:t xml:space="preserve">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w:t>
      </w:r>
      <w:r>
        <w:rPr>
          <w:rFonts w:ascii="Cambria" w:cs="Cambria" w:eastAsia="Cambria" w:hAnsi="Cambria"/>
          <w:color w:val="E6007E"/>
          <w:sz w:val="24"/>
          <w:szCs w:val="24"/>
        </w:rPr>
        <w:t xml:space="preserve">The resulting object therefore records the patient’s preference together with the evidence required to support subsequent authorisation decisions.</w:t>
      </w:r>
      <w:r>
        <w:rPr>
          <w:rFonts w:ascii="Cambria" w:cs="Cambria" w:eastAsia="Cambria" w:hAnsi="Cambria"/>
          <w:sz w:val="24"/>
          <w:szCs w:val="24"/>
        </w:rPr>
        <w:t xml:space="preserve">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w:t>
      </w:r>
      <w:r>
        <w:rPr>
          <w:rFonts w:ascii="Cambria" w:cs="Cambria" w:eastAsia="Cambria" w:hAnsi="Cambria"/>
          <w:color w:val="E6007E"/>
          <w:sz w:val="24"/>
          <w:szCs w:val="24"/>
        </w:rPr>
        <w:t xml:space="preserve">Consequently, the resulting consent object is a structured authorisation artefact rather than a simple record of patient preference, and it provides the evidence required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color w:val="E6007E"/>
          <w:sz w:val="21"/>
          <w:szCs w:val="21"/>
        </w:rPr>
        <w:t xml:space="preserve">Validate jurisdiction L; 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(47)</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spacing w:after="140" w:line="300"/>
        <w:jc w:val="both"/>
      </w:pPr>
      <w:r>
        <w:rPr>
          <w:rFonts w:ascii="Cambria" w:cs="Cambria" w:eastAsia="Cambria" w:hAnsi="Cambria"/>
          <w:color w:val="0000CC"/>
          <w:sz w:val="24"/>
          <w:szCs w:val="24"/>
        </w:rPr>
        <w:t xml:space="preserve">Figure 12 presents this workflow.</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E6007E"/>
          <w:sz w:val="24"/>
          <w:szCs w:val="24"/>
        </w:rPr>
        <w:t xml:space="preserve">The condition VCvalid of Step 4 defines the target verification model rather than the behaviour presently exercised.</w:t>
      </w:r>
      <w:r>
        <w:rPr>
          <w:rFonts w:ascii="Cambria" w:cs="Cambria" w:eastAsia="Cambria" w:hAnsi="Cambria"/>
          <w:color w:val="000000"/>
          <w:sz w:val="24"/>
          <w:szCs w:val="24"/>
        </w:rPr>
        <w:t xml:space="preserve">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(49)</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E6007E"/>
          <w:sz w:val="24"/>
          <w:szCs w:val="24"/>
        </w:rPr>
        <w:t xml:space="preserve">The N-of-N configuration was adopted for the prototype for two reasons. First, it is the most conservative instantiation of the threshold condition, because no designated guardian can be bypassed. Second, it allows the mechanism to be demonstrated without the quorum-selection and key-management questions that a general k-of-n threshold introduces. A configurable k-of-n threshold is a direct generalisation of the implemented mechanism. It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E6007E"/>
          <w:sz w:val="24"/>
          <w:szCs w:val="24"/>
        </w:rPr>
        <w:t xml:space="preserve">In the HALAH implementation, the guardian's authority is evidenced by an EIP-712 typed-data signature. The signature is bound to the consent identifier, the guardian DID and the Sepolia chain identifier, and it is verified through off-chain signer recovery. The VC verification that precedes the signature is presently a DID-format check. In addition, the signing keys are derived deterministically from the guardian DIDs rather than held in wallets. It should be noted that this substitution is a limitation of the prototype.</w:t>
      </w:r>
    </w:p>
    <w:p>
      <w:pPr>
        <w:spacing w:after="140" w:line="300"/>
        <w:jc w:val="both"/>
      </w:pPr>
      <w:r>
        <w:rPr>
          <w:rFonts w:ascii="Cambria" w:cs="Cambria" w:eastAsia="Cambria" w:hAnsi="Cambria"/>
          <w:color w:val="0000CC"/>
          <w:sz w:val="24"/>
          <w:szCs w:val="24"/>
        </w:rPr>
        <w:t xml:space="preserve">Figure 13 presents the RO3 workflow.</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w:t>
      </w:r>
      <w:r>
        <w:rPr>
          <w:rFonts w:ascii="Cambria" w:cs="Cambria" w:eastAsia="Cambria" w:hAnsi="Cambria"/>
          <w:color w:val="E6007E"/>
          <w:sz w:val="24"/>
          <w:szCs w:val="24"/>
        </w:rPr>
        <w:t xml:space="preserve">Formally, no approval already contained in the valid approval set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may originate from participant u.</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w:t>
      </w:r>
      <w:r>
        <w:rPr>
          <w:rFonts w:ascii="Cambria" w:cs="Cambria" w:eastAsia="Cambria" w:hAnsi="Cambria"/>
          <w:color w:val="E6007E"/>
          <w:sz w:val="24"/>
          <w:szCs w:val="24"/>
        </w:rPr>
        <w:t xml:space="preserve">It should be noted that only approvals that have passed the identity, authority, membership and duplicate checks are included in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|A</w:t>
      </w:r>
      <w:r>
        <w:rPr>
          <w:rFonts w:ascii="Cambria Math" w:cs="Cambria Math" w:eastAsia="Cambria Math" w:hAnsi="Cambria Math"/>
          <w:i/>
          <w:iCs/>
          <w:color w:val="E6007E"/>
          <w:sz w:val="22"/>
          <w:szCs w:val="22"/>
          <w:vertAlign w:val="subscript"/>
        </w:rPr>
        <w:t xml:space="preserve">v</w:t>
      </w:r>
      <w:r>
        <w:rPr>
          <w:rFonts w:ascii="Cambria Math" w:cs="Cambria Math" w:eastAsia="Cambria Math" w:hAnsi="Cambria Math"/>
          <w:i/>
          <w:iCs/>
          <w:color w:val="E6007E"/>
          <w:sz w:val="22"/>
          <w:szCs w:val="22"/>
        </w:rPr>
        <w:t xml:space="preserve">| ≥ N → { ACTIVATED; PENDING }</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w:t>
      </w:r>
      <w:r>
        <w:rPr>
          <w:rFonts w:ascii="Cambria" w:cs="Cambria" w:eastAsia="Cambria" w:hAnsi="Cambria"/>
          <w:color w:val="E6007E"/>
          <w:sz w:val="24"/>
          <w:szCs w:val="24"/>
        </w:rPr>
        <w:t xml:space="preserve">|A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 Authorisation(C) = ACTIVATED.</w:t>
      </w:r>
      <w:r>
        <w:rPr>
          <w:rFonts w:ascii="Cambria" w:cs="Cambria" w:eastAsia="Cambria" w:hAnsi="Cambria"/>
          <w:sz w:val="24"/>
          <w:szCs w:val="24"/>
        </w:rPr>
        <w:t xml:space="preserve">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(51)</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E6007E"/>
          <w:sz w:val="21"/>
          <w:szCs w:val="21"/>
        </w:rPr>
        <w:t xml:space="preserve">Consent object C with identifier id</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interval (t</w:t>
      </w:r>
      <w:r>
        <w:rPr>
          <w:rFonts w:ascii="Cambria" w:cs="Cambria" w:eastAsia="Cambria" w:hAnsi="Cambria"/>
          <w:color w:val="E6007E"/>
          <w:sz w:val="21"/>
          <w:szCs w:val="21"/>
          <w:vertAlign w:val="subscript"/>
        </w:rPr>
        <w:t xml:space="preserve">s</w:t>
      </w:r>
      <w:r>
        <w:rPr>
          <w:rFonts w:ascii="Cambria" w:cs="Cambria" w:eastAsia="Cambria" w:hAnsi="Cambria"/>
          <w:color w:val="E6007E"/>
          <w:sz w:val="21"/>
          <w:szCs w:val="21"/>
        </w:rPr>
        <w:t xml:space="preserve">, t</w:t>
      </w:r>
      <w:r>
        <w:rPr>
          <w:rFonts w:ascii="Cambria" w:cs="Cambria" w:eastAsia="Cambria" w:hAnsi="Cambria"/>
          <w:color w:val="E6007E"/>
          <w:sz w:val="21"/>
          <w:szCs w:val="21"/>
          <w:vertAlign w:val="subscript"/>
        </w:rPr>
        <w:t xml:space="preserve">e</w:t>
      </w:r>
      <w:r>
        <w:rPr>
          <w:rFonts w:ascii="Cambria" w:cs="Cambria" w:eastAsia="Cambria" w:hAnsi="Cambria"/>
          <w:color w:val="E6007E"/>
          <w:sz w:val="21"/>
          <w:szCs w:val="21"/>
        </w:rPr>
        <w:t xml:space="preserve">) and jurisdiction L; patient and requester addresses addr</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addr</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EIP-712 domain; approval a = (g, sig</w:t>
      </w:r>
      <w:r>
        <w:rPr>
          <w:rFonts w:ascii="Cambria" w:cs="Cambria" w:eastAsia="Cambria" w:hAnsi="Cambria"/>
          <w:color w:val="E6007E"/>
          <w:sz w:val="21"/>
          <w:szCs w:val="21"/>
          <w:vertAlign w:val="subscript"/>
        </w:rPr>
        <w:t xml:space="preserve">a</w:t>
      </w:r>
      <w:r>
        <w:rPr>
          <w:rFonts w:ascii="Cambria" w:cs="Cambria" w:eastAsia="Cambria" w:hAnsi="Cambria"/>
          <w:color w:val="E6007E"/>
          <w:sz w:val="21"/>
          <w:szCs w:val="21"/>
        </w:rPr>
        <w:t xml:space="preserve">) submitted by guardian g; threshold N = |G|</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E6007E"/>
          <w:sz w:val="21"/>
          <w:szCs w:val="21"/>
        </w:rPr>
        <w:t xml:space="preserve">Verify identity and authority of g (Algorithm 2; structural DID check in the prototype)</w:t>
      </w:r>
    </w:p>
    <w:p>
      <w:pPr>
        <w:spacing w:after="20"/>
        <w:ind w:left="240"/>
      </w:pPr>
      <w:r>
        <w:rPr>
          <w:rFonts w:ascii="Cambria" w:cs="Cambria" w:eastAsia="Cambria" w:hAnsi="Cambria"/>
          <w:color w:val="000000"/>
          <w:sz w:val="18"/>
          <w:szCs w:val="18"/>
        </w:rPr>
        <w:t xml:space="preserve">4: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5: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14: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w:t>
      </w:r>
      <w:r>
        <w:rPr>
          <w:rFonts w:ascii="Cambria" w:cs="Cambria" w:eastAsia="Cambria" w:hAnsi="Cambria"/>
          <w:color w:val="E6007E"/>
          <w:sz w:val="21"/>
          <w:szCs w:val="21"/>
        </w:rPr>
        <w:t xml:space="preserve">P</w:t>
      </w:r>
      <w:r>
        <w:rPr>
          <w:rFonts w:ascii="Cambria" w:cs="Cambria" w:eastAsia="Cambria" w:hAnsi="Cambria"/>
          <w:color w:val="E6007E"/>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w:t>
      </w:r>
      <w:r>
        <w:rPr>
          <w:rFonts w:ascii="Cambria" w:cs="Cambria" w:eastAsia="Cambria" w:hAnsi="Cambria"/>
          <w:color w:val="E6007E"/>
          <w:sz w:val="21"/>
          <w:szCs w:val="21"/>
        </w:rPr>
        <w:t xml:space="preserve">the contract stores keccak256(P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w:t>
      </w:r>
      <w:r>
        <w:rPr>
          <w:rFonts w:ascii="Cambria" w:cs="Cambria" w:eastAsia="Cambria" w:hAnsi="Cambria"/>
          <w:color w:val="000000"/>
          <w:sz w:val="21"/>
          <w:szCs w:val="21"/>
        </w:rPr>
        <w:t xml:space="preserve">background job; reconciled on next lookup</w:t>
      </w:r>
    </w:p>
    <w:p>
      <w:pPr>
        <w:spacing w:after="20"/>
        <w:ind w:left="600"/>
      </w:pPr>
      <w:r>
        <w:rPr>
          <w:rFonts w:ascii="Cambria" w:cs="Cambria" w:eastAsia="Cambria" w:hAnsi="Cambria"/>
          <w:color w:val="000000"/>
          <w:sz w:val="18"/>
          <w:szCs w:val="18"/>
        </w:rPr>
        <w:t xml:space="preserve">23: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25: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30: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(54)</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spacing w:after="140" w:line="300"/>
        <w:jc w:val="both"/>
      </w:pPr>
      <w:r>
        <w:rPr>
          <w:rFonts w:ascii="Cambria" w:cs="Cambria" w:eastAsia="Cambria" w:hAnsi="Cambria"/>
          <w:color w:val="0000CC"/>
          <w:sz w:val="24"/>
          <w:szCs w:val="24"/>
        </w:rPr>
        <w:t xml:space="preserve">Figure 14 presents this workflow.</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C</w:t>
      </w:r>
      <w:r>
        <w:rPr>
          <w:rFonts w:ascii="Cambria Math" w:cs="Cambria Math" w:eastAsia="Cambria Math" w:hAnsi="Cambria Math"/>
          <w:i/>
          <w:iCs/>
          <w:color w:val="E6007E"/>
          <w:sz w:val="22"/>
          <w:szCs w:val="22"/>
        </w:rPr>
        <w:t xml:space="preserve"> = {Observation, Medication},</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(56)</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w:t>
      </w:r>
      <w:r>
        <w:rPr>
          <w:rFonts w:ascii="Cambria" w:cs="Cambria" w:eastAsia="Cambria" w:hAnsi="Cambria"/>
          <w:color w:val="E6007E"/>
          <w:sz w:val="24"/>
          <w:szCs w:val="24"/>
        </w:rPr>
        <w:t xml:space="preserve">The system must determine whether a consent exists, and it must also evaluate whether the current request satisfies the scope and purpose constraints of that consent.</w:t>
      </w:r>
      <w:r>
        <w:rPr>
          <w:rFonts w:ascii="Cambria" w:cs="Cambria" w:eastAsia="Cambria" w:hAnsi="Cambria"/>
          <w:sz w:val="24"/>
          <w:szCs w:val="24"/>
        </w:rPr>
        <w:t xml:space="preserve">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w:t>
      </w:r>
      <w:r>
        <w:rPr>
          <w:rFonts w:ascii="Cambria" w:cs="Cambria" w:eastAsia="Cambria" w:hAnsi="Cambria"/>
          <w:color w:val="E6007E"/>
          <w:sz w:val="24"/>
          <w:szCs w:val="24"/>
        </w:rPr>
        <w:t xml:space="preserve">represented as R = (u,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Jur(R)), where Jur(R) is the jurisdiction declared by the requester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E6007E"/>
          <w:sz w:val="24"/>
          <w:szCs w:val="24"/>
        </w:rPr>
        <w:t xml:space="preserve">The evaluation is designed so that a request violating the privacy constraint is refused before any data are released. A formal proof of this property forms part of the next-stage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w:t>
      </w:r>
      <w:r>
        <w:rPr>
          <w:rFonts w:ascii="Cambria" w:cs="Cambria" w:eastAsia="Cambria" w:hAnsi="Cambria"/>
          <w:color w:val="E6007E"/>
          <w:sz w:val="24"/>
          <w:szCs w:val="24"/>
        </w:rPr>
        <w:t xml:space="preserve">based on the conjunction of identity validity, active consent, sufficient multi-party approval, purpose compatibility, scope containment, temporal validity and jurisdictional match.</w:t>
      </w:r>
      <w:r>
        <w:rPr>
          <w:rFonts w:ascii="Cambria" w:cs="Cambria" w:eastAsia="Cambria" w:hAnsi="Cambria"/>
          <w:sz w:val="24"/>
          <w:szCs w:val="24"/>
        </w:rPr>
        <w:t xml:space="preserve">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w:t>
      </w:r>
      <w:r>
        <w:rPr>
          <w:rFonts w:ascii="Cambria" w:cs="Cambria" w:eastAsia="Cambria" w:hAnsi="Cambria"/>
          <w:color w:val="E6007E"/>
          <w:sz w:val="24"/>
          <w:szCs w:val="24"/>
        </w:rPr>
        <w:t xml:space="preserve">R → DID/VC → Consent State → Threshold → Purpose → Scope → Time → Jurisdiction → Policy Eval. → Evidence → Data Retr. →</w:t>
      </w:r>
      <w:r>
        <w:rPr>
          <w:rFonts w:ascii="Cambria" w:cs="Cambria" w:eastAsia="Cambria" w:hAnsi="Cambria"/>
          <w:sz w:val="24"/>
          <w:szCs w:val="24"/>
        </w:rPr>
        <w:t xml:space="preserve"> { ALLOW; DENY }</w:t>
      </w:r>
    </w:p>
    <w:p>
      <w:pPr>
        <w:spacing w:after="140" w:line="300"/>
        <w:jc w:val="both"/>
      </w:pPr>
      <w:r>
        <w:rPr>
          <w:rFonts w:ascii="Cambria" w:cs="Cambria" w:eastAsia="Cambria" w:hAnsi="Cambria"/>
          <w:color w:val="E6007E"/>
          <w:sz w:val="24"/>
          <w:szCs w:val="24"/>
        </w:rPr>
        <w:t xml:space="preserve">As stated in Section 6.3, the implemented approval threshold is N-of-N with N = |G|, and the evaluated configuration is 2-of-2.</w:t>
      </w:r>
      <w:r>
        <w:rPr>
          <w:rFonts w:ascii="Cambria" w:cs="Cambria" w:eastAsia="Cambria" w:hAnsi="Cambria"/>
          <w:color w:val="000000"/>
          <w:sz w:val="24"/>
          <w:szCs w:val="24"/>
        </w:rPr>
        <w:t xml:space="preserve"> Consequently, a configurable k-of-n threshold remains an item of future work rather than a property of the demonstrated prototype.</w:t>
      </w:r>
    </w:p>
    <w:p>
      <w:pPr>
        <w:spacing w:after="140" w:line="300"/>
        <w:jc w:val="both"/>
      </w:pPr>
      <w:r>
        <w:rPr>
          <w:rFonts w:ascii="Cambria" w:cs="Cambria" w:eastAsia="Cambria" w:hAnsi="Cambria"/>
          <w:color w:val="E6007E"/>
          <w:sz w:val="24"/>
          <w:szCs w:val="24"/>
        </w:rPr>
        <w:t xml:space="preserve">In the demonstrated prototype the doctor does not declare a separate request purpose. The purpose bound to the consent is checked against the supported purpose vocabulary (Treatment, Research and Emergency) and is stored on-chain as keccak256(purpose), so that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is presently evaluated over the consent purpose rather than over a requester-declared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keccak256(purpose). </w:t>
      </w:r>
      <w:r>
        <w:rPr>
          <w:rFonts w:ascii="Cambria" w:cs="Cambria" w:eastAsia="Cambria" w:hAnsi="Cambria"/>
          <w:color w:val="E6007E"/>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color w:val="E6007E"/>
          <w:sz w:val="24"/>
          <w:szCs w:val="24"/>
        </w:rPr>
        <w:t xml:space="preserve">In the HALAH implementation, the access-evidence step (Step 8) is realised by generating and verifying a Groth16 zero-knowledge proof</w:t>
      </w:r>
      <w:r>
        <w:rPr>
          <w:rFonts w:ascii="Cambria" w:cs="Cambria" w:eastAsia="Cambria" w:hAnsi="Cambria"/>
          <w:color w:val="0000CC"/>
          <w:sz w:val="24"/>
          <w:szCs w:val="24"/>
        </w:rPr>
        <w:t xml:space="preserve"> that the requester holds the consent secret committed on-chain through a Poseidon hash and that the consent has not expired at time t; the proof mode is recorded with the decision in the audit ledger. Therefore, the proof constitutes the access evidence required by Algorithm 4 (line 28) before any data are retrieved.</w:t>
      </w:r>
    </w:p>
    <w:p>
      <w:pPr>
        <w:spacing w:after="140" w:line="300"/>
        <w:jc w:val="both"/>
      </w:pPr>
      <w:r>
        <w:rPr>
          <w:rFonts w:ascii="Cambria" w:cs="Cambria" w:eastAsia="Cambria" w:hAnsi="Cambria"/>
          <w:color w:val="E6007E"/>
          <w:sz w:val="24"/>
          <w:szCs w:val="24"/>
        </w:rPr>
        <w:t xml:space="preserve">The final access decision can be formally expressed as ALLOW ⟺ Identity ∧ Consent ∧ Authority ∧ Threshold ∧ Purpose ∧ Scope ∧ Time ∧ Jurisdiction ∧ Evidence where the individual conditions are defined as follows. Identity, Consent, Authority and Threshold represent verified participant identity, active consent, sufficient authority and satisfied multi-party approval, respectively. Purpose, Scope, Time, Jurisdiction and Evidence represent compatible purpose, authorised data scope, temporal validity, jurisdictional match and sufficient decision evidence, respectively.</w:t>
      </w:r>
      <w:r>
        <w:rPr>
          <w:rFonts w:ascii="Cambria" w:cs="Cambria" w:eastAsia="Cambria" w:hAnsi="Cambria"/>
          <w:sz w:val="24"/>
          <w:szCs w:val="24"/>
        </w:rPr>
        <w:t xml:space="preserve">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color w:val="E6007E"/>
          <w:sz w:val="24"/>
          <w:szCs w:val="24"/>
        </w:rPr>
        <w:t xml:space="preserve">In this context, healthcare data access is no longer a simple credential-based permission check. It is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This objective was originally planned for the next stage (CA3). It has, however, been realised in the current prototype. The objective investigates how an authorisation remains trustworthy as time passes and as the consent state changes.</w:t>
      </w:r>
      <w:r>
        <w:rPr>
          <w:rFonts w:ascii="Cambria" w:cs="Cambria" w:eastAsia="Cambria" w:hAnsi="Cambria"/>
          <w:sz w:val="24"/>
          <w:szCs w:val="24"/>
        </w:rPr>
        <w:t xml:space="preserve"> </w:t>
      </w:r>
      <w:r>
        <w:rPr>
          <w:rFonts w:ascii="Cambria" w:cs="Cambria" w:eastAsia="Cambria" w:hAnsi="Cambria"/>
          <w:color w:val="E6007E"/>
          <w:sz w:val="24"/>
          <w:szCs w:val="24"/>
        </w:rPr>
        <w:t xml:space="preserve">The foundational model of Equation (64) evaluates identity, collective authorisation and policy compliance. RO5 extends this model by introducing temporal and lifecycle conditions, and the extended rule is the one enforced by the prototype.</w:t>
      </w:r>
      <w:r>
        <w:rPr>
          <w:rFonts w:ascii="Cambria" w:cs="Cambria" w:eastAsia="Cambria" w:hAnsi="Cambria"/>
          <w:color w:val="E6007E"/>
          <w:sz w:val="24"/>
          <w:szCs w:val="24"/>
        </w:rPr>
        <w:t xml:space="preserve"> The temporal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(58)</w:t>
      </w:r>
    </w:p>
    <w:p>
      <w:pPr>
        <w:spacing w:after="140" w:line="300"/>
        <w:jc w:val="both"/>
      </w:pPr>
      <w:r>
        <w:rPr>
          <w:rFonts w:ascii="Cambria" w:cs="Cambria" w:eastAsia="Cambria" w:hAnsi="Cambria"/>
          <w:color w:val="E6007E"/>
          <w:sz w:val="24"/>
          <w:szCs w:val="24"/>
        </w:rPr>
        <w:t xml:space="preserve">The jurisdictional condition, written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here and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w:t>
      </w:r>
      <w:r>
        <w:rPr>
          <w:rFonts w:ascii="Cambria" w:cs="Cambria" w:eastAsia="Cambria" w:hAnsi="Cambria"/>
          <w:color w:val="E6007E"/>
          <w:sz w:val="24"/>
          <w:szCs w:val="24"/>
        </w:rPr>
        <w:t xml:space="preserve">It should be noted that this check produced the demonstrated denial, in which a request declaring jurisdiction SA was refused against a consent issued for AU.</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because the jurisdiction L is validated and bound at consent creation (Section 6.1.1), the disjunct Jur(C) = ∅ is not reached for any consent created through the current interface, </w:t>
      </w:r>
      <w:r>
        <w:rPr>
          <w:rFonts w:ascii="Cambria" w:cs="Cambria" w:eastAsia="Cambria" w:hAnsi="Cambria"/>
          <w:color w:val="E6007E"/>
          <w:sz w:val="24"/>
          <w:szCs w:val="24"/>
        </w:rPr>
        <w:t xml:space="preserve">so that in the demonstrated system the predicate reduces to strict equality, as the denial shown in Section 6.8.5 illustrates.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 </w:t>
      </w:r>
      <w:r>
        <w:rPr>
          <w:rFonts w:ascii="Cambria" w:cs="Cambria" w:eastAsia="Cambria" w:hAnsi="Cambria"/>
          <w:color w:val="0000CC"/>
          <w:sz w:val="24"/>
          <w:szCs w:val="24"/>
        </w:rPr>
        <w:t xml:space="preserve">Figure 15 presents the RO5 workflow.</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E6007E"/>
          <w:sz w:val="24"/>
          <w:szCs w:val="24"/>
        </w:rPr>
        <w:t xml:space="preserve">In the HALAH prototype 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of Eq. (13), which the implementation evaluates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extended here with the temporal condition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that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(52);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E6007E"/>
          <w:sz w:val="24"/>
          <w:szCs w:val="24"/>
        </w:rPr>
        <w:t xml:space="preserve">The lifecycle validation mechanism can therefore be interpreted as a per- request validity layer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The lifecycle validation mechanism can therefore be interpreted as a per-request validity layer. Validity is re-established at each evaluated access request and is recorded as a STATE_CHECK event in the audit ledger. It is not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spacing w:after="140" w:line="300"/>
        <w:jc w:val="both"/>
      </w:pPr>
      <w:r>
        <w:rPr>
          <w:rFonts w:ascii="Cambria" w:cs="Cambria" w:eastAsia="Cambria" w:hAnsi="Cambria"/>
          <w:color w:val="E6007E"/>
          <w:sz w:val="24"/>
          <w:szCs w:val="24"/>
        </w:rPr>
        <w:t xml:space="preserve">Algorithm 5 therefore ensures that consent validity in the demonstrated decision process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(61)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E6007E"/>
          <w:sz w:val="24"/>
          <w:szCs w:val="24"/>
        </w:rPr>
        <w:t xml:space="preserve">The empirical evidence consists of three parts, all of which are presented in Section 6.8. The first part is the 23 automated tests, which exercise per-dimension failures of the decision matrix, invalid EIP-712 guardian signatures, and tampered or expired proofs. The second part is the live demonstration on Sepolia, which includes the jurisdiction-based denial and the revocation followed by refusal. The third part is the independent re-verification of every recorded transaction against the chain.</w:t>
      </w:r>
      <w:r>
        <w:rPr>
          <w:rFonts w:ascii="Cambria" w:cs="Cambria" w:eastAsia="Cambria" w:hAnsi="Cambria"/>
          <w:color w:val="0000CC"/>
          <w:sz w:val="24"/>
          <w:szCs w:val="24"/>
        </w:rPr>
        <w:t xml:space="preserv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(61)</w:t>
      </w:r>
    </w:p>
    <w:p>
      <w:pPr>
        <w:spacing w:after="140" w:line="300"/>
        <w:jc w:val="both"/>
      </w:pPr>
      <w:r>
        <w:rPr>
          <w:rFonts w:ascii="Cambria" w:cs="Cambria" w:eastAsia="Cambria" w:hAnsi="Cambria"/>
          <w:color w:val="E6007E"/>
          <w:sz w:val="24"/>
          <w:szCs w:val="24"/>
        </w:rPr>
        <w:t xml:space="preserve">The soundness property that has been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Equations (62) and (63) give the foundational three-predicate form of this property. In addition, each conjunct of the five-predicate rule is exercised by a dedicated per-dimension failure test, which confirms that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(63)</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w:t>
      </w:r>
      <w:r>
        <w:rPr>
          <w:rFonts w:ascii="Cambria" w:cs="Cambria" w:eastAsia="Cambria" w:hAnsi="Cambria"/>
          <w:color w:val="E6007E"/>
          <w:sz w:val="24"/>
          <w:szCs w:val="24"/>
        </w:rPr>
        <w:t xml:space="preserve">policy compliance, scope enforcement, and audit consistency. Formally, P = {Psound, Pdeny, Pthreshold, Ppolicy, Pscope, Paudit}.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w:t>
      </w:r>
      <w:r>
        <w:rPr>
          <w:rFonts w:ascii="Cambria" w:cs="Cambria" w:eastAsia="Cambria" w:hAnsi="Cambria"/>
          <w:color w:val="E6007E"/>
          <w:sz w:val="24"/>
          <w:szCs w:val="24"/>
        </w:rPr>
        <w:t xml:space="preserve">The adversarial test set is particularly important because it is not sufficient for a framework to show that legitimate requests succeed. The framework must also resist foreseeable attempts to bypass its security controls.</w:t>
      </w:r>
      <w:r>
        <w:rPr>
          <w:rFonts w:ascii="Cambria" w:cs="Cambria" w:eastAsia="Cambria" w:hAnsi="Cambria"/>
          <w:sz w:val="24"/>
          <w:szCs w:val="24"/>
        </w:rPr>
        <w:t xml:space="preserve">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w:t>
      </w:r>
      <w:r>
        <w:rPr>
          <w:rFonts w:ascii="Cambria" w:cs="Cambria" w:eastAsia="Cambria" w:hAnsi="Cambria"/>
          <w:color w:val="E6007E"/>
          <w:sz w:val="24"/>
          <w:szCs w:val="24"/>
        </w:rPr>
        <w:t xml:space="preserve">The expected threshold property is Authorisation(C) = ACTIVATED ⇒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w:t>
      </w:r>
      <w:r>
        <w:rPr>
          <w:rFonts w:ascii="Cambria" w:cs="Cambria" w:eastAsia="Cambria" w:hAnsi="Cambria"/>
          <w:sz w:val="24"/>
          <w:szCs w:val="24"/>
        </w:rPr>
        <w:t xml:space="preserve">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w:t>
      </w:r>
      <w:r>
        <w:rPr>
          <w:rFonts w:ascii="Cambria" w:cs="Cambria" w:eastAsia="Cambria" w:hAnsi="Cambria"/>
          <w:color w:val="E6007E"/>
          <w:sz w:val="24"/>
          <w:szCs w:val="24"/>
        </w:rPr>
        <w:t xml:space="preserve">Therefore, the validation methodology provides empirical evidence that the proposed authorisation model can be enforced and tested in practice under legitimate, invalid and adversarial conditions, rather than remaining a conceptual definition only.</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w:t>
      </w:r>
      <w:r>
        <w:rPr>
          <w:rFonts w:ascii="Cambria" w:cs="Cambria" w:eastAsia="Cambria" w:hAnsi="Cambria"/>
          <w:sz w:val="21"/>
          <w:szCs w:val="21"/>
          <w:vertAlign w:val="subscript"/>
        </w:rPr>
        <w:t xml:space="preserve">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w:t>
      </w:r>
      <w:r>
        <w:rPr>
          <w:rFonts w:ascii="Cambria" w:cs="Cambria" w:eastAsia="Cambria" w:hAnsi="Cambria"/>
          <w:sz w:val="21"/>
          <w:szCs w:val="21"/>
          <w:vertAlign w:val="subscript"/>
        </w:rPr>
        <w:t xml:space="preserve">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w:t>
      </w:r>
      <w:r>
        <w:rPr>
          <w:rFonts w:ascii="Cambria" w:cs="Cambria" w:eastAsia="Cambria" w:hAnsi="Cambria"/>
          <w:sz w:val="21"/>
          <w:szCs w:val="21"/>
          <w:vertAlign w:val="subscript"/>
        </w:rPr>
        <w:t xml:space="preserve">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w:t>
      </w:r>
      <w:r>
        <w:rPr>
          <w:rFonts w:ascii="Cambria" w:cs="Cambria" w:eastAsia="Cambria" w:hAnsi="Cambria"/>
          <w:sz w:val="21"/>
          <w:szCs w:val="21"/>
          <w:vertAlign w:val="subscript"/>
        </w:rPr>
        <w:t xml:space="preserve">valid</w:t>
      </w:r>
      <w:r>
        <w:rPr>
          <w:rFonts w:ascii="Cambria" w:cs="Cambria" w:eastAsia="Cambria" w:hAnsi="Cambria"/>
          <w:sz w:val="21"/>
          <w:szCs w:val="21"/>
        </w:rPr>
        <w:t xml:space="preserve"> ∪ S</w:t>
      </w:r>
      <w:r>
        <w:rPr>
          <w:rFonts w:ascii="Cambria" w:cs="Cambria" w:eastAsia="Cambria" w:hAnsi="Cambria"/>
          <w:sz w:val="21"/>
          <w:szCs w:val="21"/>
          <w:vertAlign w:val="subscript"/>
        </w:rPr>
        <w:t xml:space="preserve">negative</w:t>
      </w:r>
      <w:r>
        <w:rPr>
          <w:rFonts w:ascii="Cambria" w:cs="Cambria" w:eastAsia="Cambria" w:hAnsi="Cambria"/>
          <w:sz w:val="21"/>
          <w:szCs w:val="21"/>
        </w:rPr>
        <w:t xml:space="preserve"> ∪ S</w:t>
      </w:r>
      <w:r>
        <w:rPr>
          <w:rFonts w:ascii="Cambria" w:cs="Cambria" w:eastAsia="Cambria" w:hAnsi="Cambria"/>
          <w:sz w:val="21"/>
          <w:szCs w:val="21"/>
          <w:vertAlign w:val="subscript"/>
        </w:rPr>
        <w:t xml:space="preserve">adv</w:t>
      </w:r>
      <w:r>
        <w:rPr>
          <w:rFonts w:ascii="Cambria" w:cs="Cambria" w:eastAsia="Cambria" w:hAnsi="Cambria"/>
          <w:sz w:val="21"/>
          <w:szCs w:val="21"/>
        </w:rPr>
        <w:t xml:space="preserve">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E6007E"/>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color w:val="E6007E"/>
          <w:sz w:val="24"/>
          <w:szCs w:val="24"/>
        </w:rPr>
        <w:t xml:space="preserve">security assurance and comprehensive practical evaluation.</w:t>
      </w:r>
      <w:r>
        <w:rPr>
          <w:rFonts w:ascii="Cambria" w:cs="Cambria" w:eastAsia="Cambria" w:hAnsi="Cambria"/>
          <w:sz w:val="24"/>
          <w:szCs w:val="24"/>
        </w:rPr>
        <w:t xml:space="preserve">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(64), which the five-predicate rule of Equation (65) now supersedes in the implemented system.</w:t>
      </w:r>
    </w:p>
    <w:p>
      <w:pPr>
        <w:spacing w:after="140" w:line="300"/>
        <w:jc w:val="both"/>
      </w:pPr>
      <w:r>
        <w:rPr>
          <w:rFonts w:ascii="Cambria" w:cs="Cambria" w:eastAsia="Cambria" w:hAnsi="Cambria"/>
          <w:color w:val="E6007E"/>
          <w:sz w:val="24"/>
          <w:szCs w:val="24"/>
        </w:rPr>
        <w:t xml:space="preserve">Algorithms 1 and 3 to 5 are realised in the current prototype, Algorithm 2 is realised in its structural form (DID-format check, without cryptographic VC validation), and the empirical branch of Algorithm 6 has been executed against the prototype.</w:t>
      </w:r>
      <w:r>
        <w:rPr>
          <w:rFonts w:ascii="Cambria" w:cs="Cambria" w:eastAsia="Cambria" w:hAnsi="Cambria"/>
          <w:color w:val="000000"/>
          <w:sz w:val="24"/>
          <w:szCs w:val="24"/>
        </w:rPr>
        <w:t xml:space="preserve">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(64)</w:t>
      </w:r>
    </w:p>
    <w:p>
      <w:pPr>
        <w:spacing w:after="140" w:line="300"/>
        <w:jc w:val="both"/>
      </w:pPr>
      <w:r>
        <w:rPr>
          <w:rFonts w:ascii="Cambria" w:cs="Cambria" w:eastAsia="Cambria" w:hAnsi="Cambria"/>
          <w:color w:val="E6007E"/>
          <w:sz w:val="24"/>
          <w:szCs w:val="24"/>
        </w:rPr>
        <w:t xml:space="preserve">The extended rule, originally planned for CA3 and now enforced by the implemented system, incorporates temporal, jurisdictional and lifecycle conditions such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color w:val="E6007E"/>
          <w:sz w:val="24"/>
          <w:szCs w:val="24"/>
        </w:rPr>
        <w:t xml:space="preserve">Under Equation (65) access is granted only when all five predicates hold, revocation is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every decision, whether granted or denied, is logged together with the full decision matrix.</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w:t>
      </w:r>
      <w:r>
        <w:rPr>
          <w:rFonts w:ascii="Cambria" w:cs="Cambria" w:eastAsia="Cambria" w:hAnsi="Cambria"/>
          <w:color w:val="E6007E"/>
          <w:sz w:val="24"/>
          <w:szCs w:val="24"/>
        </w:rPr>
        <w:t xml:space="preserve">The consent is then checked for validity at every request and is used to control access to specific electronic medical record (EMR) modules. EMR is the term used by the implementation for the electronic health record (EHR) components discussed in the earlier chapters. Finally, the consent is revoked by the patient.</w:t>
      </w:r>
      <w:r>
        <w:rPr>
          <w:rFonts w:ascii="Cambria" w:cs="Cambria" w:eastAsia="Cambria" w:hAnsi="Cambria"/>
          <w:color w:val="E6007E"/>
          <w:sz w:val="24"/>
          <w:szCs w:val="24"/>
        </w:rPr>
        <w:t xml:space="preserve">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E6007E"/>
          <w:sz w:val="24"/>
          <w:szCs w:val="24"/>
        </w:rPr>
        <w:t xml:space="preserve">This operational sequence realises the trust-oriented authorisation model developed in the preceding sections of this chapter. The consent object of Eq. (46), the identity and authority verification of Algorithm 2, the threshold-based multi-party authorisation of Algorithm 3 and the trust-predicate evaluation of Figure 8 are each exercised in this workflow. In addition, the resulting activation and revocation are anchored by real transactions on the Ethereum Sepolia test network. Consequently,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E6007E"/>
          <w:sz w:val="24"/>
          <w:szCs w:val="24"/>
        </w:rPr>
        <w:t xml:space="preserve">As shown in the figure above, the consent token contract, ConsentSBTv3, was first compiled in Remix without errors. The deployment record lists solc 0.8.34 with the optimiser enabled. The contract was then deployed to the Sepolia test network from the project test wallet through MetaMask. The contract implements a soulbound ERC-721 token, and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contract stores the purpose only as a keccak256 hash, and no medical content is written to the chain. It should be noted, however, that the plaintext purpose is passed as a parameter of the mint transaction and is therefore visible in the public transaction input.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E6007E"/>
          <w:sz w:val="24"/>
          <w:szCs w:val="24"/>
        </w:rPr>
        <w:t xml:space="preserve">where the identity of the patient is represented through a DID and the authorised actor is explicitly specified. The permitted data scope is constrained to selected EMR modules. The temporal fields define when the authorisation becomes valid and when it expires. The jurisdiction field constrains where the consent may be exercised. The evidence component E records the authorisation evidence, including whether the consent remains active or has been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(46)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E6007E"/>
          <w:sz w:val="24"/>
          <w:szCs w:val="24"/>
        </w:rPr>
        <w:t xml:space="preserve">Two consent lifecycles appear in the demonstration and should be distinguished. The evaluated consent, f050c29a, was carried through the complete lifecycle. It was activated as token #1, it was granted access, it was refused access and it was finally revoked. All transaction evidence in this chapter follows this consent. The creation and approval stages of the evaluated consent were not captured before it was revoked, and a revoked consent cannot be returned to those states. Therefore, the screenshots of consent creation, guardian approval and granted access were captured from a second lifecycle with the same configuration. This second lifecycle used the same four-module scope, the same guardians, the same jurisdiction, the same purpose and the same doctor. It was executed for a different demonstration patient as consent 04da25f5, which is anchored as token #2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E6007E"/>
          <w:sz w:val="24"/>
          <w:szCs w:val="24"/>
        </w:rPr>
        <w:t xml:space="preserve">As shown in the figure above, the guardian first enters the target Consent ID. The system then retrieves the corresponding active transaction and displays the associated patient DID. The guardian then selects their own Guardian DID identity and approves the consent with an EIP-712 typed-data signature. The signature binds the approval to this specific consent, to this guardian and to this network (chainId 11155111). The system verifies each signature by recovering the signer address and comparing it with the address associated with that guardian DID. A signature produced for another consent, another guardian or another chain is rejected. In addition,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w:t>
      </w:r>
      <w:r>
        <w:rPr>
          <w:rFonts w:ascii="Cambria" w:cs="Cambria" w:eastAsia="Cambria" w:hAnsi="Cambria"/>
          <w:color w:val="E6007E"/>
          <w:sz w:val="24"/>
          <w:szCs w:val="24"/>
        </w:rPr>
        <w:t xml:space="preserve">In the implemented configuration the authorisation threshold is derived from the designated guardian set as N = |G|. Therefore, every listed guardian must produce a valid EIP-712 signature before activation. The demonstrated 2-of-2 approval is consequently an N-of-N case of the threshold condition of Eq. (49).</w:t>
      </w:r>
      <w:r>
        <w:rPr>
          <w:rFonts w:ascii="Cambria" w:cs="Cambria" w:eastAsia="Cambria" w:hAnsi="Cambria"/>
          <w:color w:val="000000"/>
          <w:sz w:val="24"/>
          <w:szCs w:val="24"/>
        </w:rPr>
        <w:t xml:space="preserve"> the demonstrated 2-of-2 ceremony is consequently an N-of-N instantiation of the threshold condition of Eq. (49).</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E6007E"/>
          <w:sz w:val="24"/>
          <w:szCs w:val="24"/>
        </w:rPr>
        <w:t xml:space="preserve">The five columns of the decision matrix are the operational form of the decision rule Decision(C, R, t) = ALLOW</w:t>
      </w:r>
      <w:r>
        <w:rPr>
          <w:rFonts w:ascii="Cambria" w:cs="Cambria" w:eastAsia="Cambria" w:hAnsi="Cambria"/>
          <w:color w:val="000000"/>
          <w:sz w:val="24"/>
          <w:szCs w:val="24"/>
        </w:rPr>
        <w:t xml:space="preserve"> ⟺ VI(u) ∧ VA(C) ∧ VP(C, R) ∧ VT(C, t) ∧ VL(C), </w:t>
      </w:r>
      <w:r>
        <w:rPr>
          <w:rFonts w:ascii="Cambria" w:cs="Cambria" w:eastAsia="Cambria" w:hAnsi="Cambria"/>
          <w:color w:val="E6007E"/>
          <w:sz w:val="24"/>
          <w:szCs w:val="24"/>
        </w:rPr>
        <w:t xml:space="preserve">which is the complete decision rule of Eq. (54) and Eq. (60), extending the three-predicate rule of Eq. (64) with the temporal and jurisdictional verdicts</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In the prototype every consent records a jurisdiction, so the jurisdiction predicate of Eq. (59) reduces to the condition that the requester's declared jurisdiction equals the jurisdiction recorded in the consent,</w:t>
      </w:r>
      <w:r>
        <w:rPr>
          <w:rFonts w:ascii="Cambria" w:cs="Cambria" w:eastAsia="Cambria" w:hAnsi="Cambria"/>
          <w:color w:val="000000"/>
          <w:sz w:val="24"/>
          <w:szCs w:val="24"/>
        </w:rPr>
        <w:t xml:space="preserve"> which the jurisdiction-violation demonstration below confirms empirically.</w:t>
      </w:r>
    </w:p>
    <w:p>
      <w:pPr>
        <w:spacing w:after="140" w:line="300"/>
        <w:jc w:val="both"/>
      </w:pPr>
      <w:r>
        <w:rPr>
          <w:rFonts w:ascii="Cambria" w:cs="Cambria" w:eastAsia="Cambria" w:hAnsi="Cambria"/>
          <w:color w:val="0000CC"/>
          <w:sz w:val="24"/>
          <w:szCs w:val="24"/>
        </w:rPr>
        <w:t xml:space="preserve">Figure 28 shows the predicate evaluation flow of Figure 8 as it is enforced by the implemented Consent Engine.</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w:t>
      </w:r>
      <w:r>
        <w:rPr>
          <w:rFonts w:ascii="Cambria" w:cs="Cambria" w:eastAsia="Cambria" w:hAnsi="Cambria"/>
          <w:color w:val="E6007E"/>
          <w:sz w:val="24"/>
          <w:szCs w:val="24"/>
        </w:rPr>
        <w:t xml:space="preserve">In this version, the verification also generates and verifies a Groth16 zero-knowledge proof. The public inputs of the proof are a Poseidon commitment and the current time. The private witnesses are a secret and the expiry time. The proof establishes that the commitment is satisfied and that the current time does not exceed the expiry.</w:t>
      </w:r>
      <w:r>
        <w:rPr>
          <w:rFonts w:ascii="Cambria" w:cs="Cambria" w:eastAsia="Cambria" w:hAnsi="Cambria"/>
          <w:color w:val="000000"/>
          <w:sz w:val="24"/>
          <w:szCs w:val="24"/>
        </w:rPr>
        <w:t xml:space="preserv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E6007E"/>
          <w:sz w:val="24"/>
          <w:szCs w:val="24"/>
        </w:rPr>
        <w:t xml:space="preserve">The two figures above demonstrate the transition from consent verification to data-access authorisation. The checks are recorded in the audit ledger as STATE_CHECK events, one for every evaluated access request. Consequently, validity is re-established at each request rather than assumed.</w:t>
      </w:r>
      <w:r>
        <w:rPr>
          <w:rFonts w:ascii="Cambria" w:cs="Cambria" w:eastAsia="Cambria" w:hAnsi="Cambria"/>
          <w:color w:val="000000"/>
          <w:sz w:val="24"/>
          <w:szCs w:val="24"/>
        </w:rPr>
        <w:t xml:space="preserve">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w:t>
      </w:r>
      <w:r>
        <w:rPr>
          <w:rFonts w:ascii="Cambria" w:cs="Cambria" w:eastAsia="Cambria" w:hAnsi="Cambria"/>
          <w:color w:val="E6007E"/>
          <w:sz w:val="24"/>
          <w:szCs w:val="24"/>
        </w:rPr>
        <w:t xml:space="preserve">This is important because a consent framework must be evaluated on whether it grants legitimate access and on whether it refuses illegitimate access.</w:t>
      </w:r>
      <w:r>
        <w:rPr>
          <w:rFonts w:ascii="Cambria" w:cs="Cambria" w:eastAsia="Cambria" w:hAnsi="Cambria"/>
          <w:color w:val="000000"/>
          <w:sz w:val="24"/>
          <w:szCs w:val="24"/>
        </w:rPr>
        <w:t xml:space="preserve">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E6007E"/>
          <w:sz w:val="24"/>
          <w:szCs w:val="24"/>
        </w:rPr>
        <w:t xml:space="preserve">The demonstrated revocation completes the consent lifecycle anticipated by the temporal and lifecycle model of Section 6.5. The consent progresses through the controlled states PENDING_SIGNATURE, PENDING_TOKEN, ACTIVE and REVOKED of the six-state lifecycle defined there. The NOT_STARTED and EXPIRED states are not reached in the demonstration. The activating and revoking transitions are themselves verifiable Sepolia transactions, in blocks 11,771,243 and 11,771,307 respectively. Therefore, trust is not treated as permanently established at the moment a consent is created, which is the lifecycle-trust principle stated in Section 6.5.</w:t>
      </w:r>
    </w:p>
    <w:p>
      <w:pPr>
        <w:spacing w:after="140" w:line="300"/>
        <w:jc w:val="both"/>
      </w:pPr>
      <w:r>
        <w:rPr>
          <w:rFonts w:ascii="Cambria" w:cs="Cambria" w:eastAsia="Cambria" w:hAnsi="Cambria"/>
          <w:color w:val="0000CC"/>
          <w:sz w:val="24"/>
          <w:szCs w:val="24"/>
        </w:rPr>
        <w:t xml:space="preserve">Figure 35 summarises the implemented lifecycle and its anchored transitions.</w:t>
      </w:r>
    </w:p>
    <w:p>
      <w:pPr>
        <w:spacing w:after="140" w:line="300"/>
        <w:jc w:val="both"/>
      </w:pPr>
      <w:r>
        <w:rPr>
          <w:rFonts w:ascii="Cambria" w:cs="Cambria" w:eastAsia="Cambria" w:hAnsi="Cambria"/>
          <w:color w:val="E6007E"/>
          <w:sz w:val="24"/>
          <w:szCs w:val="24"/>
        </w:rPr>
        <w:t xml:space="preserve">It should be noted that the expiry path is not shown in the live demonstration. In this path the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fails once the current time exceeds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and the consent enters the EXPIRED state. This path is exercised by the automated tests reported in Section 6.8.9. A consent with a validity window long enough to be photographed cannot be allowed to expire within the demonstration period.</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w:t>
      </w:r>
      <w:r>
        <w:rPr>
          <w:rFonts w:ascii="Cambria" w:cs="Cambria" w:eastAsia="Cambria" w:hAnsi="Cambria"/>
          <w:color w:val="E6007E"/>
          <w:sz w:val="24"/>
          <w:szCs w:val="24"/>
        </w:rPr>
        <w:t xml:space="preserve">The five anchors comprise the mint and revocation of the evaluated consent (token #1) and the mint of the photographed lifecycle (token #2). They also include the mint and revocation of an earlier trial consent on the previous contract. 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E6007E"/>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that is,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E6007E"/>
          <w:sz w:val="24"/>
          <w:szCs w:val="24"/>
        </w:rPr>
        <w:t xml:space="preserve">The audit subsystem therefore allows an auditor to reconstruct who accessed the data and why that access was permitted or refused. Each access event can be associated with the preceding consent creation, guardian approvals, on-chain activation and state checks, and with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w:t>
      </w:r>
      <w:r>
        <w:rPr>
          <w:rFonts w:ascii="Cambria" w:cs="Cambria" w:eastAsia="Cambria" w:hAnsi="Cambria"/>
          <w:color w:val="E6007E"/>
          <w:sz w:val="24"/>
          <w:szCs w:val="24"/>
        </w:rPr>
        <w:t xml:space="preserve">The tool re-reads the ledger. For every event that carries a transaction hash, it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r>
        <w:rPr>
          <w:rFonts w:ascii="Cambria" w:cs="Cambria" w:eastAsia="Cambria" w:hAnsi="Cambria"/>
          <w:color w:val="000000"/>
          <w:sz w:val="24"/>
          <w:szCs w:val="24"/>
        </w:rPr>
        <w:t xml:space="preserve">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E6007E"/>
          <w:sz w:val="24"/>
          <w:szCs w:val="24"/>
        </w:rPr>
        <w:t xml:space="preserve">As shown in the figure above, the verification was re-executed after the second lifecycle and reports ALL CHECKS PASSED. Every recorded transaction was found on Sepolia in its recorded block. For both tokens on the current contract, the revocation state stored by the application matches the state stored by the contract. Token #1 is revoked and token #2 is not revoked.</w:t>
      </w:r>
      <w:r>
        <w:rPr>
          <w:rFonts w:ascii="Cambria" w:cs="Cambria" w:eastAsia="Cambria" w:hAnsi="Cambria"/>
          <w:color w:val="000000"/>
          <w:sz w:val="24"/>
          <w:szCs w:val="24"/>
        </w:rPr>
        <w:t xml:space="preserve">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E6007E"/>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consolidates the correspondences stated at the end of each of the preceding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E6007E"/>
          <w:sz w:val="24"/>
          <w:szCs w:val="24"/>
        </w:rPr>
        <w:t xml:space="preserve">The subsystems collectively demonstrate an end-to-end implementation of the proposed HALAH authorisation workflow on a public blockchain.</w:t>
      </w:r>
      <w:r>
        <w:rPr>
          <w:rFonts w:ascii="Cambria" w:cs="Cambria" w:eastAsia="Cambria" w:hAnsi="Cambria"/>
          <w:color w:val="000000"/>
          <w:sz w:val="24"/>
          <w:szCs w:val="24"/>
        </w:rPr>
        <w:t xml:space="preserve">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E6007E"/>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In addition, the Groth16 proof is generated and verified by the same server. Therefore,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E6007E"/>
          <w:sz w:val="24"/>
          <w:szCs w:val="24"/>
        </w:rPr>
        <w:t xml:space="preserve">From a research-implementation perspective, the most significant feature of the presented subsystems is the continuity of the workflow. Consent specification, multi-party authorisation, public on-chain activation and revocation, access enforcement and independently verifiable audit evidence form one continuous process. The user subsystems provide a visible representation of this continuity. Consequently, the proposed HALAH model can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(66)</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w:t>
      </w:r>
      <w:r>
        <w:rPr>
          <w:rFonts w:ascii="Cambria" w:cs="Cambria" w:eastAsia="Cambria" w:hAnsi="Cambria"/>
          <w:color w:val="E6007E"/>
          <w:sz w:val="24"/>
          <w:szCs w:val="24"/>
        </w:rPr>
        <w:t xml:space="preserve">Policy information specifies the purpose and permitted data scope. Temporal information defines the validity interval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within which the consent may be exercised, and the jurisdiction component records the legal territory in which access is permitted.</w:t>
      </w:r>
      <w:r>
        <w:rPr>
          <w:rFonts w:ascii="Cambria" w:cs="Cambria" w:eastAsia="Cambria" w:hAnsi="Cambria"/>
          <w:sz w:val="24"/>
          <w:szCs w:val="24"/>
        </w:rPr>
        <w:t xml:space="preserv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E6007E"/>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(68)</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It should be noted that the identity verification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in the current prototype performs identifier- and credential-format validation only. Cryptographic DID resolution against a registry and authentication of the requester are acknowledged limitations and are reserved for the next stage.</w:t>
      </w:r>
      <w:r>
        <w:rPr>
          <w:rFonts w:ascii="Cambria" w:cs="Cambria" w:eastAsia="Cambria" w:hAnsi="Cambria"/>
          <w:color w:val="E6007E"/>
          <w:sz w:val="24"/>
          <w:szCs w:val="24"/>
        </w:rPr>
        <w:t xml:space="preserve">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E6007E"/>
          <w:sz w:val="24"/>
          <w:szCs w:val="24"/>
        </w:rPr>
        <w:t xml:space="preserve">It should be noted that the implemented threshold is derived from the designated guardian set as N = |G|. Therefore, the prototype currently enforces an N-of-N instantiation of Eq. (69), and it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is not a subset of the authorised scope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spacing w:after="140" w:line="300"/>
        <w:jc w:val="both"/>
      </w:pPr>
      <w:r>
        <w:rPr>
          <w:rFonts w:ascii="Cambria" w:cs="Cambria" w:eastAsia="Cambria" w:hAnsi="Cambria"/>
          <w:color w:val="0000CC"/>
          <w:sz w:val="24"/>
          <w:szCs w:val="24"/>
        </w:rPr>
        <w:t xml:space="preserve">where Policy(C, R) denotes the conjunction of the purpose check VU(C, R) and the scope check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defined in Eq. (53). The predicate is written here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(73)</w:t>
      </w:r>
    </w:p>
    <w:p>
      <w:pPr>
        <w:spacing w:after="140" w:line="300"/>
        <w:jc w:val="both"/>
      </w:pPr>
      <w:r>
        <w:rPr>
          <w:rFonts w:ascii="Cambria" w:cs="Cambria" w:eastAsia="Cambria" w:hAnsi="Cambria"/>
          <w:color w:val="E6007E"/>
          <w:sz w:val="24"/>
          <w:szCs w:val="24"/>
        </w:rPr>
        <w:t xml:space="preserve">For example, if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{Observation, Medication} and the requester asks for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{Observation, Medication, Procedure}, the request exceeds the authorised scope. In this case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This over-scope denial is exercised by the per-dimension failure tests described in Section 6.8.9. Section 6.8.4 shows the requested-subset rule enforced on the live system.</w:t>
      </w:r>
    </w:p>
    <w:p>
      <w:pPr>
        <w:spacing w:after="140" w:line="300"/>
        <w:jc w:val="both"/>
      </w:pPr>
      <w:r>
        <w:rPr>
          <w:rFonts w:ascii="Cambria" w:cs="Cambria" w:eastAsia="Cambria" w:hAnsi="Cambria"/>
          <w:color w:val="0000CC"/>
          <w:sz w:val="24"/>
          <w:szCs w:val="24"/>
        </w:rPr>
        <w:t xml:space="preserve">The policy predicate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is implemented at the prototype level. Each access request declares a purpose and a requested data scope S</w:t>
      </w:r>
      <w:r>
        <w:rPr>
          <w:rFonts w:ascii="Cambria" w:cs="Cambria" w:eastAsia="Cambria" w:hAnsi="Cambria"/>
          <w:color w:val="0000CC"/>
          <w:sz w:val="24"/>
          <w:szCs w:val="24"/>
          <w:vertAlign w:val="subscript"/>
        </w:rPr>
        <w:t xml:space="preserve">R</w:t>
      </w:r>
      <w:r>
        <w:rPr>
          <w:rFonts w:ascii="Cambria" w:cs="Cambria" w:eastAsia="Cambria" w:hAnsi="Cambria"/>
          <w:color w:val="0000CC"/>
          <w:sz w:val="24"/>
          <w:szCs w:val="24"/>
        </w:rPr>
        <w:t xml:space="preserve">, and the request is rejected whenever S</w:t>
      </w:r>
      <w:r>
        <w:rPr>
          <w:rFonts w:ascii="Cambria" w:cs="Cambria" w:eastAsia="Cambria" w:hAnsi="Cambria"/>
          <w:color w:val="0000CC"/>
          <w:sz w:val="24"/>
          <w:szCs w:val="24"/>
          <w:vertAlign w:val="subscript"/>
        </w:rPr>
        <w:t xml:space="preserve">R</w:t>
      </w:r>
      <w:r>
        <w:rPr>
          <w:rFonts w:ascii="Cambria" w:cs="Cambria" w:eastAsia="Cambria" w:hAnsi="Cambria"/>
          <w:color w:val="0000CC"/>
          <w:sz w:val="24"/>
          <w:szCs w:val="24"/>
        </w:rPr>
        <w:t xml:space="preserve"> is not a subset of the authorised scope S</w:t>
      </w:r>
      <w:r>
        <w:rPr>
          <w:rFonts w:ascii="Cambria" w:cs="Cambria" w:eastAsia="Cambria" w:hAnsi="Cambria"/>
          <w:color w:val="0000CC"/>
          <w:sz w:val="24"/>
          <w:szCs w:val="24"/>
          <w:vertAlign w:val="subscript"/>
        </w:rPr>
        <w:t xml:space="preserve">C</w:t>
      </w:r>
      <w:r>
        <w:rPr>
          <w:rFonts w:ascii="Cambria" w:cs="Cambria" w:eastAsia="Cambria" w:hAnsi="Cambria"/>
          <w:color w:val="0000CC"/>
          <w:sz w:val="24"/>
          <w:szCs w:val="24"/>
        </w:rPr>
        <w:t xml:space="preserve">. The predicate is evaluated as one term of the complete decision matrix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and every denial names the failed checks explicitly in both the interface and the audit ledger. In addition, input validation on consent creation and on access requests prevents malformed identifiers, scopes and jurisdictions from reaching the decision logic. Consequently, policy-aware access control is an enforced property of the running system rather than an expected outcome.</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E6007E"/>
          <w:sz w:val="24"/>
          <w:szCs w:val="24"/>
        </w:rPr>
        <w:t xml:space="preserve">RO5 has moved from planned work to implemented capability. The consent validity interval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is now enforced by the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at every access request. The interval is additionally stored on-chain in the SBT as the notBefore and expiry fields, so that temporal validity can be verified independently of the application. The consent lifecycle is implemented as an explicit state machine comprising the states PENDING_SIGNATURE, PENDING_TOKEN, NOT_STARTED, ACTIVE, EXPIRED and REVOKED. Revocation is enforced end-to-end. The patient's withdrawal updates the application state and is confirmed as a revoke transaction on Sepolia in block 11,771,307. After that point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(74)</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w:t>
      </w:r>
      <w:r>
        <w:rPr>
          <w:rFonts w:ascii="Cambria" w:cs="Cambria" w:eastAsia="Cambria" w:hAnsi="Cambria"/>
          <w:color w:val="E6007E"/>
          <w:sz w:val="24"/>
          <w:szCs w:val="24"/>
        </w:rPr>
        <w:t xml:space="preserve">The implemented decision rule is therefore exactly Eq. (75).</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w:t>
      </w:r>
      <w:r>
        <w:rPr>
          <w:rFonts w:ascii="Cambria" w:cs="Cambria" w:eastAsia="Cambria" w:hAnsi="Cambria"/>
          <w:color w:val="E6007E"/>
          <w:sz w:val="24"/>
          <w:szCs w:val="24"/>
        </w:rPr>
        <w:t xml:space="preserve">verification, multi-party approval, and access-control evaluation. The decision rule enforced by the prototype at every access request is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CC"/>
          <w:sz w:val="24"/>
          <w:szCs w:val="24"/>
        </w:rPr>
        <w:t xml:space="preserve">Empirical validation now covers all five trust predicates of the decision matrix,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together with on-chain revocation. A suite of 23 automated tests exercises per-dimension failures of the decision matrix, the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named as the failed check. It also includes a revocation scenario in which the same consent, once revoked on-chain, is subsequently denied through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In addition, an independent verification tool re-checks every ledger transaction hash against Sepolia receipts and reads each token back from the contract, reporting ALL CHECKS PASSED. Every granted access is accompanied by a real Groth16 proof generated and verified at request time. The implemented decision rule is therefore exactly Eq. (75). Formal security analysis and a systematic performance study remain for the next stage. 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E6007E"/>
          <w:sz w:val="24"/>
          <w:szCs w:val="24"/>
        </w:rPr>
        <w:t xml:space="preserve">Policy-violation scenarios, temporal expiration, revocation and invalid lifecycle transitions have now been demonstrated empirically. Jurisdiction violation and revocation followed by denial were demonstrated in the live Sepolia deployment. Policy violation, temporal expiration and invalid lifecycle transitions were demonstrated in the automated test suite. The remaining work for the next stage is therefore considerably narrower. It consists of the formal definition and verification of the security properties, a systematic performance and overhead study, and the removal of prototype limitations such as the N-of-N approval rule, the server-derived guardian keys and the unauthenticated requester role. Overall, RO1 to RO4 are completed at the conceptual and prototype level, RO5 is largely completed with its temporal and revocation controls enforced and anchored on-chain, and RO6 is partially completed through its empirical component. Therefore, the next stage of the research is defined by the formal component of RO6, the performance study and the dynamic lifecycle extensions of RO5, as set out in Chapter 9.</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(Sections 6.5 and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color w:val="E6007E"/>
          <w:sz w:val="24"/>
          <w:szCs w:val="24"/>
        </w:rPr>
        <w:t xml:space="preserve">The research plan is divided into two major stages, the current stage and the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E6007E"/>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The evaluated consent was minted as token #1 in block 11,771,243 and revoked on-chain in block 11,771,307, and an independently reproduced lifecycle was minted as token #2 in block 11,771,581. Each transaction hash is recorded in the audit ledger and is publicly inspectable on Etherscan. The plan for the next stage therefore follows directly from the progress status reported in Chapter 7. The objectives marked as completed require no further conceptual development. The remaining work is defined by the formal component of RO6, the systematic performance and overhead study, and the identified prototype limitations. These limitations are the N-of-N approval rule, the server-derived guardian keys, the unauthenticated requester and the absence of cryptographic DID resolution.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w:t>
      </w:r>
      <w:r>
        <w:rPr>
          <w:rFonts w:ascii="Cambria" w:cs="Cambria" w:eastAsia="Cambria" w:hAnsi="Cambria"/>
          <w:color w:val="E6007E"/>
          <w:sz w:val="24"/>
          <w:szCs w:val="24"/>
        </w:rPr>
        <w:t xml:space="preserve">The main activities are the development of the trust-centric consent model, decentralised identity and authority verification, multi-party authorisation, and policy-aware access control. Temporal and lifecycle enforcement, originally planned for the next stage, has also been implemented in the current stage, as reported in Section 7.5.</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E6007E"/>
          <w:sz w:val="24"/>
          <w:szCs w:val="24"/>
        </w:rPr>
        <w:t xml:space="preserve">Temporal and lifecycle trust was originally planned for the next stage and has been brought forward and implemented. Validity windows are enforced and anchored on-chain, revocation is effective at the contract level, and lifecycle transitions are governed by an explicit state machine. Consequently, the next stage concentrates on formal security assurance and on comprehensive empirical validation, including performance measurement. It also covers the dynamic consent governance extensions of RO5, which are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w:t>
      </w:r>
      <w:r>
        <w:rPr>
          <w:rFonts w:ascii="Cambria" w:cs="Cambria" w:eastAsia="Cambria" w:hAnsi="Cambria"/>
          <w:color w:val="E6007E"/>
          <w:sz w:val="24"/>
          <w:szCs w:val="24"/>
        </w:rPr>
        <w:t xml:space="preserve">authorisation framework established during the current stage and extend the research towards dynamic consent governance [13, 24], formal security assurance, and comprehensive empirical validation.</w:t>
      </w:r>
      <w:r>
        <w:rPr>
          <w:rFonts w:ascii="Cambria" w:cs="Cambria" w:eastAsia="Cambria" w:hAnsi="Cambria"/>
          <w:sz w:val="24"/>
          <w:szCs w:val="24"/>
        </w:rPr>
        <w:t xml:space="preserve"> </w:t>
      </w:r>
      <w:r>
        <w:rPr>
          <w:rFonts w:ascii="Cambria" w:cs="Cambria" w:eastAsia="Cambria" w:hAnsi="Cambria"/>
          <w:color w:val="E6007E"/>
          <w:sz w:val="24"/>
          <w:szCs w:val="24"/>
        </w:rPr>
        <w:t xml:space="preserve">The current stage focuses on establishing the core mechanisms required to construct a trustworthy authorisation decision. The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w:t>
      </w:r>
      <w:r>
        <w:rPr>
          <w:rFonts w:ascii="Cambria" w:cs="Cambria" w:eastAsia="Cambria" w:hAnsi="Cambria"/>
          <w:color w:val="E6007E"/>
          <w:sz w:val="24"/>
          <w:szCs w:val="24"/>
        </w:rPr>
        <w:t xml:space="preserve">The next stage will extend the current prototype-based evaluation to include both successful and adversarial access requests.</w:t>
      </w:r>
      <w:r>
        <w:rPr>
          <w:rFonts w:ascii="Cambria" w:cs="Cambria" w:eastAsia="Cambria" w:hAnsi="Cambria"/>
          <w:sz w:val="24"/>
          <w:szCs w:val="24"/>
        </w:rPr>
        <w:t xml:space="preserve">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E6007E"/>
          <w:sz w:val="24"/>
          <w:szCs w:val="24"/>
        </w:rPr>
        <w:t xml:space="preserve">The performance study will measure the gas cost of the mint and revoke transactions, the block-confirmation latency on Sepolia, the Groth16 proof generation and verification time, and the end-to-end decision latency per access request. In addition, it will report enforcement accuracy as the proportion of adversarial requests that are correctly denied.</w:t>
      </w:r>
    </w:p>
    <w:p>
      <w:pPr>
        <w:spacing w:after="140" w:line="300"/>
        <w:jc w:val="both"/>
      </w:pPr>
      <w:r>
        <w:rPr>
          <w:rFonts w:ascii="Cambria" w:cs="Cambria" w:eastAsia="Cambria" w:hAnsi="Cambria"/>
          <w:color w:val="E6007E"/>
          <w:sz w:val="24"/>
          <w:szCs w:val="24"/>
        </w:rPr>
        <w:t xml:space="preserve">The formal component will state two properties. The first is the soundness property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The second is the lifecycle invariant that no REVOKED or EXPIRED consent can re-enter the ACTIVE state. These properties will be verified by model checking of the state machine or by proof over the predicate definitions of Chapter 6.</w:t>
      </w:r>
      <w:r>
        <w:rPr>
          <w:rFonts w:ascii="Cambria" w:cs="Cambria" w:eastAsia="Cambria" w:hAnsi="Cambria"/>
          <w:color w:val="0000CC"/>
          <w:sz w:val="24"/>
          <w:szCs w:val="24"/>
        </w:rPr>
        <w:t xml:space="preserve"> The evaluation criterion for this component is that every property is either verified or refuted by an explicit counterexample.</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16 is as follows. The temporal and lifecycle foundation of the first activity, Consent Modification, Delegation and Lifecycle Extensions, is largely completed. The on-chain notBefore and expiry fields are in place, the revoke transaction was confirmed in block 11,771,307, and the lifecycle is governed by an explicit state machine. The modification, delegation and guardian-set extensions themselves have not been started. Comprehensive Empirical Validation is partially delivered through the 23 automated tests, the live jurisdiction denial and revocation-then-denial on Sepolia, and the independent chain verification reporting ALL CHECKS PASSED. Performance and overhead measurement remains outstanding. Formal Security Assurance and the Integrated Framework Evaluation have not been started and constitute the next stage in full.</w:t>
      </w:r>
    </w:p>
    <w:p>
      <w:pPr>
        <w:spacing w:after="140" w:line="300"/>
        <w:jc w:val="both"/>
      </w:pPr>
      <w:r>
        <w:rPr>
          <w:rFonts w:ascii="Cambria" w:cs="Cambria" w:eastAsia="Cambria" w:hAnsi="Cambria"/>
          <w:color w:val="E6007E"/>
          <w:sz w:val="24"/>
          <w:szCs w:val="24"/>
        </w:rPr>
        <w:t xml:space="preserve">An important analytical objective of the next stage is to examine the relationship between the different forms of trust established throughout the framework.</w:t>
      </w:r>
      <w:r>
        <w:rPr>
          <w:rFonts w:ascii="Cambria" w:cs="Cambria" w:eastAsia="Cambria" w:hAnsi="Cambria"/>
          <w:sz w:val="24"/>
          <w:szCs w:val="24"/>
        </w:rPr>
        <w:t xml:space="preserve">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color w:val="E6007E"/>
          <w:sz w:val="24"/>
          <w:szCs w:val="24"/>
        </w:rPr>
        <w:t xml:space="preserve">The complete authorisation model developed across the current stage and the next stage will therefore be evaluated as a conjunction of independently verifiable conditions.</w:t>
      </w:r>
      <w:r>
        <w:rPr>
          <w:rFonts w:ascii="Cambria" w:cs="Cambria" w:eastAsia="Cambria" w:hAnsi="Cambria"/>
          <w:sz w:val="24"/>
          <w:szCs w:val="24"/>
        </w:rPr>
        <w:t xml:space="preserve">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color w:val="E6007E"/>
          <w:sz w:val="24"/>
          <w:szCs w:val="24"/>
        </w:rPr>
        <w:t xml:space="preserve">By the completion of the next stage, the research is expected to provide three complementary forms of contribution.</w:t>
      </w:r>
      <w:r>
        <w:rPr>
          <w:rFonts w:ascii="Cambria" w:cs="Cambria" w:eastAsia="Cambria" w:hAnsi="Cambria"/>
          <w:sz w:val="24"/>
          <w:szCs w:val="24"/>
        </w:rPr>
        <w:t xml:space="preserve">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color w:val="E6007E"/>
          <w:sz w:val="24"/>
          <w:szCs w:val="24"/>
        </w:rPr>
        <w:t xml:space="preserve">Consequently, the next stage will complete the transition from the foundational authorisation mechanisms established in the current stage to a dynamically managed, formally reasoned, and empirically validated</w:t>
      </w:r>
      <w:r>
        <w:rPr>
          <w:rFonts w:ascii="Cambria" w:cs="Cambria" w:eastAsia="Cambria" w:hAnsi="Cambria"/>
          <w:sz w:val="24"/>
          <w:szCs w:val="24"/>
        </w:rPr>
        <w:t xml:space="preserve">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(46),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(49),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Eqs. (52)–(53),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(54),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RO5 / RQ5 — Temporal and lifecycle trust, Eqs. (58)–(59), Algorithm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RO6 / RQ6 — Empirical validation, Eq. (61), Algorithm 6 (formal component outstanding)</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40" w:line="300"/>
        <w:jc w:val="both"/>
      </w:pPr>
      <w:r>
        <w:rPr>
          <w:rFonts w:ascii="Cambria" w:cs="Cambria" w:eastAsia="Cambria" w:hAnsi="Cambria"/>
          <w:color w:val="0000CC"/>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CC"/>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CC"/>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CC"/>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CC"/>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CC"/>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CC"/>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CC"/>
          <w:sz w:val="24"/>
          <w:szCs w:val="24"/>
        </w:rPr>
        <w:t xml:space="preserve">[42] </w:t>
      </w:r>
      <w:r>
        <w:rPr>
          <w:rFonts w:ascii="Cambria" w:cs="Cambria" w:eastAsia="Cambria" w:hAnsi="Cambria"/>
          <w:color w:val="E6007E"/>
          <w:sz w:val="24"/>
          <w:szCs w:val="24"/>
        </w:rPr>
        <w:t xml:space="preserve">J. A. Dhanraj, P. Dhongle, R. Tamilamuthan, M. Lakshmanan, N. Ashtankar, and S. R. Hole.</w:t>
      </w:r>
      <w:r>
        <w:rPr>
          <w:rFonts w:ascii="Cambria" w:cs="Cambria" w:eastAsia="Cambria" w:hAnsi="Cambria"/>
          <w:color w:val="0000CC"/>
          <w:sz w:val="24"/>
          <w:szCs w:val="24"/>
        </w:rPr>
        <w:t xml:space="preserve"> Blockchain-Augmented Federated Learning for Secure and Healthcare Diagnosis from Distributed Electronic Health Records. 2026 1st International Conference on Emerging Trends in </w:t>
      </w:r>
      <w:r>
        <w:rPr>
          <w:rFonts w:ascii="Cambria" w:cs="Cambria" w:eastAsia="Cambria" w:hAnsi="Cambria"/>
          <w:color w:val="E6007E"/>
          <w:sz w:val="24"/>
          <w:szCs w:val="24"/>
        </w:rPr>
        <w:t xml:space="preserve">Advancements and Applications of Computational Intelligence Techniques (ETAACT), 2026.</w:t>
      </w:r>
      <w:r>
        <w:rPr>
          <w:rFonts w:ascii="Cambria" w:cs="Cambria" w:eastAsia="Cambria" w:hAnsi="Cambria"/>
          <w:color w:val="0000CC"/>
          <w:sz w:val="24"/>
          <w:szCs w:val="24"/>
        </w:rPr>
        <w:t xml:space="preserve"> doi:10.1109/ETAACT69135.2026.11541890</w:t>
      </w:r>
    </w:p>
    <w:p>
      <w:pPr>
        <w:spacing w:after="140" w:line="300"/>
        <w:jc w:val="both"/>
      </w:pPr>
      <w:r>
        <w:rPr>
          <w:rFonts w:ascii="Cambria" w:cs="Cambria" w:eastAsia="Cambria" w:hAnsi="Cambria"/>
          <w:color w:val="0000CC"/>
          <w:sz w:val="24"/>
          <w:szCs w:val="24"/>
        </w:rPr>
        <w:t xml:space="preserve">[43] </w:t>
      </w:r>
      <w:r>
        <w:rPr>
          <w:rFonts w:ascii="Cambria" w:cs="Cambria" w:eastAsia="Cambria" w:hAnsi="Cambria"/>
          <w:color w:val="E6007E"/>
          <w:sz w:val="24"/>
          <w:szCs w:val="24"/>
        </w:rPr>
        <w:t xml:space="preserve">K. Ekholm, A. Augustinsson, J. Sundström, C. Johansen, M. Storgärds, L. Ljöstad, et al.</w:t>
      </w:r>
      <w:r>
        <w:rPr>
          <w:rFonts w:ascii="Cambria" w:cs="Cambria" w:eastAsia="Cambria" w:hAnsi="Cambria"/>
          <w:color w:val="0000CC"/>
          <w:sz w:val="24"/>
          <w:szCs w:val="24"/>
        </w:rPr>
        <w:t xml:space="preserve"> Implementing electronic informed consent in rare disease genomics. </w:t>
      </w:r>
      <w:r>
        <w:rPr>
          <w:rFonts w:ascii="Cambria" w:cs="Cambria" w:eastAsia="Cambria" w:hAnsi="Cambria"/>
          <w:color w:val="E6007E"/>
          <w:sz w:val="24"/>
          <w:szCs w:val="24"/>
        </w:rPr>
        <w:t xml:space="preserve">Scientific Reports, 2025.</w:t>
      </w:r>
      <w:r>
        <w:rPr>
          <w:rFonts w:ascii="Cambria" w:cs="Cambria" w:eastAsia="Cambria" w:hAnsi="Cambria"/>
          <w:color w:val="0000CC"/>
          <w:sz w:val="24"/>
          <w:szCs w:val="24"/>
        </w:rPr>
        <w:t xml:space="preserve"> doi:10.1038/s41598-025-32740-1</w:t>
      </w:r>
    </w:p>
    <w:p>
      <w:pPr>
        <w:spacing w:after="140" w:line="300"/>
        <w:jc w:val="both"/>
      </w:pPr>
      <w:r>
        <w:rPr>
          <w:rFonts w:ascii="Cambria" w:cs="Cambria" w:eastAsia="Cambria" w:hAnsi="Cambria"/>
          <w:color w:val="0000CC"/>
          <w:sz w:val="24"/>
          <w:szCs w:val="24"/>
        </w:rPr>
        <w:t xml:space="preserve">[44] A. U. Eneh, L. A. C. Ahakonye, J. M. Lee, and D. -S. Kim.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CC"/>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CC"/>
          <w:sz w:val="24"/>
          <w:szCs w:val="24"/>
        </w:rPr>
        <w:t xml:space="preserve">[46] D. Ghosh, A.K. Das, S. Prajapat, and B. Sikdar. Blockchain-Enabled Hybrid Quantum-Safe Attribute-Based Access Control Scheme with Attribute Revocation Strategy for Smart Healthcare System. </w:t>
      </w:r>
      <w:r>
        <w:rPr>
          <w:rFonts w:ascii="Cambria" w:cs="Cambria" w:eastAsia="Cambria" w:hAnsi="Cambria"/>
          <w:color w:val="E6007E"/>
          <w:sz w:val="24"/>
          <w:szCs w:val="24"/>
        </w:rPr>
        <w:t xml:space="preserve">Distributed Ledger Technologies: Research and Practice, 2026.</w:t>
      </w:r>
      <w:r>
        <w:rPr>
          <w:rFonts w:ascii="Cambria" w:cs="Cambria" w:eastAsia="Cambria" w:hAnsi="Cambria"/>
          <w:color w:val="0000CC"/>
          <w:sz w:val="24"/>
          <w:szCs w:val="24"/>
        </w:rPr>
        <w:t xml:space="preserve"> doi:10.1145/3827623</w:t>
      </w:r>
    </w:p>
    <w:p>
      <w:pPr>
        <w:spacing w:after="140" w:line="300"/>
        <w:jc w:val="both"/>
      </w:pPr>
      <w:r>
        <w:rPr>
          <w:rFonts w:ascii="Cambria" w:cs="Cambria" w:eastAsia="Cambria" w:hAnsi="Cambria"/>
          <w:color w:val="0000CC"/>
          <w:sz w:val="24"/>
          <w:szCs w:val="24"/>
        </w:rPr>
        <w:t xml:space="preserve">[47] </w:t>
      </w:r>
      <w:r>
        <w:rPr>
          <w:rFonts w:ascii="Cambria" w:cs="Cambria" w:eastAsia="Cambria" w:hAnsi="Cambria"/>
          <w:color w:val="E6007E"/>
          <w:sz w:val="24"/>
          <w:szCs w:val="24"/>
        </w:rPr>
        <w:t xml:space="preserve">J. Hagström, M. Hägglund, M. Holmroos, P. Lähteenmäki, and I. Hörhammer.</w:t>
      </w:r>
      <w:r>
        <w:rPr>
          <w:rFonts w:ascii="Cambria" w:cs="Cambria" w:eastAsia="Cambria" w:hAnsi="Cambria"/>
          <w:color w:val="0000CC"/>
          <w:sz w:val="24"/>
          <w:szCs w:val="24"/>
        </w:rPr>
        <w:t xml:space="preserve">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E6007E"/>
          <w:sz w:val="24"/>
          <w:szCs w:val="24"/>
        </w:rPr>
        <w:t xml:space="preserve">[48] H. Gao, X. Wu, H. Huang, Q. Li, and Y. Xing. A Blockchain-Assisted Revocable and Efficient ABSE Scheme for Secure Medical Data Sharing. ACM Transactions on the Web, 20(1):1–29, 2026. doi:10.1145/3771992</w:t>
      </w:r>
    </w:p>
    <w:p>
      <w:pPr>
        <w:spacing w:after="140" w:line="300"/>
        <w:jc w:val="both"/>
      </w:pPr>
      <w:r>
        <w:rPr>
          <w:rFonts w:ascii="Cambria" w:cs="Cambria" w:eastAsia="Cambria" w:hAnsi="Cambria"/>
          <w:color w:val="0000CC"/>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CC"/>
          <w:sz w:val="24"/>
          <w:szCs w:val="24"/>
        </w:rPr>
        <w:t xml:space="preserve">[50] </w:t>
      </w:r>
      <w:r>
        <w:rPr>
          <w:rFonts w:ascii="Cambria" w:cs="Cambria" w:eastAsia="Cambria" w:hAnsi="Cambria"/>
          <w:color w:val="E6007E"/>
          <w:sz w:val="24"/>
          <w:szCs w:val="24"/>
        </w:rPr>
        <w:t xml:space="preserve">J. Zhao and Q. Su. A threshold traceable delegation authorization scheme for data sharing in healthcare. Computers &amp; Security, 139:103686, 2024.</w:t>
      </w:r>
      <w:r>
        <w:rPr>
          <w:rFonts w:ascii="Cambria" w:cs="Cambria" w:eastAsia="Cambria" w:hAnsi="Cambria"/>
          <w:color w:val="0000CC"/>
          <w:sz w:val="24"/>
          <w:szCs w:val="24"/>
        </w:rPr>
        <w:t xml:space="preserve"> doi:10.1016/j.cose.2023.103686</w:t>
      </w:r>
    </w:p>
    <w:p>
      <w:pPr>
        <w:spacing w:after="140" w:line="300"/>
        <w:jc w:val="both"/>
      </w:pPr>
      <w:r>
        <w:rPr>
          <w:rFonts w:ascii="Cambria" w:cs="Cambria" w:eastAsia="Cambria" w:hAnsi="Cambria"/>
          <w:color w:val="0000CC"/>
          <w:sz w:val="24"/>
          <w:szCs w:val="24"/>
        </w:rPr>
        <w:t xml:space="preserve">[51] H. Li, D. Li, G. Lv, N. Crespi, R. Minerva, W. Shao,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CC"/>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CC"/>
          <w:sz w:val="24"/>
          <w:szCs w:val="24"/>
        </w:rPr>
        <w:t xml:space="preserve">[53] M. M. Madine, K. Salah, R. Jayaraman, I. Yaqoob, Y. Al-Hammadi, S. Ellahham,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CC"/>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CC"/>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CC"/>
          <w:sz w:val="24"/>
          <w:szCs w:val="24"/>
        </w:rPr>
        <w:t xml:space="preserve">[56] </w:t>
      </w:r>
      <w:r>
        <w:rPr>
          <w:rFonts w:ascii="Cambria" w:cs="Cambria" w:eastAsia="Cambria" w:hAnsi="Cambria"/>
          <w:color w:val="E6007E"/>
          <w:sz w:val="24"/>
          <w:szCs w:val="24"/>
        </w:rPr>
        <w:t xml:space="preserve">M. Zhang, F. Shao, R. Zheng, M. Liu, and Z. Ji.</w:t>
      </w:r>
      <w:r>
        <w:rPr>
          <w:rFonts w:ascii="Cambria" w:cs="Cambria" w:eastAsia="Cambria" w:hAnsi="Cambria"/>
          <w:color w:val="0000CC"/>
          <w:sz w:val="24"/>
          <w:szCs w:val="24"/>
        </w:rPr>
        <w:t xml:space="preserve"> An Efficient Encryption Scheme with Fully Hidden Access Policy for Medical Data. Electronics, 2023. doi:10.3390/electronics12132930</w:t>
      </w:r>
    </w:p>
    <w:p>
      <w:pPr>
        <w:spacing w:after="140" w:line="300"/>
        <w:jc w:val="both"/>
      </w:pPr>
      <w:r>
        <w:rPr>
          <w:rFonts w:ascii="Cambria" w:cs="Cambria" w:eastAsia="Cambria" w:hAnsi="Cambria"/>
          <w:color w:val="0000CC"/>
          <w:sz w:val="24"/>
          <w:szCs w:val="24"/>
        </w:rPr>
        <w:t xml:space="preserve">[57] D.P. Panagoulias, A.I. Damian, C. Stamate, V. Toderian, P. Butusina, A. De Franceschi,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CC"/>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CC"/>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CC"/>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CC"/>
          <w:sz w:val="24"/>
          <w:szCs w:val="24"/>
        </w:rPr>
        <w:t xml:space="preserve">[61] A. Punia, P. Gulia, N.S. Gill, D. Kaushik, N. Alduaiji, P.K. Shukla,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CC"/>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CC"/>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E6007E"/>
          <w:sz w:val="24"/>
          <w:szCs w:val="24"/>
        </w:rPr>
        <w:t xml:space="preserve">[64] Hema S., Goli Bulli Sai Reddy, and Shalini R.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CC"/>
          <w:sz w:val="24"/>
          <w:szCs w:val="24"/>
        </w:rPr>
        <w:t xml:space="preserve">[65] N.M. Sawant and J. Gomes. A Decentralized Solution for Smarter and Safer Healthcare Systems with FabricMedChain. Iranian Journal of Science and Technology - Transactions of Electrical Engineering, 2026. doi:10.1007/s40998-025-00994-0</w:t>
      </w:r>
    </w:p>
    <w:p>
      <w:pPr>
        <w:spacing w:after="140" w:line="300"/>
        <w:jc w:val="both"/>
      </w:pPr>
      <w:r>
        <w:rPr>
          <w:rFonts w:ascii="Cambria" w:cs="Cambria" w:eastAsia="Cambria" w:hAnsi="Cambria"/>
          <w:color w:val="0000CC"/>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CC"/>
          <w:sz w:val="24"/>
          <w:szCs w:val="24"/>
        </w:rPr>
        <w:t xml:space="preserve">[67] </w:t>
      </w:r>
      <w:r>
        <w:rPr>
          <w:rFonts w:ascii="Cambria" w:cs="Cambria" w:eastAsia="Cambria" w:hAnsi="Cambria"/>
          <w:color w:val="E6007E"/>
          <w:sz w:val="24"/>
          <w:szCs w:val="24"/>
        </w:rPr>
        <w:t xml:space="preserve">S. L. Soohoo, M. S. Keller, Y. Chen, D. Hu, S.-C. Huang, T.-T. Kuo, et al.</w:t>
      </w:r>
      <w:r>
        <w:rPr>
          <w:rFonts w:ascii="Cambria" w:cs="Cambria" w:eastAsia="Cambria" w:hAnsi="Cambria"/>
          <w:color w:val="0000CC"/>
          <w:sz w:val="24"/>
          <w:szCs w:val="24"/>
        </w:rPr>
        <w:t xml:space="preserve">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E6007E"/>
          <w:sz w:val="24"/>
          <w:szCs w:val="24"/>
        </w:rPr>
        <w:t xml:space="preserve">[68] T. A. V. Y. Ranaweera, H. N. H. Hewage, H. K. D. W. M. C. B. Hapuhinna, K. L. K. T. Preethilal, A. Senarathne, and L. Ruggahakotuwa.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CC"/>
          <w:sz w:val="24"/>
          <w:szCs w:val="24"/>
        </w:rPr>
        <w:t xml:space="preserve">[69] </w:t>
      </w:r>
      <w:r>
        <w:rPr>
          <w:rFonts w:ascii="Cambria" w:cs="Cambria" w:eastAsia="Cambria" w:hAnsi="Cambria"/>
          <w:color w:val="E6007E"/>
          <w:sz w:val="24"/>
          <w:szCs w:val="24"/>
        </w:rPr>
        <w:t xml:space="preserve">K.-L. Tan, C.-H. Chi, and K.-Y. Lam.</w:t>
      </w:r>
      <w:r>
        <w:rPr>
          <w:rFonts w:ascii="Cambria" w:cs="Cambria" w:eastAsia="Cambria" w:hAnsi="Cambria"/>
          <w:color w:val="0000CC"/>
          <w:sz w:val="24"/>
          <w:szCs w:val="24"/>
        </w:rPr>
        <w:t xml:space="preserve">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CC"/>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CC"/>
          <w:sz w:val="24"/>
          <w:szCs w:val="24"/>
        </w:rPr>
        <w:t xml:space="preserve">[71] </w:t>
      </w:r>
      <w:r>
        <w:rPr>
          <w:rFonts w:ascii="Cambria" w:cs="Cambria" w:eastAsia="Cambria" w:hAnsi="Cambria"/>
          <w:color w:val="E6007E"/>
          <w:sz w:val="24"/>
          <w:szCs w:val="24"/>
        </w:rPr>
        <w:t xml:space="preserve">D. Tith, J.-S. Lee, H. Suzuki, W. M. A. B. Wijesundara, N. Taira, T. Obi, et al.</w:t>
      </w:r>
      <w:r>
        <w:rPr>
          <w:rFonts w:ascii="Cambria" w:cs="Cambria" w:eastAsia="Cambria" w:hAnsi="Cambria"/>
          <w:color w:val="0000CC"/>
          <w:sz w:val="24"/>
          <w:szCs w:val="24"/>
        </w:rPr>
        <w:t xml:space="preserve">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CC"/>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CC"/>
          <w:sz w:val="24"/>
          <w:szCs w:val="24"/>
        </w:rPr>
        <w:t xml:space="preserve">[73] </w:t>
      </w:r>
      <w:r>
        <w:rPr>
          <w:rFonts w:ascii="Cambria" w:cs="Cambria" w:eastAsia="Cambria" w:hAnsi="Cambria"/>
          <w:color w:val="E6007E"/>
          <w:sz w:val="24"/>
          <w:szCs w:val="24"/>
        </w:rPr>
        <w:t xml:space="preserve">C.-H. Tseng, Y.-H. Hsieh, H.-Y. Lin, and S.-M. Yuan.</w:t>
      </w:r>
      <w:r>
        <w:rPr>
          <w:rFonts w:ascii="Cambria" w:cs="Cambria" w:eastAsia="Cambria" w:hAnsi="Cambria"/>
          <w:color w:val="0000CC"/>
          <w:sz w:val="24"/>
          <w:szCs w:val="24"/>
        </w:rPr>
        <w:t xml:space="preserve"> EMR-Chain: Decentralized Electronic Medical Record Exchange System. Technologies, 2025. doi:10.3390/technologies13100446</w:t>
      </w:r>
    </w:p>
    <w:p>
      <w:pPr>
        <w:spacing w:after="140" w:line="300"/>
        <w:jc w:val="both"/>
      </w:pPr>
      <w:r>
        <w:rPr>
          <w:rFonts w:ascii="Cambria" w:cs="Cambria" w:eastAsia="Cambria" w:hAnsi="Cambria"/>
          <w:color w:val="0000CC"/>
          <w:sz w:val="24"/>
          <w:szCs w:val="24"/>
        </w:rPr>
        <w:t xml:space="preserve">[74] </w:t>
      </w:r>
      <w:r>
        <w:rPr>
          <w:rFonts w:ascii="Cambria" w:cs="Cambria" w:eastAsia="Cambria" w:hAnsi="Cambria"/>
          <w:color w:val="E6007E"/>
          <w:sz w:val="24"/>
          <w:szCs w:val="24"/>
        </w:rPr>
        <w:t xml:space="preserve">J. Wagner, H. Schneiderheinze, M. Wurlitzer, O. Köckritz, N. Dittberner, M. Bialke, et al.</w:t>
      </w:r>
      <w:r>
        <w:rPr>
          <w:rFonts w:ascii="Cambria" w:cs="Cambria" w:eastAsia="Cambria" w:hAnsi="Cambria"/>
          <w:color w:val="0000CC"/>
          <w:sz w:val="24"/>
          <w:szCs w:val="24"/>
        </w:rPr>
        <w:t xml:space="preserve"> Integration of Trusted Third Party Software into an EDC System for Data Protection - Compliant Identity Management, Consent Management and Pseudonymization in Medical Research Studies. Studies in Health Technology and Informatics, 2024. doi:10.3233/SHTI240840</w:t>
      </w:r>
    </w:p>
    <w:p>
      <w:pPr>
        <w:spacing w:after="140" w:line="300"/>
        <w:jc w:val="both"/>
      </w:pPr>
      <w:r>
        <w:rPr>
          <w:rFonts w:ascii="Cambria" w:cs="Cambria" w:eastAsia="Cambria" w:hAnsi="Cambria"/>
          <w:color w:val="0000CC"/>
          <w:sz w:val="24"/>
          <w:szCs w:val="24"/>
        </w:rPr>
        <w:t xml:space="preserve">[75] Y. Wu, C. Liu, L. Sebald, P. Nguyen, and Y. Yesha. Apply Trust Computing and Privacy Preserving Smart Contracts to Manage, Share, and Analyze Multi-site Clinical Trial Data. </w:t>
      </w:r>
      <w:r>
        <w:rPr>
          <w:rFonts w:ascii="Cambria" w:cs="Cambria" w:eastAsia="Cambria" w:hAnsi="Cambria"/>
          <w:color w:val="E6007E"/>
          <w:sz w:val="24"/>
          <w:szCs w:val="24"/>
        </w:rPr>
        <w:t xml:space="preserve">In Proceedings of the International Conference on Deep Learning, Big Data and Blockchain (DBB 2022), Lecture Notes in Networks and Systems, vol. 541, pages 3–14. Springer, 2023.</w:t>
      </w:r>
      <w:r>
        <w:rPr>
          <w:rFonts w:ascii="Cambria" w:cs="Cambria" w:eastAsia="Cambria" w:hAnsi="Cambria"/>
          <w:color w:val="0000CC"/>
          <w:sz w:val="24"/>
          <w:szCs w:val="24"/>
        </w:rPr>
        <w:t xml:space="preserve"> doi:10.1007/978-3-031-16035-6_1</w:t>
      </w:r>
    </w:p>
    <w:p>
      <w:pPr>
        <w:spacing w:after="140" w:line="300"/>
        <w:jc w:val="both"/>
      </w:pPr>
      <w:r>
        <w:rPr>
          <w:rFonts w:ascii="Cambria" w:cs="Cambria" w:eastAsia="Cambria" w:hAnsi="Cambria"/>
          <w:color w:val="0000CC"/>
          <w:sz w:val="24"/>
          <w:szCs w:val="24"/>
        </w:rPr>
        <w:t xml:space="preserve">[76] </w:t>
      </w:r>
      <w:r>
        <w:rPr>
          <w:rFonts w:ascii="Cambria" w:cs="Cambria" w:eastAsia="Cambria" w:hAnsi="Cambria"/>
          <w:color w:val="E6007E"/>
          <w:sz w:val="24"/>
          <w:szCs w:val="24"/>
        </w:rPr>
        <w:t xml:space="preserve">Z. Wu and D. Zhang. HealthDID: An efficient and authorizable multi-party privacy-preserving EMR sharing system based on DID. Computer Standards &amp; Interfaces, 93:103967, 2025.</w:t>
      </w:r>
      <w:r>
        <w:rPr>
          <w:rFonts w:ascii="Cambria" w:cs="Cambria" w:eastAsia="Cambria" w:hAnsi="Cambria"/>
          <w:color w:val="0000CC"/>
          <w:sz w:val="24"/>
          <w:szCs w:val="24"/>
        </w:rPr>
        <w:t xml:space="preserve"> doi:10.1016/j.csi.2024.103967</w:t>
      </w:r>
    </w:p>
    <w:p>
      <w:pPr>
        <w:spacing w:after="140" w:line="300"/>
        <w:jc w:val="both"/>
      </w:pPr>
      <w:r>
        <w:rPr>
          <w:rFonts w:ascii="Cambria" w:cs="Cambria" w:eastAsia="Cambria" w:hAnsi="Cambria"/>
          <w:color w:val="0000CC"/>
          <w:sz w:val="24"/>
          <w:szCs w:val="24"/>
        </w:rPr>
        <w:t xml:space="preserve">[77] G. Xu, C. Qi, W. Dong, L. Gong, S. Liu, S. Chen,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CC"/>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CC"/>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CC"/>
          <w:sz w:val="24"/>
          <w:szCs w:val="24"/>
        </w:rPr>
        <w:t xml:space="preserve">[80] </w:t>
      </w:r>
      <w:r>
        <w:rPr>
          <w:rFonts w:ascii="Cambria" w:cs="Cambria" w:eastAsia="Cambria" w:hAnsi="Cambria"/>
          <w:color w:val="E6007E"/>
          <w:sz w:val="24"/>
          <w:szCs w:val="24"/>
        </w:rPr>
        <w:t xml:space="preserve">S. Phuyal, M. Bhandari, R. Correia Bezerra, R. Bista, and J. C. Ferreira. Dynamic Consent for Secondary Use of Health Data: Challenges and Opportunities Under European Law. JMIR Medical Informatics,</w:t>
      </w:r>
      <w:r>
        <w:rPr>
          <w:rFonts w:ascii="Cambria" w:cs="Cambria" w:eastAsia="Cambria" w:hAnsi="Cambria"/>
          <w:color w:val="0000CC"/>
          <w:sz w:val="24"/>
          <w:szCs w:val="24"/>
        </w:rPr>
        <w:t xml:space="preserve"> 2026. doi:10.2196/93348</w:t>
      </w:r>
    </w:p>
    <w:p>
      <w:pPr>
        <w:spacing w:after="140" w:line="300"/>
        <w:jc w:val="both"/>
      </w:pPr>
      <w:r>
        <w:rPr>
          <w:rFonts w:ascii="Cambria" w:cs="Cambria" w:eastAsia="Cambria" w:hAnsi="Cambria"/>
          <w:color w:val="0000CC"/>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653d234c264cb2d0ab9db9e87f0f9f11e93ed8.png"/><Relationship Id="rId9" Type="http://schemas.openxmlformats.org/officeDocument/2006/relationships/image" Target="media/ccd72e2e58b0dc6514d20c963b8b7becc3c295e6.png"/><Relationship Id="rId10" Type="http://schemas.openxmlformats.org/officeDocument/2006/relationships/image" Target="media/6ced11ccfd209f2b169059f007bfc6c558821a7a.png"/><Relationship Id="rId11" Type="http://schemas.openxmlformats.org/officeDocument/2006/relationships/image" Target="media/f4b6ea28e0e666686476222a6b1b89d73384aab9.png"/><Relationship Id="rId12" Type="http://schemas.openxmlformats.org/officeDocument/2006/relationships/image" Target="media/ee2ce06eb84fb3d2a932120266e3fed69179cb8c.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2026-09-29T10:16:17.641Z</dcterms:created>
  <dcterms:modified xsi:type="dcterms:W3CDTF">2026-09-29T10:16:17.641Z</dcterms:modified>
</cp:coreProperties>
</file>

<file path=docProps/custom.xml><?xml version="1.0" encoding="utf-8"?>
<Properties xmlns="http://schemas.openxmlformats.org/officeDocument/2006/custom-properties" xmlns:vt="http://schemas.openxmlformats.org/officeDocument/2006/docPropsVTypes"/>
</file>