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30</w:t>
      </w:r>
    </w:p>
    <w:p>
      <w:pPr>
        <w:tabs>
          <w:tab w:val="right" w:pos="9128" w:leader="dot"/>
        </w:tabs>
        <w:spacing w:after="100"/>
      </w:pPr>
      <w:r>
        <w:rPr>
          <w:rFonts w:ascii="Times New Roman" w:cs="Times New Roman" w:eastAsia="Times New Roman" w:hAnsi="Times New Roman"/>
          <w:sz w:val="22"/>
          <w:szCs w:val="22"/>
        </w:rPr>
        <w:t xml:space="preserve">7. The Proposed Solution for RO2	34</w:t>
      </w:r>
    </w:p>
    <w:p>
      <w:pPr>
        <w:tabs>
          <w:tab w:val="right" w:pos="9128" w:leader="dot"/>
        </w:tabs>
        <w:spacing w:after="100"/>
      </w:pPr>
      <w:r>
        <w:rPr>
          <w:rFonts w:ascii="Times New Roman" w:cs="Times New Roman" w:eastAsia="Times New Roman" w:hAnsi="Times New Roman"/>
          <w:sz w:val="22"/>
          <w:szCs w:val="22"/>
        </w:rPr>
        <w:t xml:space="preserve">8. The Proposed Solution for RO3	38</w:t>
      </w:r>
    </w:p>
    <w:p>
      <w:pPr>
        <w:tabs>
          <w:tab w:val="right" w:pos="9128" w:leader="dot"/>
        </w:tabs>
        <w:spacing w:after="100"/>
      </w:pPr>
      <w:r>
        <w:rPr>
          <w:rFonts w:ascii="Times New Roman" w:cs="Times New Roman" w:eastAsia="Times New Roman" w:hAnsi="Times New Roman"/>
          <w:sz w:val="22"/>
          <w:szCs w:val="22"/>
        </w:rPr>
        <w:t xml:space="preserve">9. The Proposed Solution for RO4	43</w:t>
      </w:r>
    </w:p>
    <w:p>
      <w:pPr>
        <w:tabs>
          <w:tab w:val="right" w:pos="9128" w:leader="dot"/>
        </w:tabs>
        <w:spacing w:after="100"/>
      </w:pPr>
      <w:r>
        <w:rPr>
          <w:rFonts w:ascii="Times New Roman" w:cs="Times New Roman" w:eastAsia="Times New Roman" w:hAnsi="Times New Roman"/>
          <w:sz w:val="22"/>
          <w:szCs w:val="22"/>
        </w:rPr>
        <w:t xml:space="preserve">10. The Proposed Solution for RO5	48</w:t>
      </w:r>
    </w:p>
    <w:p>
      <w:pPr>
        <w:tabs>
          <w:tab w:val="right" w:pos="9128" w:leader="dot"/>
        </w:tabs>
        <w:spacing w:after="100"/>
      </w:pPr>
      <w:r>
        <w:rPr>
          <w:rFonts w:ascii="Times New Roman" w:cs="Times New Roman" w:eastAsia="Times New Roman" w:hAnsi="Times New Roman"/>
          <w:sz w:val="22"/>
          <w:szCs w:val="22"/>
        </w:rPr>
        <w:t xml:space="preserve">11. The Proposed Solution for RO6	52</w:t>
      </w:r>
    </w:p>
    <w:p>
      <w:pPr>
        <w:tabs>
          <w:tab w:val="right" w:pos="9128" w:leader="dot"/>
        </w:tabs>
        <w:spacing w:after="100"/>
      </w:pPr>
      <w:r>
        <w:rPr>
          <w:rFonts w:ascii="Times New Roman" w:cs="Times New Roman" w:eastAsia="Times New Roman" w:hAnsi="Times New Roman"/>
          <w:sz w:val="22"/>
          <w:szCs w:val="22"/>
        </w:rPr>
        <w:t xml:space="preserve">12. Publications Summary	68</w:t>
      </w:r>
    </w:p>
    <w:p>
      <w:pPr>
        <w:tabs>
          <w:tab w:val="right" w:pos="9128" w:leader="dot"/>
        </w:tabs>
        <w:spacing w:after="100"/>
      </w:pPr>
      <w:r>
        <w:rPr>
          <w:rFonts w:ascii="Times New Roman" w:cs="Times New Roman" w:eastAsia="Times New Roman" w:hAnsi="Times New Roman"/>
          <w:sz w:val="22"/>
          <w:szCs w:val="22"/>
        </w:rPr>
        <w:t xml:space="preserve">13. Research Plan	69</w:t>
      </w:r>
    </w:p>
    <w:p>
      <w:pPr>
        <w:tabs>
          <w:tab w:val="right" w:pos="9128" w:leader="dot"/>
        </w:tabs>
        <w:spacing w:after="100"/>
      </w:pPr>
      <w:r>
        <w:rPr>
          <w:rFonts w:ascii="Times New Roman" w:cs="Times New Roman" w:eastAsia="Times New Roman" w:hAnsi="Times New Roman"/>
          <w:sz w:val="22"/>
          <w:szCs w:val="22"/>
        </w:rPr>
        <w:t xml:space="preserve">References	71</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Digital services make collaboration easier, but they also raise a governance question: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color w:val="00A000"/>
          <w:sz w:val="22"/>
          <w:szCs w:val="22"/>
        </w:rPr>
        <w:t xml:space="preserve">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color w:val="00A000"/>
          <w:sz w:val="22"/>
          <w:szCs w:val="22"/>
        </w:rPr>
        <w:t xml:space="preserve">Traditional access-control architectures are based on centralised identity providers, institution-specific authentication systems, and relatively static permission-management mechanisms.</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these settings, authorisation is a distributed governance problem, not just a check of a user's login and a static permission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color w:val="00A000"/>
          <w:sz w:val="22"/>
          <w:szCs w:val="22"/>
        </w:rPr>
        <w:t xml:space="preserve">Blockchain-based mechanisms can provide tamper-resistant recording and distributed auditability </w:t>
      </w:r>
      <w:r>
        <w:rPr>
          <w:rFonts w:ascii="Times New Roman" w:cs="Times New Roman" w:eastAsia="Times New Roman" w:hAnsi="Times New Roman"/>
          <w:color w:val="00A000"/>
          <w:sz w:val="22"/>
          <w:szCs w:val="22"/>
        </w:rPr>
        <w:t xml:space="preserve">(Al Mamun, Azam &amp; Gritti 2022; Hellstern et al. 2022; Li, Liu &amp; Shrestha 2026; Nguyen et al. 2025)</w:t>
      </w:r>
      <w:r>
        <w:rPr>
          <w:rFonts w:ascii="Times New Roman" w:cs="Times New Roman" w:eastAsia="Times New Roman" w:hAnsi="Times New Roman"/>
          <w:color w:val="00A000"/>
          <w:sz w:val="22"/>
          <w:szCs w:val="22"/>
        </w:rPr>
        <w:t xml:space="preserve">, while decentralised identifiers can support the identification of participants without relying exclusively on a central identity provider.</w:t>
      </w:r>
      <w:r>
        <w:rPr>
          <w:rFonts w:ascii="Times New Roman" w:cs="Times New Roman" w:eastAsia="Times New Roman" w:hAnsi="Times New Roman"/>
          <w:color w:val="00A000"/>
          <w:sz w:val="22"/>
          <w:szCs w:val="22"/>
        </w:rPr>
        <w:t xml:space="preserve"> Verifiable credentials can provide cryptographically verifiable evidence concerning roles or authority, and policy-based access-control mechanisms can restrict access to authorised resources.</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Consent must therefore be treated as an active, evaluable part of the authorisation process, not as a static record of permission,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color w:val="00A000"/>
          <w:sz w:val="22"/>
          <w:szCs w:val="22"/>
        </w:rPr>
        <w:t xml:space="preserve"> Existing approaches provide important technological components, including decentralised identity and verifiable credentials </w:t>
      </w:r>
      <w:r>
        <w:rPr>
          <w:rFonts w:ascii="Times New Roman" w:cs="Times New Roman" w:eastAsia="Times New Roman" w:hAnsi="Times New Roman"/>
          <w:color w:val="00A000"/>
          <w:sz w:val="22"/>
          <w:szCs w:val="22"/>
        </w:rPr>
        <w:t xml:space="preserve">(Phuyal et al. 2026b; Wu &amp; Zhang 2025)</w:t>
      </w:r>
      <w:r>
        <w:rPr>
          <w:rFonts w:ascii="Times New Roman" w:cs="Times New Roman" w:eastAsia="Times New Roman" w:hAnsi="Times New Roman"/>
          <w:color w:val="00A000"/>
          <w:sz w:val="22"/>
          <w:szCs w:val="22"/>
        </w:rPr>
        <w:t xml:space="preserve">, blockchain-based records, multi-party approval mechanisms </w:t>
      </w:r>
      <w:r>
        <w:rPr>
          <w:rFonts w:ascii="Times New Roman" w:cs="Times New Roman" w:eastAsia="Times New Roman" w:hAnsi="Times New Roman"/>
          <w:color w:val="00A000"/>
          <w:sz w:val="22"/>
          <w:szCs w:val="22"/>
        </w:rPr>
        <w:t xml:space="preserve">(Ekholm et al. 2025; Punia et al. 2025; Tan, Chi &amp; Lam 2024)</w:t>
      </w:r>
      <w:r>
        <w:rPr>
          <w:rFonts w:ascii="Times New Roman" w:cs="Times New Roman" w:eastAsia="Times New Roman" w:hAnsi="Times New Roman"/>
          <w:color w:val="00A000"/>
          <w:sz w:val="22"/>
          <w:szCs w:val="22"/>
        </w:rPr>
        <w:t xml:space="preserve">, and policy-based access control </w:t>
      </w:r>
      <w:r>
        <w:rPr>
          <w:rFonts w:ascii="Times New Roman" w:cs="Times New Roman" w:eastAsia="Times New Roman" w:hAnsi="Times New Roman"/>
          <w:color w:val="00A000"/>
          <w:sz w:val="22"/>
          <w:szCs w:val="22"/>
        </w:rPr>
        <w:t xml:space="preserve">(Eneh et al. 2026; Khayer et al. 2025; Panagoulias et al. 2026; Román-Martínez et al. 2023)</w:t>
      </w:r>
      <w:r>
        <w:rPr>
          <w:rFonts w:ascii="Times New Roman" w:cs="Times New Roman" w:eastAsia="Times New Roman" w:hAnsi="Times New Roman"/>
          <w:color w:val="00A000"/>
          <w:sz w:val="22"/>
          <w:szCs w:val="22"/>
        </w:rPr>
        <w:t xml:space="preserve">, as well as several partial combinations.</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 (SRQ1 to SRQ6, referred to as RQ1 to RQ6).</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color w:val="00A000"/>
          <w:sz w:val="22"/>
          <w:szCs w:val="22"/>
        </w:rPr>
        <w:t xml:space="preserve"> Synthetic healthcare records derived from the Synthea dataset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covers the work delivered so far, while temporal and lifecycle trust, formal security assurance, and comprehensive empirical validation will be developed further in the next stage.</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Having the security mechanisms is one thing</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Identifiers (DIDs)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color w:val="00A000"/>
          <w:sz w:val="22"/>
          <w:szCs w:val="22"/>
        </w:rPr>
        <w:t xml:space="preserve">(Jiang et al. 2023)</w:t>
      </w:r>
      <w:r>
        <w:rPr>
          <w:rFonts w:ascii="Times New Roman" w:cs="Times New Roman" w:eastAsia="Times New Roman" w:hAnsi="Times New Roman"/>
          <w:color w:val="00A000"/>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All screening, coding, and quality assessment up to the reporting checkpoint were carried out by the author,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color w:val="00A000"/>
          <w:sz w:val="22"/>
          <w:szCs w:val="22"/>
        </w:rPr>
        <w:t xml:space="preserve">(Albalwy, Brass &amp; Davies 2021; Jaiman &amp; Urovi 2020; Madine et al. 2020; Tith et al. 2020)</w:t>
      </w:r>
      <w:r>
        <w:rPr>
          <w:rFonts w:ascii="Times New Roman" w:cs="Times New Roman" w:eastAsia="Times New Roman" w:hAnsi="Times New Roman"/>
          <w:color w:val="00A000"/>
          <w:sz w:val="22"/>
          <w:szCs w:val="22"/>
        </w:rPr>
        <w:t xml:space="preserve">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One full-text report could not be retrieved, and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2.1 shows the quality items, how each one was scored, and the rule used for inclusion.</w:t>
      </w:r>
      <w:r>
        <w:rPr>
          <w:rFonts w:ascii="Times New Roman" w:cs="Times New Roman" w:eastAsia="Times New Roman" w:hAnsi="Times New Roman"/>
          <w:color w:val="00A000"/>
          <w:sz w:val="22"/>
          <w:szCs w:val="22"/>
        </w:rPr>
        <w:t xml:space="preserve">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w:t>
      </w:r>
      <w:r>
        <w:rPr>
          <w:rFonts w:ascii="Times New Roman" w:cs="Times New Roman" w:eastAsia="Times New Roman" w:hAnsi="Times New Roman"/>
          <w:color w:val="00A000"/>
          <w:sz w:val="22"/>
          <w:szCs w:val="22"/>
        </w:rPr>
        <w:t xml:space="preserve">(Albalwy, Brass &amp; Davies 2021; Li et al. 2026a)</w:t>
      </w:r>
      <w:r>
        <w:rPr>
          <w:rFonts w:ascii="Times New Roman" w:cs="Times New Roman" w:eastAsia="Times New Roman" w:hAnsi="Times New Roman"/>
          <w:color w:val="00A000"/>
          <w:sz w:val="22"/>
          <w:szCs w:val="22"/>
        </w:rPr>
        <w:t xml:space="preserve">, they form the 25 primary studies, S1 to S25. 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w:t>
      </w:r>
      <w:r>
        <w:rPr>
          <w:rFonts w:ascii="Times New Roman" w:cs="Times New Roman" w:eastAsia="Times New Roman" w:hAnsi="Times New Roman"/>
          <w:color w:val="00A000"/>
          <w:sz w:val="22"/>
          <w:szCs w:val="22"/>
        </w:rPr>
        <w:t xml:space="preserve">(Hagström et al. 2024)</w:t>
      </w:r>
      <w:r>
        <w:rPr>
          <w:rFonts w:ascii="Times New Roman" w:cs="Times New Roman" w:eastAsia="Times New Roman" w:hAnsi="Times New Roman"/>
          <w:color w:val="00A000"/>
          <w:sz w:val="22"/>
          <w:szCs w:val="22"/>
        </w:rPr>
        <w:t xml:space="preserve">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w:t>
      </w:r>
      <w:r>
        <w:rPr>
          <w:rFonts w:ascii="Times New Roman" w:cs="Times New Roman" w:eastAsia="Times New Roman" w:hAnsi="Times New Roman"/>
          <w:color w:val="00A000"/>
          <w:sz w:val="22"/>
          <w:szCs w:val="22"/>
        </w:rPr>
        <w:t xml:space="preserve">(2023)</w:t>
      </w:r>
      <w:r>
        <w:rPr>
          <w:rFonts w:ascii="Times New Roman" w:cs="Times New Roman" w:eastAsia="Times New Roman" w:hAnsi="Times New Roman"/>
          <w:color w:val="00A000"/>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 Table 2.3 summarises the description and the issues and limitations of each primary study.</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color w:val="00A000"/>
          <w:sz w:val="22"/>
          <w:szCs w:val="22"/>
        </w:rPr>
        <w:t xml:space="preserve"> Phuyal et al. </w:t>
      </w:r>
      <w:r>
        <w:rPr>
          <w:rFonts w:ascii="Times New Roman" w:cs="Times New Roman" w:eastAsia="Times New Roman" w:hAnsi="Times New Roman"/>
          <w:color w:val="00A000"/>
          <w:sz w:val="22"/>
          <w:szCs w:val="22"/>
        </w:rPr>
        <w:t xml:space="preserve">(2026b)</w:t>
      </w:r>
      <w:r>
        <w:rPr>
          <w:rFonts w:ascii="Times New Roman" w:cs="Times New Roman" w:eastAsia="Times New Roman" w:hAnsi="Times New Roman"/>
          <w:color w:val="00A000"/>
          <w:sz w:val="22"/>
          <w:szCs w:val="22"/>
        </w:rPr>
        <w:t xml:space="preserve">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color w:val="00A000"/>
          <w:sz w:val="22"/>
          <w:szCs w:val="22"/>
        </w:rPr>
        <w:t xml:space="preserve">(Phuyal et al. 2026a)</w:t>
      </w:r>
      <w:r>
        <w:rPr>
          <w:rFonts w:ascii="Times New Roman" w:cs="Times New Roman" w:eastAsia="Times New Roman" w:hAnsi="Times New Roman"/>
          <w:color w:val="00A000"/>
          <w:sz w:val="22"/>
          <w:szCs w:val="22"/>
        </w:rPr>
        <w:t xml:space="preserve"> is design-only.</w:t>
      </w:r>
      <w:r>
        <w:rPr>
          <w:rFonts w:ascii="Times New Roman" w:cs="Times New Roman" w:eastAsia="Times New Roman" w:hAnsi="Times New Roman"/>
          <w:color w:val="00A000"/>
          <w:sz w:val="22"/>
          <w:szCs w:val="22"/>
        </w:rPr>
        <w:t xml:space="preserve"> Tseng et al.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w:t>
      </w:r>
      <w:r>
        <w:rPr>
          <w:rFonts w:ascii="Times New Roman" w:cs="Times New Roman" w:eastAsia="Times New Roman" w:hAnsi="Times New Roman"/>
          <w:color w:val="00A000"/>
          <w:sz w:val="22"/>
          <w:szCs w:val="22"/>
        </w:rPr>
        <w:t xml:space="preserve">(2022)</w:t>
      </w:r>
      <w:r>
        <w:rPr>
          <w:rFonts w:ascii="Times New Roman" w:cs="Times New Roman" w:eastAsia="Times New Roman" w:hAnsi="Times New Roman"/>
          <w:color w:val="00A000"/>
          <w:sz w:val="22"/>
          <w:szCs w:val="22"/>
        </w:rPr>
        <w:t xml:space="preserve"> apply a (t, n) investigator threshold to record admission and revocation, and Abbasi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use a Shamir (5, 3) threshold for key custody.</w:t>
      </w:r>
      <w:r>
        <w:rPr>
          <w:rFonts w:ascii="Times New Roman" w:cs="Times New Roman" w:eastAsia="Times New Roman" w:hAnsi="Times New Roman"/>
          <w:color w:val="00A000"/>
          <w:sz w:val="22"/>
          <w:szCs w:val="22"/>
        </w:rPr>
        <w:t xml:space="preserve"> Punia et al.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w:t>
      </w:r>
      <w:r>
        <w:rPr>
          <w:rFonts w:ascii="Times New Roman" w:cs="Times New Roman" w:eastAsia="Times New Roman" w:hAnsi="Times New Roman"/>
          <w:color w:val="00A000"/>
          <w:sz w:val="22"/>
          <w:szCs w:val="22"/>
        </w:rPr>
        <w:t xml:space="preserve">(2024)</w:t>
      </w:r>
      <w:r>
        <w:rPr>
          <w:rFonts w:ascii="Times New Roman" w:cs="Times New Roman" w:eastAsia="Times New Roman" w:hAnsi="Times New Roman"/>
          <w:color w:val="00A000"/>
          <w:sz w:val="22"/>
          <w:szCs w:val="22"/>
        </w:rPr>
        <w:t xml:space="preserve"> use patient-appointed verifiers as a contingency, </w:t>
      </w:r>
      <w:r>
        <w:rPr>
          <w:rFonts w:ascii="Times New Roman" w:cs="Times New Roman" w:eastAsia="Times New Roman" w:hAnsi="Times New Roman"/>
          <w:color w:val="00A000"/>
          <w:sz w:val="22"/>
          <w:szCs w:val="22"/>
        </w:rPr>
        <w:t xml:space="preserve">(Ekholm et al. 2025)</w:t>
      </w:r>
      <w:r>
        <w:rPr>
          <w:rFonts w:ascii="Times New Roman" w:cs="Times New Roman" w:eastAsia="Times New Roman" w:hAnsi="Times New Roman"/>
          <w:color w:val="00A000"/>
          <w:sz w:val="22"/>
          <w:szCs w:val="22"/>
        </w:rPr>
        <w:t xml:space="preserve"> reports guardian co-consent at registration time, and </w:t>
      </w:r>
      <w:r>
        <w:rPr>
          <w:rFonts w:ascii="Times New Roman" w:cs="Times New Roman" w:eastAsia="Times New Roman" w:hAnsi="Times New Roman"/>
          <w:color w:val="00A000"/>
          <w:sz w:val="22"/>
          <w:szCs w:val="22"/>
        </w:rPr>
        <w:t xml:space="preserve">(Hagström et al. 2024)</w:t>
      </w:r>
      <w:r>
        <w:rPr>
          <w:rFonts w:ascii="Times New Roman" w:cs="Times New Roman" w:eastAsia="Times New Roman" w:hAnsi="Times New Roman"/>
          <w:color w:val="00A000"/>
          <w:sz w:val="22"/>
          <w:szCs w:val="22"/>
        </w:rPr>
        <w:t xml:space="preserve">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Tith et al.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match a purpose tree in chaincode, and Jaiman and Urovi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match ontology terms against the patient's consent.</w:t>
      </w:r>
      <w:r>
        <w:rPr>
          <w:rFonts w:ascii="Times New Roman" w:cs="Times New Roman" w:eastAsia="Times New Roman" w:hAnsi="Times New Roman"/>
          <w:color w:val="00A000"/>
          <w:sz w:val="22"/>
          <w:szCs w:val="22"/>
        </w:rPr>
        <w:t xml:space="preserve"> Albalwy et al. </w:t>
      </w:r>
      <w:r>
        <w:rPr>
          <w:rFonts w:ascii="Times New Roman" w:cs="Times New Roman" w:eastAsia="Times New Roman" w:hAnsi="Times New Roman"/>
          <w:color w:val="00A000"/>
          <w:sz w:val="22"/>
          <w:szCs w:val="22"/>
        </w:rPr>
        <w:t xml:space="preserve">(2021)</w:t>
      </w:r>
      <w:r>
        <w:rPr>
          <w:rFonts w:ascii="Times New Roman" w:cs="Times New Roman" w:eastAsia="Times New Roman" w:hAnsi="Times New Roman"/>
          <w:color w:val="00A000"/>
          <w:sz w:val="22"/>
          <w:szCs w:val="22"/>
        </w:rPr>
        <w:t xml:space="preserve"> evaluate a hashed policy tree of data type, role, and purpose, and Román-Martínez et al. </w:t>
      </w:r>
      <w:r>
        <w:rPr>
          <w:rFonts w:ascii="Times New Roman" w:cs="Times New Roman" w:eastAsia="Times New Roman" w:hAnsi="Times New Roman"/>
          <w:color w:val="00A000"/>
          <w:sz w:val="22"/>
          <w:szCs w:val="22"/>
        </w:rPr>
        <w:t xml:space="preserve">(2023)</w:t>
      </w:r>
      <w:r>
        <w:rPr>
          <w:rFonts w:ascii="Times New Roman" w:cs="Times New Roman" w:eastAsia="Times New Roman" w:hAnsi="Times New Roman"/>
          <w:color w:val="00A000"/>
          <w:sz w:val="22"/>
          <w:szCs w:val="22"/>
        </w:rPr>
        <w:t xml:space="preserve">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2.4 is Yes in 10, Partial in 11, and No in 4.</w:t>
      </w:r>
      <w:r>
        <w:rPr>
          <w:rFonts w:ascii="Times New Roman" w:cs="Times New Roman" w:eastAsia="Times New Roman" w:hAnsi="Times New Roman"/>
          <w:color w:val="00A000"/>
          <w:sz w:val="22"/>
          <w:szCs w:val="22"/>
        </w:rPr>
        <w:t xml:space="preserve"> However, purpose-of-use enters the decision in only six studies </w:t>
      </w:r>
      <w:r>
        <w:rPr>
          <w:rFonts w:ascii="Times New Roman" w:cs="Times New Roman" w:eastAsia="Times New Roman" w:hAnsi="Times New Roman"/>
          <w:color w:val="00A000"/>
          <w:sz w:val="22"/>
          <w:szCs w:val="22"/>
        </w:rPr>
        <w:t xml:space="preserve">(Eneh et al. 2026; Panagoulias et al. 2026)</w:t>
      </w:r>
      <w:r>
        <w:rPr>
          <w:rFonts w:ascii="Times New Roman" w:cs="Times New Roman" w:eastAsia="Times New Roman" w:hAnsi="Times New Roman"/>
          <w:color w:val="00A000"/>
          <w:sz w:val="22"/>
          <w:szCs w:val="22"/>
        </w:rPr>
        <w:t xml:space="preserve">,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bind the expiry into key derivation, and Panagoulias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enforce revocation at decision time across 43,500 simulated attempts in a single-node ledger.</w:t>
      </w:r>
      <w:r>
        <w:rPr>
          <w:rFonts w:ascii="Times New Roman" w:cs="Times New Roman" w:eastAsia="Times New Roman" w:hAnsi="Times New Roman"/>
          <w:color w:val="00A000"/>
          <w:sz w:val="22"/>
          <w:szCs w:val="22"/>
        </w:rPr>
        <w:t xml:space="preserve"> T5 is coded Yes in 8 studies and T6 in 7, a post-revocation denial is demonstrated only by </w:t>
      </w:r>
      <w:r>
        <w:rPr>
          <w:rFonts w:ascii="Times New Roman" w:cs="Times New Roman" w:eastAsia="Times New Roman" w:hAnsi="Times New Roman"/>
          <w:color w:val="00A000"/>
          <w:sz w:val="22"/>
          <w:szCs w:val="22"/>
        </w:rPr>
        <w:t xml:space="preserve">(Phuyal et al. 2026b)</w:t>
      </w:r>
      <w:r>
        <w:rPr>
          <w:rFonts w:ascii="Times New Roman" w:cs="Times New Roman" w:eastAsia="Times New Roman" w:hAnsi="Times New Roman"/>
          <w:color w:val="00A000"/>
          <w:sz w:val="22"/>
          <w:szCs w:val="22"/>
        </w:rPr>
        <w:t xml:space="preserve">, and the four stream-5 systems that enforce time inside the decision are all single-party, with Li et al. </w:t>
      </w:r>
      <w:r>
        <w:rPr>
          <w:rFonts w:ascii="Times New Roman" w:cs="Times New Roman" w:eastAsia="Times New Roman" w:hAnsi="Times New Roman"/>
          <w:color w:val="00A000"/>
          <w:sz w:val="22"/>
          <w:szCs w:val="22"/>
        </w:rPr>
        <w:t xml:space="preserve">(2026a)</w:t>
      </w:r>
      <w:r>
        <w:rPr>
          <w:rFonts w:ascii="Times New Roman" w:cs="Times New Roman" w:eastAsia="Times New Roman" w:hAnsi="Times New Roman"/>
          <w:color w:val="00A000"/>
          <w:sz w:val="22"/>
          <w:szCs w:val="22"/>
        </w:rPr>
        <w:t xml:space="preserve"> doing so through the credential rather than the consent.</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w:t>
      </w:r>
      <w:r>
        <w:rPr>
          <w:rFonts w:ascii="Times New Roman" w:cs="Times New Roman" w:eastAsia="Times New Roman" w:hAnsi="Times New Roman"/>
          <w:color w:val="00A000"/>
          <w:sz w:val="22"/>
          <w:szCs w:val="22"/>
        </w:rPr>
        <w:t xml:space="preserve">(2024)</w:t>
      </w:r>
      <w:r>
        <w:rPr>
          <w:rFonts w:ascii="Times New Roman" w:cs="Times New Roman" w:eastAsia="Times New Roman" w:hAnsi="Times New Roman"/>
          <w:color w:val="00A000"/>
          <w:sz w:val="22"/>
          <w:szCs w:val="22"/>
        </w:rPr>
        <w:t xml:space="preserve"> and Maruthi and Singh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prove threshold gates in isolation, and Mei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An inverse relation between predicate breadth and assurance strength was observed.</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color w:val="00A000"/>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w:t>
      </w:r>
      <w:r>
        <w:rPr>
          <w:rFonts w:ascii="Times New Roman" w:cs="Times New Roman" w:eastAsia="Times New Roman" w:hAnsi="Times New Roman"/>
          <w:color w:val="00A000"/>
          <w:sz w:val="22"/>
          <w:szCs w:val="22"/>
        </w:rPr>
        <w:t xml:space="preserve">(Mei et al. 2026)</w:t>
      </w:r>
      <w:r>
        <w:rPr>
          <w:rFonts w:ascii="Times New Roman" w:cs="Times New Roman" w:eastAsia="Times New Roman" w:hAnsi="Times New Roman"/>
          <w:color w:val="00A000"/>
          <w:sz w:val="22"/>
          <w:szCs w:val="22"/>
        </w:rPr>
        <w:t xml:space="preserve">, prove only a static encryption predicate.</w:t>
      </w:r>
      <w:r>
        <w:rPr>
          <w:rFonts w:ascii="Times New Roman" w:cs="Times New Roman" w:eastAsia="Times New Roman" w:hAnsi="Times New Roman"/>
          <w:color w:val="00A000"/>
          <w:sz w:val="22"/>
          <w:szCs w:val="22"/>
        </w:rPr>
        <w:t xml:space="preserve"> Table 2.4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r>
              <w:rPr>
                <w:rFonts w:ascii="Times New Roman" w:cs="Times New Roman" w:eastAsia="Times New Roman" w:hAnsi="Times New Roman"/>
                <w:b w:val="false"/>
                <w:bCs w:val="false"/>
                <w:sz w:val="17"/>
                <w:szCs w:val="17"/>
              </w:rPr>
              <w:t xml:space="preserve">b</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w:t>
      </w:r>
      <w:r>
        <w:rPr>
          <w:rFonts w:ascii="Times New Roman" w:cs="Times New Roman" w:eastAsia="Times New Roman" w:hAnsi="Times New Roman"/>
          <w:color w:val="00A000"/>
          <w:sz w:val="22"/>
          <w:szCs w:val="22"/>
        </w:rPr>
        <w:t xml:space="preserve">(Madine et al. 2020)</w:t>
      </w:r>
      <w:r>
        <w:rPr>
          <w:rFonts w:ascii="Times New Roman" w:cs="Times New Roman" w:eastAsia="Times New Roman" w:hAnsi="Times New Roman"/>
          <w:color w:val="00A000"/>
          <w:sz w:val="22"/>
          <w:szCs w:val="22"/>
        </w:rPr>
        <w:t xml:space="preserve"> and </w:t>
      </w:r>
      <w:r>
        <w:rPr>
          <w:rFonts w:ascii="Times New Roman" w:cs="Times New Roman" w:eastAsia="Times New Roman" w:hAnsi="Times New Roman"/>
          <w:color w:val="00A000"/>
          <w:sz w:val="22"/>
          <w:szCs w:val="22"/>
        </w:rPr>
        <w:t xml:space="preserve">(Panagoulias et al. 2026)</w:t>
      </w:r>
      <w:r>
        <w:rPr>
          <w:rFonts w:ascii="Times New Roman" w:cs="Times New Roman" w:eastAsia="Times New Roman" w:hAnsi="Times New Roman"/>
          <w:color w:val="00A000"/>
          <w:sz w:val="22"/>
          <w:szCs w:val="22"/>
        </w:rPr>
        <w:t xml:space="preserve">,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w:t>
      </w:r>
      <w:r>
        <w:rPr>
          <w:rFonts w:ascii="Times New Roman" w:cs="Times New Roman" w:eastAsia="Times New Roman" w:hAnsi="Times New Roman"/>
          <w:color w:val="00A000"/>
          <w:sz w:val="22"/>
          <w:szCs w:val="22"/>
        </w:rPr>
        <w:t xml:space="preserve">(Punia et al. 2025)</w:t>
      </w:r>
      <w:r>
        <w:rPr>
          <w:rFonts w:ascii="Times New Roman" w:cs="Times New Roman" w:eastAsia="Times New Roman" w:hAnsi="Times New Roman"/>
          <w:color w:val="00A000"/>
          <w:sz w:val="22"/>
          <w:szCs w:val="22"/>
        </w:rPr>
        <w:t xml:space="preserve">,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w:t>
      </w:r>
      <w:r>
        <w:rPr>
          <w:rFonts w:ascii="Times New Roman" w:cs="Times New Roman" w:eastAsia="Times New Roman" w:hAnsi="Times New Roman"/>
          <w:color w:val="00A000"/>
          <w:sz w:val="22"/>
          <w:szCs w:val="22"/>
        </w:rPr>
        <w:t xml:space="preserve">(Maruthi &amp; Singh 2025; Zhao &amp; Su 2024)</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Fourth, the two quadruples are complementary, since Madine et al.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lack full policy and assurance, whereas Panagoulias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lack multi-party approval and full identity depth.</w:t>
      </w:r>
    </w:p>
    <w:p>
      <w:pPr>
        <w:spacing w:after="110" w:line="264"/>
        <w:jc w:val="both"/>
      </w:pPr>
      <w:r>
        <w:rPr>
          <w:rFonts w:ascii="Times New Roman" w:cs="Times New Roman" w:eastAsia="Times New Roman" w:hAnsi="Times New Roman"/>
          <w:color w:val="00A000"/>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w:t>
      </w:r>
      <w:r>
        <w:rPr>
          <w:rFonts w:ascii="Times New Roman" w:cs="Times New Roman" w:eastAsia="Times New Roman" w:hAnsi="Times New Roman"/>
          <w:color w:val="00A000"/>
          <w:sz w:val="22"/>
          <w:szCs w:val="22"/>
        </w:rPr>
        <w:t xml:space="preserve"> Table 2.5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left for the next stage (Sections 10 and 11).</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color w:val="00A000"/>
          <w:sz w:val="22"/>
          <w:szCs w:val="22"/>
        </w:rPr>
        <w:t xml:space="preserve"> The rarity of multi-party approval and formal verification is also seen in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4572000" cy="22955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955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color w:val="00A000"/>
          <w:sz w:val="22"/>
          <w:szCs w:val="22"/>
        </w:rPr>
        <w:t xml:space="preserve">The systematic literature review shows much work on individual mechanisms for securing healthcare data sharing, but also a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w:t>
      </w:r>
      <w:r>
        <w:rPr>
          <w:rFonts w:ascii="Times New Roman" w:cs="Times New Roman" w:eastAsia="Times New Roman" w:hAnsi="Times New Roman"/>
          <w:color w:val="00A000"/>
          <w:sz w:val="22"/>
          <w:szCs w:val="22"/>
        </w:rPr>
        <w:t xml:space="preserve">(Ferreira et al. 2025; Panagoulias et al. 2026; Phuyal et al. 2026b; Punia et al. 2025; Shanmugham &amp; Senthilkumar 2026)</w:t>
      </w:r>
      <w:r>
        <w:rPr>
          <w:rFonts w:ascii="Times New Roman" w:cs="Times New Roman" w:eastAsia="Times New Roman" w:hAnsi="Times New Roman"/>
          <w:color w:val="00A000"/>
          <w:sz w:val="22"/>
          <w:szCs w:val="22"/>
        </w:rPr>
        <w:t xml:space="preserve"> do not make multi-party approval a standing condition of that decision.</w:t>
      </w:r>
      <w:r>
        <w:rPr>
          <w:rFonts w:ascii="Times New Roman" w:cs="Times New Roman" w:eastAsia="Times New Roman" w:hAnsi="Times New Roman"/>
          <w:color w:val="00A000"/>
          <w:sz w:val="22"/>
          <w:szCs w:val="22"/>
        </w:rPr>
        <w:t xml:space="preserve">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color w:val="00A000"/>
          <w:sz w:val="22"/>
          <w:szCs w:val="22"/>
        </w:rPr>
        <w:t xml:space="preserve">The central gap is the absence of an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w:t>
      </w:r>
      <w:r>
        <w:rPr>
          <w:rFonts w:ascii="Times New Roman" w:cs="Times New Roman" w:eastAsia="Times New Roman" w:hAnsi="Times New Roman"/>
          <w:color w:val="00A000"/>
          <w:sz w:val="22"/>
          <w:szCs w:val="22"/>
        </w:rPr>
        <w:t xml:space="preserve">(Albalwy, Brass &amp; Davies 2021; Eneh et al. 2026; Phuyal et al. 2026b; Shanmugham &amp; Senthilkumar 2026; Tith et al. 2020)</w:t>
      </w:r>
      <w:r>
        <w:rPr>
          <w:rFonts w:ascii="Times New Roman" w:cs="Times New Roman" w:eastAsia="Times New Roman" w:hAnsi="Times New Roman"/>
          <w:color w:val="00A000"/>
          <w:sz w:val="22"/>
          <w:szCs w:val="22"/>
        </w:rPr>
        <w:t xml:space="preserve">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w:t>
      </w:r>
      <w:r>
        <w:rPr>
          <w:rFonts w:ascii="Times New Roman" w:cs="Times New Roman" w:eastAsia="Times New Roman" w:hAnsi="Times New Roman"/>
          <w:color w:val="00A000"/>
          <w:sz w:val="22"/>
          <w:szCs w:val="22"/>
        </w:rPr>
        <w:t xml:space="preserve">(Madine et al. 2020; Punia et al. 2025; Tan, Chi &amp; Lam 2024)</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color w:val="00A000"/>
          <w:sz w:val="22"/>
          <w:szCs w:val="22"/>
        </w:rPr>
        <w:t xml:space="preserve">(Punia et al. 2025; Wu et al. 2022; Zhao &amp; Su 2024)</w:t>
      </w:r>
      <w:r>
        <w:rPr>
          <w:rFonts w:ascii="Times New Roman" w:cs="Times New Roman" w:eastAsia="Times New Roman" w:hAnsi="Times New Roman"/>
          <w:color w:val="00A000"/>
          <w:sz w:val="22"/>
          <w:szCs w:val="22"/>
        </w:rPr>
        <w:t xml:space="preserve">, or appointed by the patient </w:t>
      </w:r>
      <w:r>
        <w:rPr>
          <w:rFonts w:ascii="Times New Roman" w:cs="Times New Roman" w:eastAsia="Times New Roman" w:hAnsi="Times New Roman"/>
          <w:color w:val="00A000"/>
          <w:sz w:val="22"/>
          <w:szCs w:val="22"/>
        </w:rPr>
        <w:t xml:space="preserve">(Maruthi &amp; Singh 2025; Tan, Chi &amp; Lam 2024)</w:t>
      </w:r>
      <w:r>
        <w:rPr>
          <w:rFonts w:ascii="Times New Roman" w:cs="Times New Roman" w:eastAsia="Times New Roman" w:hAnsi="Times New Roman"/>
          <w:color w:val="00A000"/>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For brevity, SRQ1 to SRQ6 are referred to as RQ1 to RQ6 throughout this report.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(3.2).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w:t>
      </w:r>
      <w:r>
        <w:rPr>
          <w:rFonts w:ascii="Times New Roman" w:cs="Times New Roman" w:eastAsia="Times New Roman" w:hAnsi="Times New Roman"/>
          <w:color w:val="00A000"/>
          <w:sz w:val="22"/>
          <w:szCs w:val="22"/>
        </w:rPr>
        <w:t xml:space="preserve">(Groth 2016)</w:t>
      </w:r>
      <w:r>
        <w:rPr>
          <w:rFonts w:ascii="Times New Roman" w:cs="Times New Roman" w:eastAsia="Times New Roman" w:hAnsi="Times New Roman"/>
          <w:color w:val="00A000"/>
          <w:sz w:val="22"/>
          <w:szCs w:val="22"/>
        </w:rPr>
        <w:t xml:space="preserve"> to verify, so a request that satisfies the five predicates is still denied when the proof fails, as in attack A9 (Section 11.5).</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color w:val="00A000"/>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the lifecycle transition check, a formal lifecycle model, and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Each research question therefore has one research activity, and each objective contributes to the framework.</w:t>
      </w:r>
      <w:r>
        <w:rPr>
          <w:rFonts w:ascii="Times New Roman" w:cs="Times New Roman" w:eastAsia="Times New Roman" w:hAnsi="Times New Roman"/>
          <w:color w:val="00A000"/>
          <w:sz w:val="22"/>
          <w:szCs w:val="22"/>
        </w:rPr>
        <w:t xml:space="preserve"> RO1 to RO4 are delivered in this stage,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color w:val="00A000"/>
          <w:sz w:val="22"/>
          <w:szCs w:val="22"/>
        </w:rPr>
        <w:t xml:space="preserve"> In the proposed framework, MVC does more than separate data, interfaces, and application logic.</w:t>
      </w:r>
      <w:r>
        <w:rPr>
          <w:rFonts w:ascii="Times New Roman" w:cs="Times New Roman" w:eastAsia="Times New Roman" w:hAnsi="Times New Roman"/>
          <w:color w:val="00A000"/>
          <w:sz w:val="22"/>
          <w:szCs w:val="22"/>
        </w:rPr>
        <w:t xml:space="preserve"> It is extended to support a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is the result of evaluating independently verifiable security conditions together.</w:t>
      </w:r>
      <w:r>
        <w:rPr>
          <w:rFonts w:ascii="Times New Roman" w:cs="Times New Roman" w:eastAsia="Times New Roman" w:hAnsi="Times New Roman"/>
          <w:color w:val="00A000"/>
          <w:sz w:val="22"/>
          <w:szCs w:val="22"/>
        </w:rPr>
        <w:t xml:space="preserve"> 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5.1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w:t>
      </w:r>
      <w:r>
        <w:rPr>
          <w:rFonts w:ascii="Times New Roman" w:cs="Times New Roman" w:eastAsia="Times New Roman" w:hAnsi="Times New Roman"/>
          <w:color w:val="00A000"/>
          <w:sz w:val="22"/>
          <w:szCs w:val="22"/>
        </w:rPr>
        <w:t xml:space="preserve"> A revoke transaction is sent when the patient revokes a consent, and the patient view waits for its confirmation.</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5.3,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r>
        <w:rPr>
          <w:rFonts w:ascii="Times New Roman" w:cs="Times New Roman" w:eastAsia="Times New Roman" w:hAnsi="Times New Roman"/>
          <w:color w:val="00A000"/>
          <w:sz w:val="22"/>
          <w:szCs w:val="22"/>
        </w:rPr>
        <w:t xml:space="preserve"> Figure 5.4 puts the same conditions in the order a request meets them.</w:t>
      </w:r>
      <w:r>
        <w:rPr>
          <w:rFonts w:ascii="Times New Roman" w:cs="Times New Roman" w:eastAsia="Times New Roman" w:hAnsi="Times New Roman"/>
          <w:color w:val="00A000"/>
          <w:sz w:val="22"/>
          <w:szCs w:val="22"/>
        </w:rPr>
        <w:t xml:space="preserve"> A DID answers who is asking, a verifiable credential and a signed approval answer what that participant may do, the threshold answers whether the guardians agreed, and the policy, temporal and jurisdictional checks with the zero-knowledge proof answer whether the consent is still valid for this request.</w:t>
      </w:r>
      <w:r>
        <w:rPr>
          <w:rFonts w:ascii="Times New Roman" w:cs="Times New Roman" w:eastAsia="Times New Roman" w:hAnsi="Times New Roman"/>
          <w:color w:val="00A000"/>
          <w:sz w:val="22"/>
          <w:szCs w:val="22"/>
        </w:rPr>
        <w:t xml:space="preserve"> The figure also states, gate by gate, what the current prototype checks, so the reader can see where the design and the prototype differ before the detailed sections.</w:t>
      </w:r>
    </w:p>
    <w:p>
      <w:pPr>
        <w:keepNext/>
        <w:spacing w:after="60" w:before="160"/>
        <w:jc w:val="center"/>
      </w:pPr>
      <w:r>
        <w:drawing>
          <wp:inline distT="0" distB="0" distL="0" distR="0">
            <wp:extent cx="5715000" cy="4752975"/>
            <wp:effectExtent t="0" r="0" b="0" l="0"/>
            <wp:docPr id="1" name="F44.png" descr="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the prototype records the decision matrix in the audit ledger only for a request evaluated against an ACTIVE consent" titl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the prototype records the decision matrix in the audit ledger only for a request evaluated against an ACTIVE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7529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prototype records the decision matrix in the audit ledger only for a request evaluated against an ACTIVE consent</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5.5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 guardians'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guardians whose approvals have been verified and let N denote the required authorisation threshold, as in Equation (5.1).</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5.5: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set of verified approving guardians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(5.2),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Beyond the access decision shown in Figure 5.5, the prototype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color w:val="00A000"/>
          <w:sz w:val="22"/>
          <w:szCs w:val="22"/>
        </w:rPr>
        <w:t xml:space="preserve"> Similarly, the purpose must be a supported healthcare use.</w:t>
      </w:r>
      <w:r>
        <w:rPr>
          <w:rFonts w:ascii="Times New Roman" w:cs="Times New Roman" w:eastAsia="Times New Roman" w:hAnsi="Times New Roman"/>
          <w:color w:val="00A000"/>
          <w:sz w:val="22"/>
          <w:szCs w:val="22"/>
        </w:rPr>
        <w:t xml:space="preserv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is evaluated by the Controller before an access decision is produced,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the next stage.</w:t>
      </w:r>
      <w:r>
        <w:rPr>
          <w:rFonts w:ascii="Times New Roman" w:cs="Times New Roman" w:eastAsia="Times New Roman" w:hAnsi="Times New Roman"/>
          <w:color w:val="00A000"/>
          <w:sz w:val="22"/>
          <w:szCs w:val="22"/>
        </w:rPr>
        <w:t xml:space="preserve"> 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00A000"/>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w:t>
      </w:r>
      <w:r>
        <w:rPr>
          <w:rFonts w:ascii="Times New Roman" w:cs="Times New Roman" w:eastAsia="Times New Roman" w:hAnsi="Times New Roman"/>
          <w:sz w:val="22"/>
          <w:szCs w:val="22"/>
        </w:rPr>
        <w:t xml:space="preserve"> 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be non-empty, and every guardian in it must have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authorised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color w:val="00A000"/>
          <w:sz w:val="22"/>
          <w:szCs w:val="22"/>
        </w:rPr>
        <w:t xml:space="preserve"> The main contribution of RO1 is that consent is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r>
        <w:rPr>
          <w:rFonts w:ascii="Times New Roman" w:cs="Times New Roman" w:eastAsia="Times New Roman" w:hAnsi="Times New Roman"/>
          <w:color w:val="00A000"/>
          <w:sz w:val="22"/>
          <w:szCs w:val="22"/>
        </w:rPr>
        <w:t xml:space="preserve"> 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00A000"/>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(7.2),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color w:val="00A000"/>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7.1,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7.1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r>
        <w:rPr>
          <w:rFonts w:ascii="Times New Roman" w:cs="Times New Roman" w:eastAsia="Times New Roman" w:hAnsi="Times New Roman"/>
          <w:color w:val="00A000"/>
          <w:sz w:val="22"/>
          <w:szCs w:val="22"/>
        </w:rPr>
        <w:t xml:space="preserve"> 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r>
        <w:rPr>
          <w:rFonts w:ascii="Times New Roman" w:cs="Times New Roman" w:eastAsia="Times New Roman" w:hAnsi="Times New Roman"/>
          <w:color w:val="00A000"/>
          <w:sz w:val="22"/>
          <w:szCs w:val="22"/>
        </w:rPr>
        <w:t xml:space="preserve"> 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approving guardians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color w:val="00A000"/>
          <w:sz w:val="22"/>
          <w:szCs w:val="22"/>
        </w:rPr>
        <w:t xml:space="preserve"> In the HALAH implementation, as shown in Figure 8.1, the guardian workflow checks the EIP-712 signature and the DID format, which stands in for VC verification in the prototype.</w:t>
      </w:r>
      <w:r>
        <w:rPr>
          <w:rFonts w:ascii="Times New Roman" w:cs="Times New Roman" w:eastAsia="Times New Roman" w:hAnsi="Times New Roman"/>
          <w:color w:val="00A000"/>
          <w:sz w:val="22"/>
          <w:szCs w:val="22"/>
        </w:rPr>
        <w:t xml:space="preserve"> It then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7.1.</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(8.1)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r>
        <w:rPr>
          <w:rFonts w:ascii="Times New Roman" w:cs="Times New Roman" w:eastAsia="Times New Roman" w:hAnsi="Times New Roman"/>
          <w:color w:val="00A000"/>
          <w:sz w:val="22"/>
          <w:szCs w:val="22"/>
        </w:rPr>
        <w:t xml:space="preserve"> 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the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r>
        <w:rPr>
          <w:rFonts w:ascii="Times New Roman" w:cs="Times New Roman" w:eastAsia="Times New Roman" w:hAnsi="Times New Roman"/>
          <w:color w:val="00A000"/>
          <w:sz w:val="22"/>
          <w:szCs w:val="22"/>
        </w:rPr>
        <w:t xml:space="preserve"> 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(9.1)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color w:val="00A000"/>
          <w:sz w:val="22"/>
          <w:szCs w:val="22"/>
        </w:rPr>
        <w:t xml:space="preserve"> After the identity and authorisation conditions are satisfied, the system evaluates the consent purpose and the requested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9.1,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requires the evidence supporting the access decision to be a Groth16 zero-knowledge proof that has verified</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color w:val="00A000"/>
          <w:sz w:val="22"/>
          <w:szCs w:val="22"/>
        </w:rPr>
        <w:t xml:space="preserve"> The circuit is written in circom </w:t>
      </w:r>
      <w:r>
        <w:rPr>
          <w:rFonts w:ascii="Times New Roman" w:cs="Times New Roman" w:eastAsia="Times New Roman" w:hAnsi="Times New Roman"/>
          <w:color w:val="00A000"/>
          <w:sz w:val="22"/>
          <w:szCs w:val="22"/>
        </w:rPr>
        <w:t xml:space="preserve">(iden3 2026b)</w:t>
      </w:r>
      <w:r>
        <w:rPr>
          <w:rFonts w:ascii="Times New Roman" w:cs="Times New Roman" w:eastAsia="Times New Roman" w:hAnsi="Times New Roman"/>
          <w:color w:val="00A000"/>
          <w:sz w:val="22"/>
          <w:szCs w:val="22"/>
        </w:rPr>
        <w:t xml:space="preserve">, and the proof is generated and verified with snarkjs </w:t>
      </w:r>
      <w:r>
        <w:rPr>
          <w:rFonts w:ascii="Times New Roman" w:cs="Times New Roman" w:eastAsia="Times New Roman" w:hAnsi="Times New Roman"/>
          <w:color w:val="00A000"/>
          <w:sz w:val="22"/>
          <w:szCs w:val="22"/>
        </w:rPr>
        <w:t xml:space="preserve">(iden3 2026a)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The proof shows that the prover knows the secret and the expiry time behind a Poseidon commitment </w:t>
      </w:r>
      <w:r>
        <w:rPr>
          <w:rFonts w:ascii="Times New Roman" w:cs="Times New Roman" w:eastAsia="Times New Roman" w:hAnsi="Times New Roman"/>
          <w:color w:val="00A000"/>
          <w:sz w:val="22"/>
          <w:szCs w:val="22"/>
        </w:rPr>
        <w:t xml:space="preserve">(Grassi et al. 2021)</w:t>
      </w:r>
      <w:r>
        <w:rPr>
          <w:rFonts w:ascii="Times New Roman" w:cs="Times New Roman" w:eastAsia="Times New Roman" w:hAnsi="Times New Roman"/>
          <w:color w:val="00A000"/>
          <w:sz w:val="22"/>
          <w:szCs w:val="22"/>
        </w:rPr>
        <w:t xml:space="preserve">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9.1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matters because a framework must show that legitimate requests succeed and that foreseeable attempts to bypass its security controls fail.</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color w:val="00A000"/>
          <w:sz w:val="22"/>
          <w:szCs w:val="22"/>
        </w:rPr>
        <w:t xml:space="preserve">From an architectural perspective, Algorithm 9.1 therefore acts as the final policy-enforcement layer of the proposed authorisation lifecycle.</w:t>
      </w:r>
      <w:r>
        <w:rPr>
          <w:rFonts w:ascii="Times New Roman" w:cs="Times New Roman" w:eastAsia="Times New Roman" w:hAnsi="Times New Roman"/>
          <w:color w:val="00A000"/>
          <w:sz w:val="22"/>
          <w:szCs w:val="22"/>
        </w:rPr>
        <w:t xml:space="preserve"> Algorithm 6.1 establishes the consent constraints, Algorithm 7.1 establishes trustworthy identity and authority evidence, and Algorithm 8.1 establishes collective authorisation evidence.</w:t>
      </w:r>
      <w:r>
        <w:rPr>
          <w:rFonts w:ascii="Times New Roman" w:cs="Times New Roman" w:eastAsia="Times New Roman" w:hAnsi="Times New Roman"/>
          <w:color w:val="00A000"/>
          <w:sz w:val="22"/>
          <w:szCs w:val="22"/>
        </w:rPr>
        <w:t xml:space="preserve"> Algorithm 9.1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r>
        <w:rPr>
          <w:rFonts w:ascii="Times New Roman" w:cs="Times New Roman" w:eastAsia="Times New Roman" w:hAnsi="Times New Roman"/>
          <w:color w:val="00A000"/>
          <w:sz w:val="22"/>
          <w:szCs w:val="22"/>
        </w:rPr>
        <w:t xml:space="preserve"> 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the next stage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r>
        <w:rPr>
          <w:rFonts w:ascii="Times New Roman" w:cs="Times New Roman" w:eastAsia="Times New Roman" w:hAnsi="Times New Roman"/>
          <w:color w:val="00A000"/>
          <w:sz w:val="22"/>
          <w:szCs w:val="22"/>
        </w:rPr>
        <w:t xml:space="preserve"> 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color w:val="00A000"/>
          <w:sz w:val="22"/>
          <w:szCs w:val="22"/>
        </w:rPr>
        <w:t xml:space="preserve">Equation (10.2)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(10.3).</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color w:val="00A000"/>
          <w:sz w:val="22"/>
          <w:szCs w:val="22"/>
        </w:rPr>
        <w:t xml:space="preserve">Authorisation is not permanent.</w:t>
      </w:r>
      <w:r>
        <w:rPr>
          <w:rFonts w:ascii="Times New Roman" w:cs="Times New Roman" w:eastAsia="Times New Roman" w:hAnsi="Times New Roman"/>
          <w:color w:val="00A000"/>
          <w:sz w:val="22"/>
          <w:szCs w:val="22"/>
        </w:rPr>
        <w:t xml:space="preserve"> A consent that was valid when approved can later become invalid through expiration or revocation.</w:t>
      </w:r>
      <w:r>
        <w:rPr>
          <w:rFonts w:ascii="Times New Roman" w:cs="Times New Roman" w:eastAsia="Times New Roman" w:hAnsi="Times New Roman"/>
          <w:color w:val="00A000"/>
          <w:sz w:val="22"/>
          <w:szCs w:val="22"/>
        </w:rPr>
        <w:t xml:space="preserve">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 PENDING_TOKEN is the brief state between the last verified approval and the recording of the local token identifier</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At each evaluation,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10.2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The system therefore checks whether authorisation is still valid at the time an operation is requested, instead of treating authorisation as a one-time event.</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the next stage.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The next stage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will record an unauthorised state-transition event and return INVALID, but this check is not yet implemented.</w:t>
      </w:r>
      <w:r>
        <w:rPr>
          <w:rFonts w:ascii="Times New Roman" w:cs="Times New Roman" w:eastAsia="Times New Roman" w:hAnsi="Times New Roman"/>
          <w:sz w:val="22"/>
          <w:szCs w:val="22"/>
        </w:rPr>
        <w:t xml:space="preserve"> The implemented temporal and revocation checks already ensure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The main activities of the next stage and their expected outcomes are summarised in Section 13.</w:t>
      </w:r>
      <w:r>
        <w:rPr>
          <w:rFonts w:ascii="Times New Roman" w:cs="Times New Roman" w:eastAsia="Times New Roman" w:hAnsi="Times New Roman"/>
          <w:color w:val="00A000"/>
          <w:sz w:val="22"/>
          <w:szCs w:val="22"/>
        </w:rPr>
        <w:t xml:space="preserve"> 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in the next stage.</w:t>
      </w:r>
      <w:r>
        <w:rPr>
          <w:rFonts w:ascii="Times New Roman" w:cs="Times New Roman" w:eastAsia="Times New Roman" w:hAnsi="Times New Roman"/>
          <w:color w:val="00A000"/>
          <w:sz w:val="22"/>
          <w:szCs w:val="22"/>
        </w:rPr>
        <w:t xml:space="preserve"> 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color w:val="00A000"/>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of the five predicates of Equation (10.3)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color w:val="00A000"/>
          <w:sz w:val="22"/>
          <w:szCs w:val="22"/>
        </w:rPr>
        <w:t xml:space="preserve"> Its 23 functional and regression tests check that each of the five conditions can refuse a request on its own: an invalid guardian signature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a revoked consent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 purpose that is not a supported healthcare use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an expired consent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a jurisdiction mismatch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They also check that a new consent starts as PENDING_SIGNATURE and is ACTIVE once both guardians have signed and the token is recorded.</w:t>
      </w:r>
      <w:r>
        <w:rPr>
          <w:rFonts w:ascii="Times New Roman" w:cs="Times New Roman" w:eastAsia="Times New Roman" w:hAnsi="Times New Roman"/>
          <w:color w:val="00A000"/>
          <w:sz w:val="22"/>
          <w:szCs w:val="22"/>
        </w:rPr>
        <w:t xml:space="preserve"> A tampered proof fails verification, and no proof can be produced for an expired consent.</w:t>
      </w:r>
      <w:r>
        <w:rPr>
          <w:rFonts w:ascii="Times New Roman" w:cs="Times New Roman" w:eastAsia="Times New Roman" w:hAnsi="Times New Roman"/>
          <w:color w:val="00A000"/>
          <w:sz w:val="22"/>
          <w:szCs w:val="22"/>
        </w:rPr>
        <w:t xml:space="preserve"> Consents, revocations and audit events persist after a reload.</w:t>
      </w:r>
      <w:r>
        <w:rPr>
          <w:rFonts w:ascii="Times New Roman" w:cs="Times New Roman" w:eastAsia="Times New Roman" w:hAnsi="Times New Roman"/>
          <w:color w:val="00A000"/>
          <w:sz w:val="22"/>
          <w:szCs w:val="22"/>
        </w:rPr>
        <w:t xml:space="preserve"> The 13 adversarial tests cover a baseline and twelve attack scenarios.</w:t>
      </w:r>
      <w:r>
        <w:rPr>
          <w:rFonts w:ascii="Times New Roman" w:cs="Times New Roman" w:eastAsia="Times New Roman" w:hAnsi="Times New Roman"/>
          <w:color w:val="00A000"/>
          <w:sz w:val="22"/>
          <w:szCs w:val="22"/>
        </w:rPr>
        <w:t xml:space="preserve"> Among them, an approval from outside G and a repeated approval leave the consent short of the threshold, and an over-scope or empty request is refused.</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color w:val="00A000"/>
          <w:sz w:val="22"/>
          <w:szCs w:val="22"/>
        </w:rPr>
        <w:t xml:space="preserve">The prototype uses synthetic patient records from the Synthea 1K sample </w:t>
      </w:r>
      <w:r>
        <w:rPr>
          <w:rFonts w:ascii="Times New Roman" w:cs="Times New Roman" w:eastAsia="Times New Roman" w:hAnsi="Times New Roman"/>
          <w:color w:val="00A000"/>
          <w:sz w:val="22"/>
          <w:szCs w:val="22"/>
        </w:rPr>
        <w:t xml:space="preserve">(Walonoski et al. 2018)</w:t>
      </w:r>
      <w:r>
        <w:rPr>
          <w:rFonts w:ascii="Times New Roman" w:cs="Times New Roman" w:eastAsia="Times New Roman" w:hAnsi="Times New Roman"/>
          <w:color w:val="00A000"/>
          <w:sz w:val="22"/>
          <w:szCs w:val="22"/>
        </w:rPr>
        <w:t xml:space="preserve">, taken from synthea.mitre.org in its CSV export rather than its FHIR R4 export </w:t>
      </w:r>
      <w:r>
        <w:rPr>
          <w:rFonts w:ascii="Times New Roman" w:cs="Times New Roman" w:eastAsia="Times New Roman" w:hAnsi="Times New Roman"/>
          <w:color w:val="00A000"/>
          <w:sz w:val="22"/>
          <w:szCs w:val="22"/>
        </w:rPr>
        <w:t xml:space="preserve">(HL7 International 2019)</w:t>
      </w:r>
      <w:r>
        <w:rPr>
          <w:rFonts w:ascii="Times New Roman" w:cs="Times New Roman" w:eastAsia="Times New Roman" w:hAnsi="Times New Roman"/>
          <w:color w:val="00A000"/>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consent management platform.</w:t>
      </w:r>
      <w:r>
        <w:rPr>
          <w:rFonts w:ascii="Times New Roman" w:cs="Times New Roman" w:eastAsia="Times New Roman" w:hAnsi="Times New Roman"/>
          <w:color w:val="00A000"/>
          <w:sz w:val="22"/>
          <w:szCs w:val="22"/>
        </w:rPr>
        <w:t xml:space="preserve"> The current system includes separate patient, guardian, doctor, and auditor interfaces,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color w:val="00A000"/>
          <w:sz w:val="22"/>
          <w:szCs w:val="22"/>
        </w:rPr>
        <w:t xml:space="preserve"> Following successful threshold satisfaction, the system generates activation or token evidence associated with the authorisation decision through ConsentSBTv3, a contract written in Solidity </w:t>
      </w:r>
      <w:r>
        <w:rPr>
          <w:rFonts w:ascii="Times New Roman" w:cs="Times New Roman" w:eastAsia="Times New Roman" w:hAnsi="Times New Roman"/>
          <w:color w:val="00A000"/>
          <w:sz w:val="22"/>
          <w:szCs w:val="22"/>
        </w:rPr>
        <w:t xml:space="preserve">(Ethereum Foundation 2026a)</w:t>
      </w:r>
      <w:r>
        <w:rPr>
          <w:rFonts w:ascii="Times New Roman" w:cs="Times New Roman" w:eastAsia="Times New Roman" w:hAnsi="Times New Roman"/>
          <w:color w:val="00A000"/>
          <w:sz w:val="22"/>
          <w:szCs w:val="22"/>
        </w:rPr>
        <w:t xml:space="preserve"> for the Ethereum virtual machine </w:t>
      </w:r>
      <w:r>
        <w:rPr>
          <w:rFonts w:ascii="Times New Roman" w:cs="Times New Roman" w:eastAsia="Times New Roman" w:hAnsi="Times New Roman"/>
          <w:color w:val="00A000"/>
          <w:sz w:val="22"/>
          <w:szCs w:val="22"/>
        </w:rPr>
        <w:t xml:space="preserve">(Wood 2014)</w:t>
      </w:r>
      <w:r>
        <w:rPr>
          <w:rFonts w:ascii="Times New Roman" w:cs="Times New Roman" w:eastAsia="Times New Roman" w:hAnsi="Times New Roman"/>
          <w:color w:val="00A000"/>
          <w:sz w:val="22"/>
          <w:szCs w:val="22"/>
        </w:rPr>
        <w:t xml:space="preserve">, compiled in Remix </w:t>
      </w:r>
      <w:r>
        <w:rPr>
          <w:rFonts w:ascii="Times New Roman" w:cs="Times New Roman" w:eastAsia="Times New Roman" w:hAnsi="Times New Roman"/>
          <w:color w:val="00A000"/>
          <w:sz w:val="22"/>
          <w:szCs w:val="22"/>
        </w:rPr>
        <w:t xml:space="preserve">(Ethereum Foundation 2026c)</w:t>
      </w:r>
      <w:r>
        <w:rPr>
          <w:rFonts w:ascii="Times New Roman" w:cs="Times New Roman" w:eastAsia="Times New Roman" w:hAnsi="Times New Roman"/>
          <w:color w:val="00A000"/>
          <w:sz w:val="22"/>
          <w:szCs w:val="22"/>
        </w:rPr>
        <w:t xml:space="preserve"> and deployed on the Sepolia testnet </w:t>
      </w:r>
      <w:r>
        <w:rPr>
          <w:rFonts w:ascii="Times New Roman" w:cs="Times New Roman" w:eastAsia="Times New Roman" w:hAnsi="Times New Roman"/>
          <w:color w:val="00A000"/>
          <w:sz w:val="22"/>
          <w:szCs w:val="22"/>
        </w:rPr>
        <w:t xml:space="preserve">(Ethereum Foundation 2026b)</w:t>
      </w:r>
      <w:r>
        <w:rPr>
          <w:rFonts w:ascii="Times New Roman" w:cs="Times New Roman" w:eastAsia="Times New Roman" w:hAnsi="Times New Roman"/>
          <w:color w:val="00A000"/>
          <w:sz w:val="22"/>
          <w:szCs w:val="22"/>
        </w:rPr>
        <w:t xml:space="preserve"> via MetaMask </w:t>
      </w:r>
      <w:r>
        <w:rPr>
          <w:rFonts w:ascii="Times New Roman" w:cs="Times New Roman" w:eastAsia="Times New Roman" w:hAnsi="Times New Roman"/>
          <w:color w:val="00A000"/>
          <w:sz w:val="22"/>
          <w:szCs w:val="22"/>
        </w:rPr>
        <w:t xml:space="preserve">(Consensys 2026)</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color w:val="00A000"/>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Figure 11.4 shows the evaluated consent f050c29a. 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11.2,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color w:val="00A000"/>
          <w:sz w:val="22"/>
          <w:szCs w:val="22"/>
        </w:rPr>
        <w:t xml:space="preserve"> The consent object therefore holds the information needed for identity verification, multi-party authorisation, policy evaluation, and auditability.</w:t>
      </w:r>
      <w:r>
        <w:rPr>
          <w:rFonts w:ascii="Times New Roman" w:cs="Times New Roman" w:eastAsia="Times New Roman" w:hAnsi="Times New Roman"/>
          <w:color w:val="00A000"/>
          <w:sz w:val="22"/>
          <w:szCs w:val="22"/>
        </w:rPr>
        <w:t xml:space="preserve"> It is a structured authorisation artefact, not only a record of patient preference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11.3.</w:t>
      </w:r>
      <w:r>
        <w:rPr>
          <w:rFonts w:ascii="Times New Roman" w:cs="Times New Roman" w:eastAsia="Times New Roman" w:hAnsi="Times New Roman"/>
          <w:sz w:val="22"/>
          <w:szCs w:val="22"/>
        </w:rPr>
        <w:t xml:space="preserve"> The public anchoring of the evaluated consent f050c29a in block 11,771,243 (block 11,771,581 for consent 04da25f5 in Figure 11.3)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11.4,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11.5,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11.6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is refused by the doctor subsystem at the consent-state check, because the consent is no longer ACTIVE</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11.7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11.8,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00A000"/>
          <w:sz w:val="22"/>
          <w:szCs w:val="22"/>
        </w:rPr>
        <w:t xml:space="preserve"> Table 11.3 shows the proof mode of this row as not logged, because the prototype began to log it on denied requests later the same day.</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11.11,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measured over three mints and two revokes, is the slowest step.</w:t>
      </w:r>
      <w:r>
        <w:rPr>
          <w:rFonts w:ascii="Times New Roman" w:cs="Times New Roman" w:eastAsia="Times New Roman" w:hAnsi="Times New Roman"/>
          <w:color w:val="00A000"/>
          <w:sz w:val="22"/>
          <w:szCs w:val="22"/>
        </w:rPr>
        <w:t xml:space="preserve"> The mint is anchored in the background, so it delays neither the guardians nor the doctor, whereas the patient waits for the confirmation of a revoke.</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component of C that it targets, as listed in Table 11.5.</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analysis records the unsuccessful cases and classifies each one as a violation of an intended security property or as a limitation to be addressed in the next stage.</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the next stage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next stage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The formal security model will be compared with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The next stage will address the prototype limitations that the evaluation has exposed, which include the N-of-N approval rule, the server-derived guardian keys, the unauthenticated requester role, the absence of cryptographic DID resolution and VC validation, the purpose check that does not yet compare a separately declared request purpose, the missing lifecycle transition check, and the unkeyed and unchained audit digest.</w:t>
      </w:r>
      <w:r>
        <w:rPr>
          <w:rFonts w:ascii="Times New Roman" w:cs="Times New Roman" w:eastAsia="Times New Roman" w:hAnsi="Times New Roman"/>
          <w:sz w:val="22"/>
          <w:szCs w:val="22"/>
        </w:rPr>
        <w:t xml:space="preserve"> This work establishes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the next stage.</w:t>
      </w:r>
      <w:r>
        <w:rPr>
          <w:rFonts w:ascii="Times New Roman" w:cs="Times New Roman" w:eastAsia="Times New Roman" w:hAnsi="Times New Roman"/>
          <w:sz w:val="22"/>
          <w:szCs w:val="22"/>
        </w:rPr>
        <w:t xml:space="preserve"> RO5 and RO6 constitute 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extend the framework of the current stage to dynamic consent governance, formal security assurance, and a fuller empirical validation.</w:t>
      </w:r>
      <w:r>
        <w:rPr>
          <w:rFonts w:ascii="Times New Roman" w:cs="Times New Roman" w:eastAsia="Times New Roman" w:hAnsi="Times New Roman"/>
          <w:color w:val="00A000"/>
          <w:sz w:val="22"/>
          <w:szCs w:val="22"/>
        </w:rPr>
        <w:t xml:space="preserve"> The lifecycle transition check, the formal lifecycle model, and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highlight w:val="yellow"/>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highlight w:val="yellow"/>
        </w:rPr>
        <w:t xml:space="preserve">Digital Society</w:t>
      </w:r>
      <w:r>
        <w:rPr>
          <w:rFonts w:ascii="Times New Roman" w:cs="Times New Roman" w:eastAsia="Times New Roman" w:hAnsi="Times New Roman"/>
          <w:sz w:val="18"/>
          <w:szCs w:val="18"/>
          <w:highlight w:val="yellow"/>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zkSNARKs implementation in JavaScript</w:t>
      </w:r>
      <w:r>
        <w:rPr>
          <w:rFonts w:ascii="Times New Roman" w:cs="Times New Roman" w:eastAsia="Times New Roman" w:hAnsi="Times New Roman"/>
          <w:sz w:val="18"/>
          <w:szCs w:val="18"/>
        </w:rPr>
        <w:t xml:space="preserve">, version 0.7, npm package, viewed 7 October 2026, &lt;https://www.npmjs.com/package/snarkjs&gt;.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highlight w:val="yellow"/>
        </w:rPr>
        <w:t xml:space="preserve">Jesus, V. &amp; Pandit, H.J. 2022, 'Consent receipts for a usable and auditable web of personal data', </w:t>
      </w:r>
      <w:r>
        <w:rPr>
          <w:rFonts w:ascii="Times New Roman" w:cs="Times New Roman" w:eastAsia="Times New Roman" w:hAnsi="Times New Roman"/>
          <w:i/>
          <w:iCs/>
          <w:sz w:val="18"/>
          <w:szCs w:val="18"/>
          <w:highlight w:val="yellow"/>
        </w:rPr>
        <w:t xml:space="preserve">IEEE Access</w:t>
      </w:r>
      <w:r>
        <w:rPr>
          <w:rFonts w:ascii="Times New Roman" w:cs="Times New Roman" w:eastAsia="Times New Roman" w:hAnsi="Times New Roman"/>
          <w:sz w:val="18"/>
          <w:szCs w:val="18"/>
          <w:highlight w:val="yellow"/>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highlight w:val="yellow"/>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highlight w:val="yellow"/>
        </w:rPr>
        <w:t xml:space="preserve">Entropy</w:t>
      </w:r>
      <w:r>
        <w:rPr>
          <w:rFonts w:ascii="Times New Roman" w:cs="Times New Roman" w:eastAsia="Times New Roman" w:hAnsi="Times New Roman"/>
          <w:sz w:val="18"/>
          <w:szCs w:val="18"/>
          <w:highlight w:val="yellow"/>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highlight w:val="yellow"/>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highlight w:val="yellow"/>
        </w:rPr>
        <w:t xml:space="preserve">Applied Sciences</w:t>
      </w:r>
      <w:r>
        <w:rPr>
          <w:rFonts w:ascii="Times New Roman" w:cs="Times New Roman" w:eastAsia="Times New Roman" w:hAnsi="Times New Roman"/>
          <w:sz w:val="18"/>
          <w:szCs w:val="18"/>
          <w:highlight w:val="yellow"/>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highlight w:val="yellow"/>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highlight w:val="yellow"/>
        </w:rPr>
        <w:t xml:space="preserve">Journal of the American Medical Informatics Association</w:t>
      </w:r>
      <w:r>
        <w:rPr>
          <w:rFonts w:ascii="Times New Roman" w:cs="Times New Roman" w:eastAsia="Times New Roman" w:hAnsi="Times New Roman"/>
          <w:sz w:val="18"/>
          <w:szCs w:val="18"/>
          <w:highlight w:val="yellow"/>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d1fcd4c36b78c8ff5aa352939eb1f7c4d7142381.png"/><Relationship Id="rId14" Type="http://schemas.openxmlformats.org/officeDocument/2006/relationships/image" Target="media/4f75743c835265daafdcbac66f2bdd6c1034f620.png"/><Relationship Id="rId15" Type="http://schemas.openxmlformats.org/officeDocument/2006/relationships/image" Target="media/03c920405551cc59ae0ad5edcc55300e0a8ed15e.png"/><Relationship Id="rId16" Type="http://schemas.openxmlformats.org/officeDocument/2006/relationships/image" Target="media/2b20591a43c6eb19bfdab74102d4f7f1165b386f.png"/><Relationship Id="rId17" Type="http://schemas.openxmlformats.org/officeDocument/2006/relationships/image" Target="media/11081a2422bebced6d030d22f0ebf13798832173.png"/><Relationship Id="rId18" Type="http://schemas.openxmlformats.org/officeDocument/2006/relationships/image" Target="media/fc5a6be7647fd964b300798307c832eee656672b.png"/><Relationship Id="rId19" Type="http://schemas.openxmlformats.org/officeDocument/2006/relationships/image" Target="media/7ce013ee8724e8dcb1576e7f068db7f8890e5be3.png"/><Relationship Id="rId20" Type="http://schemas.openxmlformats.org/officeDocument/2006/relationships/image" Target="media/f1f163df8a47e4df987495706c8e057d78128af6.png"/><Relationship Id="rId21" Type="http://schemas.openxmlformats.org/officeDocument/2006/relationships/image" Target="media/3f71846d42f224996eb357c7ac4f2281babf68df.png"/><Relationship Id="rId22" Type="http://schemas.openxmlformats.org/officeDocument/2006/relationships/image" Target="media/2bdcc233d9d5ad41e4df5ec32cccb0f936be6fdd.png"/><Relationship Id="rId23" Type="http://schemas.openxmlformats.org/officeDocument/2006/relationships/image" Target="media/3b43f208c34e619a9b1fcd7a8da9990014f117c8.png"/><Relationship Id="rId24" Type="http://schemas.openxmlformats.org/officeDocument/2006/relationships/image" Target="media/00d6986401b6325763b2855292d411f63286ea76.png"/><Relationship Id="rId25" Type="http://schemas.openxmlformats.org/officeDocument/2006/relationships/image" Target="media/e59b5686af22a06dff9cd4bfae93b397759ea42a.png"/><Relationship Id="rId26" Type="http://schemas.openxmlformats.org/officeDocument/2006/relationships/image" Target="media/551744d4db41183fe0c9b4d913479007233462c1.png"/><Relationship Id="rId27" Type="http://schemas.openxmlformats.org/officeDocument/2006/relationships/image" Target="media/379af060121c595b8dab938b017503bf01d94543.png"/><Relationship Id="rId28" Type="http://schemas.openxmlformats.org/officeDocument/2006/relationships/image" Target="media/8b0dede8cf949138f1ca18f2a0be3b9f91a5a8b2.png"/><Relationship Id="rId29" Type="http://schemas.openxmlformats.org/officeDocument/2006/relationships/image" Target="media/f0af766d9de14575067307b6f7dccaf71ca25b88.png"/><Relationship Id="rId30" Type="http://schemas.openxmlformats.org/officeDocument/2006/relationships/image" Target="media/32a920cb8d148805391dcda55782af93c6edfd51.png"/><Relationship Id="rId31" Type="http://schemas.openxmlformats.org/officeDocument/2006/relationships/image" Target="media/06dd8d4f71199a2b46751bf3ced20974c9f60efc.png"/><Relationship Id="rId32" Type="http://schemas.openxmlformats.org/officeDocument/2006/relationships/image" Target="media/02af0444c1c6970044f0f322105756947b915768.png"/><Relationship Id="rId33" Type="http://schemas.openxmlformats.org/officeDocument/2006/relationships/image" Target="media/9cb74c21136b6eec65353d28ee54d88601225eab.png"/><Relationship Id="rId34" Type="http://schemas.openxmlformats.org/officeDocument/2006/relationships/image" Target="media/1cde75c3ba6eefdc88f22c3d35398d022b2cb385.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2026-10-07T13:45:17.182Z</dcterms:created>
  <dcterms:modified xsi:type="dcterms:W3CDTF">2026-10-07T13:45:17.182Z</dcterms:modified>
</cp:coreProperties>
</file>

<file path=docProps/custom.xml><?xml version="1.0" encoding="utf-8"?>
<Properties xmlns="http://schemas.openxmlformats.org/officeDocument/2006/custom-properties" xmlns:vt="http://schemas.openxmlformats.org/officeDocument/2006/docPropsVTypes"/>
</file>