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rPr>
          <w:color w:val="FF0000"/>
        </w:rP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rPr>
          <w:color w:val="FF0000"/>
        </w:rP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14:paraId="4B100682" w14:textId="77777777" w:rsidR="009262C4" w:rsidRDefault="00000000">
      <w:pPr>
        <w:spacing w:after="110" w:line="264" w:lineRule="auto"/>
        <w:jc w:val="both"/>
      </w:pPr>
      <w:r>
        <w:t>The procedure establishes a valid and auditable consent object by sequentially validating the participating entities, consent purpose, data scope, and temporal constraints. The system first validates the patient's identity I</w:t>
      </w:r>
      <w:r>
        <w:rPr>
          <w:vertAlign w:val="subscript"/>
        </w:rPr>
        <w:t>p</w:t>
      </w:r>
      <w:r>
        <w:t>. If I</w:t>
      </w:r>
      <w:r>
        <w:rPr>
          <w:vertAlign w:val="subscript"/>
        </w:rPr>
        <w:t>p</w:t>
      </w:r>
      <w:r>
        <w:t xml:space="preserve"> cannot be successfully validated, the procedure terminates immediately and returns REJECT. The system validates the designated doctor D, whose DID must hold a valid doctor credential. The system then validates the guardian set G, which must be non-empty, and every guardian in it must have a well-formed DID that holds a valid guardian credential. This step prevents an arbitrary third party from being treated as an authorised representative of the patient. The intended data-use purpose P</w:t>
      </w:r>
      <w:r>
        <w:rPr>
          <w:vertAlign w:val="subscript"/>
        </w:rPr>
        <w:t>u</w:t>
      </w:r>
      <w:r>
        <w:t xml:space="preserve"> is validated and bound to the consent object so that authorisation is not interpreted as unrestricted access to the patient's healthcare information. The authorised data scope S</w:t>
      </w:r>
      <w:r>
        <w:rPr>
          <w:vertAlign w:val="subscript"/>
        </w:rPr>
        <w:t>C</w:t>
      </w:r>
      <w:r>
        <w:t xml:space="preserve"> is validated to determine precisely which healthcare resources may be accessed under the consent. The scope may represent specific resource categories, such as observations, medications, conditions, or procedures, which are the modules used in the prototype. This step establishes the principle of least privilege by ensuring that consent is associated with explicitly defined data resources rather than the patient's entire healthcare record. If any of D, G, P</w:t>
      </w:r>
      <w:r>
        <w:rPr>
          <w:vertAlign w:val="subscript"/>
        </w:rPr>
        <w:t>u</w:t>
      </w:r>
      <w:r>
        <w:t xml:space="preserve"> or S</w:t>
      </w:r>
      <w:r>
        <w:rPr>
          <w:vertAlign w:val="subscript"/>
        </w:rPr>
        <w:t>C</w:t>
      </w:r>
      <w:r>
        <w:t xml:space="preserve"> is invalid, the consent request is rejected and no consent is created.</w:t>
      </w:r>
    </w:p>
    <w:p w14:paraId="40D68936" w14:textId="77777777" w:rsidR="009262C4" w:rsidRDefault="00000000">
      <w:pPr>
        <w:spacing w:after="110" w:line="264" w:lineRule="auto"/>
        <w:jc w:val="both"/>
      </w:pPr>
      <w:r>
        <w:t xml:space="preserve">The system verifies that the interval is logically valid by requiring t</w:t>
      </w:r>
      <w:r>
        <w:rPr>
          <w:vertAlign w:val="subscript"/>
        </w:rPr>
        <w:t>e</w:t>
      </w:r>
      <w:r>
        <w:t xml:space="preserve"> &gt; t</w:t>
      </w:r>
      <w:r>
        <w:rPr>
          <w:vertAlign w:val="subscript"/>
        </w:rPr>
        <w:t>s</w:t>
      </w:r>
      <w: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vertAlign w:val="subscript"/>
        </w:rPr>
        <w:t>C</w:t>
      </w:r>
      <w: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w:t>
        <w:lastRenderedPageBreak/>
        <w:t>associated with the creation event. The overall procedure can therefore be represented as a sequential trust establishment process that I</w:t>
      </w:r>
      <w:r>
        <w:rPr>
          <w:vertAlign w:val="subscript"/>
        </w:rPr>
        <w:t>p</w:t>
      </w:r>
      <w:r>
        <w:t xml:space="preserve"> → D → G → P</w:t>
      </w:r>
      <w:r>
        <w:rPr>
          <w:vertAlign w:val="subscript"/>
        </w:rPr>
        <w:t>u</w:t>
      </w:r>
      <w:r>
        <w:t xml:space="preserve"> → S</w:t>
      </w:r>
      <w:r>
        <w:rPr>
          <w:vertAlign w:val="subscript"/>
        </w:rPr>
        <w:t>C</w:t>
      </w:r>
      <w:r>
        <w:t xml:space="preserve"> → T → A → id</w:t>
      </w:r>
      <w:r>
        <w:rPr>
          <w:vertAlign w:val="subscript"/>
        </w:rPr>
        <w:t>C</w:t>
      </w:r>
      <w:r>
        <w:t xml:space="preserve"> → C → E. Consent is therefore created only after the identity, authority, purpose, scope, and temporal fields have been validated.</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5.7.</w:t>
      </w:r>
    </w:p>
    <w:p>
      <w:pPr>
        <w:pStyle w:val="3"/>
      </w:pPr>
      <w:r>
        <w:rPr>
          <w:color w:val="FF0000"/>
        </w:rPr>
        <w:t>5.6.1 Aims of Engineering the Prototype System</w:t>
      </w:r>
    </w:p>
    <w:p>
      <w:pPr/>
      <w:r>
        <w:rPr>
          <w:color w:val="FF0000"/>
        </w:rP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rPr>
          <w:color w:val="FF0000"/>
        </w:rPr>
        <w:t>5.6.3 Steps in the Working of the Prototype for Consent Creation</w:t>
      </w:r>
    </w:p>
    <w:p>
      <w:pPr/>
      <w:r>
        <w:rPr>
          <w:color w:val="FF0000"/>
        </w:rPr>
        <w:t>The creation of a consent in the prototype follows the steps of Algorithm 1 as shown in Figure 5.7:</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rPr>
          <w:color w:val="FF0000"/>
        </w:rPr>
        <w:t>5. If every check passes, the prototype assigns the consent identifier, stores the object in the state PENDING_SIGNATURE with N set to the number of guardians, writes the CREATE_CONSENT event to the audit ledger, and shows the identifier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5.7 Validation and Evaluation</w:t>
      </w:r>
    </w:p>
    <w:p>
      <w:pPr/>
      <w:r>
        <w:rPr>
          <w:color w:val="FF0000"/>
        </w:rP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5.7.1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pStyle w:val="3"/>
      </w:pPr>
      <w:r>
        <w:rPr>
          <w:color w:val="FF0000"/>
        </w:rPr>
        <w:t>5.7.2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rPr>
          <w:color w:val="FF0000"/>
        </w:rPr>
        <w:t>5.8 Conclusion</w:t>
      </w:r>
    </w:p>
    <w:p>
      <w:pPr/>
      <w:r>
        <w:rPr>
          <w:color w:val="FF0000"/>
        </w:rP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5.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