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13</w:t>
      </w:r>
    </w:p>
    <w:p>
      <w:pPr>
        <w:tabs>
          <w:tab w:val="right" w:pos="9128" w:leader="dot"/>
        </w:tabs>
        <w:spacing w:after="100"/>
      </w:pPr>
      <w:r>
        <w:rPr>
          <w:rFonts w:ascii="Times New Roman" w:cs="Times New Roman" w:eastAsia="Times New Roman" w:hAnsi="Times New Roman"/>
          <w:sz w:val="22"/>
          <w:szCs w:val="22"/>
        </w:rPr>
        <w:t xml:space="preserve">4. Research Objectives	16</w:t>
      </w:r>
    </w:p>
    <w:p>
      <w:pPr>
        <w:tabs>
          <w:tab w:val="right" w:pos="9128" w:leader="dot"/>
        </w:tabs>
        <w:spacing w:after="100"/>
      </w:pPr>
      <w:r>
        <w:rPr>
          <w:rFonts w:ascii="Times New Roman" w:cs="Times New Roman" w:eastAsia="Times New Roman" w:hAnsi="Times New Roman"/>
          <w:sz w:val="22"/>
          <w:szCs w:val="22"/>
        </w:rPr>
        <w:t xml:space="preserve">5. Research Architecture: MVC	18</w:t>
      </w:r>
    </w:p>
    <w:p>
      <w:pPr>
        <w:tabs>
          <w:tab w:val="right" w:pos="9128" w:leader="dot"/>
        </w:tabs>
        <w:spacing w:after="100"/>
      </w:pPr>
      <w:r>
        <w:rPr>
          <w:rFonts w:ascii="Times New Roman" w:cs="Times New Roman" w:eastAsia="Times New Roman" w:hAnsi="Times New Roman"/>
          <w:sz w:val="22"/>
          <w:szCs w:val="22"/>
        </w:rPr>
        <w:t xml:space="preserve">6. The Proposed Solution for RO1	24</w:t>
      </w:r>
    </w:p>
    <w:p>
      <w:pPr>
        <w:tabs>
          <w:tab w:val="right" w:pos="9128" w:leader="dot"/>
        </w:tabs>
        <w:spacing w:after="100"/>
      </w:pPr>
      <w:r>
        <w:rPr>
          <w:rFonts w:ascii="Times New Roman" w:cs="Times New Roman" w:eastAsia="Times New Roman" w:hAnsi="Times New Roman"/>
          <w:sz w:val="22"/>
          <w:szCs w:val="22"/>
        </w:rPr>
        <w:t xml:space="preserve">7. The Proposed Solution for RO2	28</w:t>
      </w:r>
    </w:p>
    <w:p>
      <w:pPr>
        <w:tabs>
          <w:tab w:val="right" w:pos="9128" w:leader="dot"/>
        </w:tabs>
        <w:spacing w:after="100"/>
      </w:pPr>
      <w:r>
        <w:rPr>
          <w:rFonts w:ascii="Times New Roman" w:cs="Times New Roman" w:eastAsia="Times New Roman" w:hAnsi="Times New Roman"/>
          <w:sz w:val="22"/>
          <w:szCs w:val="22"/>
        </w:rPr>
        <w:t xml:space="preserve">8. The Proposed Solution for RO3	31</w:t>
      </w:r>
    </w:p>
    <w:p>
      <w:pPr>
        <w:tabs>
          <w:tab w:val="right" w:pos="9128" w:leader="dot"/>
        </w:tabs>
        <w:spacing w:after="100"/>
      </w:pPr>
      <w:r>
        <w:rPr>
          <w:rFonts w:ascii="Times New Roman" w:cs="Times New Roman" w:eastAsia="Times New Roman" w:hAnsi="Times New Roman"/>
          <w:sz w:val="22"/>
          <w:szCs w:val="22"/>
        </w:rPr>
        <w:t xml:space="preserve">9. The Proposed Solution for RO4	36</w:t>
      </w:r>
    </w:p>
    <w:p>
      <w:pPr>
        <w:tabs>
          <w:tab w:val="right" w:pos="9128" w:leader="dot"/>
        </w:tabs>
        <w:spacing w:after="100"/>
      </w:pPr>
      <w:r>
        <w:rPr>
          <w:rFonts w:ascii="Times New Roman" w:cs="Times New Roman" w:eastAsia="Times New Roman" w:hAnsi="Times New Roman"/>
          <w:sz w:val="22"/>
          <w:szCs w:val="22"/>
        </w:rPr>
        <w:t xml:space="preserve">10. The Proposed Solution for RO5	40</w:t>
      </w:r>
    </w:p>
    <w:p>
      <w:pPr>
        <w:tabs>
          <w:tab w:val="right" w:pos="9128" w:leader="dot"/>
        </w:tabs>
        <w:spacing w:after="100"/>
      </w:pPr>
      <w:r>
        <w:rPr>
          <w:rFonts w:ascii="Times New Roman" w:cs="Times New Roman" w:eastAsia="Times New Roman" w:hAnsi="Times New Roman"/>
          <w:sz w:val="22"/>
          <w:szCs w:val="22"/>
        </w:rPr>
        <w:t xml:space="preserve">11. The Proposed Solution for RO6	43</w:t>
      </w:r>
    </w:p>
    <w:p>
      <w:pPr>
        <w:tabs>
          <w:tab w:val="right" w:pos="9128" w:leader="dot"/>
        </w:tabs>
        <w:spacing w:after="100"/>
      </w:pPr>
      <w:r>
        <w:rPr>
          <w:rFonts w:ascii="Times New Roman" w:cs="Times New Roman" w:eastAsia="Times New Roman" w:hAnsi="Times New Roman"/>
          <w:sz w:val="22"/>
          <w:szCs w:val="22"/>
        </w:rPr>
        <w:t xml:space="preserve">12. Publications Summary	56</w:t>
      </w:r>
    </w:p>
    <w:p>
      <w:pPr>
        <w:tabs>
          <w:tab w:val="right" w:pos="9128" w:leader="dot"/>
        </w:tabs>
        <w:spacing w:after="100"/>
      </w:pPr>
      <w:r>
        <w:rPr>
          <w:rFonts w:ascii="Times New Roman" w:cs="Times New Roman" w:eastAsia="Times New Roman" w:hAnsi="Times New Roman"/>
          <w:sz w:val="22"/>
          <w:szCs w:val="22"/>
        </w:rPr>
        <w:t xml:space="preserve">13. Research Plan	57</w:t>
      </w:r>
    </w:p>
    <w:p>
      <w:pPr>
        <w:tabs>
          <w:tab w:val="right" w:pos="9128" w:leader="dot"/>
        </w:tabs>
        <w:spacing w:after="100"/>
      </w:pPr>
      <w:r>
        <w:rPr>
          <w:rFonts w:ascii="Times New Roman" w:cs="Times New Roman" w:eastAsia="Times New Roman" w:hAnsi="Times New Roman"/>
          <w:sz w:val="22"/>
          <w:szCs w:val="22"/>
        </w:rPr>
        <w:t xml:space="preserve">References	59</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 Modern digital ecosystems involve multiple independent stakeholders, including individuals, healthcare providers, regulatory authorities, researchers, and third-party data processors [1–3].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 Healthcare represents a particularly important and challenging example of this broader problem. The increasing digitisation of healthcare information enables patients, healthcare professionals, guardians, researchers, and healthcare organisations to participate in data-sharing processes [4, 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[4, 11].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while decentralised identifiers can support the identification of participants without relying exclusively on a central identity provider. Verifiable credentials can provide cryptographically verifiable evidence concerning roles or authority [16, 17], and policy-based access-control mechanisms can restrict access to authorised resources [9, 10, 18]. However, an immutable record does not necessarily demonstrate that the participating entities were legitimate, that they possessed the required authority, or that a subsequent data-access request remains consistent with the conditions originally authorised.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[19, 20].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Section 2 shows that existing approaches provide important technological components, including decentralised identity and verifiable credentials [21, 22], blockchain-based records [23, 24], multi-party approval mechanisms [23, 25–27], and policy-based access control [28–31], as well as several partial combinations [21, 25, 32].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p>
    <w:p>
      <w:pPr>
        <w:pStyle w:val="Heading2"/>
        <w:keepNext/>
        <w:spacing w:after="120" w:before="240"/>
      </w:pPr>
      <w:r>
        <w:rPr>
          <w:rFonts w:ascii="Times New Roman" w:cs="Times New Roman" w:eastAsia="Times New Roman" w:hAnsi="Times New Roman"/>
          <w:b/>
          <w:bCs/>
          <w:sz w:val="26"/>
          <w:szCs w:val="26"/>
        </w:rPr>
        <w:t xml:space="preserve">1.3  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[33, 34].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[35]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denotes work delivered at the CA2 milestone, while temporal and lifecycle trust, formal security assurance, and comprehensive empirical validation will be developed further in CA3.</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 Healthcare research has emphasised the importance of patient autonomy, privacy, informed consent, and controlled data sharing [4, 6–8, 36]. Multi-party trust research has investigated immutable data governance, distributed auditability, and decentralised consent management [3, 18, 37–39]. Research on decentralised identity and verifiable credentials has developed mechanisms for self-controlled identity representation, credential verification, selective disclosure, and privacy-preserving authentication [16, 17, 40–43]. Access-control research has further investigated role-based, attribute-based, risk-aware, and usage-control approaches for protecting sensitive healthcare information [9, 10, 44, 45]. 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Identity (DID)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Six review roles covered five perspectives and a chair who decided each record, and all counts are those of the decision-log checkpoint of 10 September 2026 (decision D-166). This systematic literature review (SLR) is guided by seven review questions. Questions 1 to 5 correspond to Req 1 to Req 5, and Questions 6 and 7 together to Req 6.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sz w:val="22"/>
          <w:szCs w:val="22"/>
        </w:rPr>
        <w:t xml:space="preserve">The searches ran on 24 and 25 August 2026, and the ACM Digital Library on 5 September 2026 as a late arm, a declared limitation. A sentinel test of twelve predefined papers checked the recall of the master query, and all four healthcare-scoped sentinels [23, 24, 47, 48]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The inclusion and exclusion criteria were applied consistently throughout the screening process.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1,800 records advanced to full text and were read in a prioritised order under a dimension-level saturation rule. Records that were clearly unrelated to the review scope were excluded at that stage. Saturation is declared when eight consecutively coded studies with a positive signal for a dimension yield no new mechanism class. At the checkpoint, 44 reports had been fully coded and passed the quality gate, whereas 1,735 of the 1,800 records had not been assessed, so corpus completeness is bounded by the saturation rule rather than by exhaustive reading.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Under decision D-166, a study is core if its gap-impact verdict is contradicts, weakens, or narrows, or if its T3 coding is Yes or Partial, which gives 23 core studies of the 44. With the two supporting studies of highest quality score 7.0 [48, 49], they form the 25 primary studies, S1 to S25.</w:t>
      </w:r>
    </w:p>
    <w:p>
      <w:pPr>
        <w:keepNext/>
        <w:spacing w:after="60" w:before="160"/>
        <w:jc w:val="center"/>
      </w:pPr>
      <w:r>
        <w:drawing>
          <wp:inline distT="0" distB="0" distL="0" distR="0">
            <wp:extent cx="460057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005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p>
    <w:p>
      <w:pPr>
        <w:pStyle w:val="Heading2"/>
        <w:keepNext/>
        <w:spacing w:after="120" w:before="240"/>
      </w:pPr>
      <w:r>
        <w:rPr>
          <w:rFonts w:ascii="Times New Roman" w:cs="Times New Roman" w:eastAsia="Times New Roman" w:hAnsi="Times New Roman"/>
          <w:b/>
          <w:bCs/>
          <w:sz w:val="26"/>
          <w:szCs w:val="26"/>
        </w:rPr>
        <w:t xml:space="preserve">2.3  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Each included study was assigned to the stream on which it is coded most strongly.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Both studies of this stream are deployed platforms graded Partial. Soohoo et al. [50] describe the iAgree portal across three United States health systems with a permissioned Ethereum audit contract, but consent enforcement is outside its scope. Tremper et al. [51] report ten years of the Mainzelliste service with FHIR consent directives, but specify no check semantics and no demonstrated enforcement of withdrawal. Both are single-party systems. The supporting references represent consent as a permission indicating whether a particular party is allowed to perform a specified operation [52, 53], or as conditions fixed at encryption time [54, 55]. The existence of a consent record does not necessarily explain whether the conditions required for a subsequent access request are still satisfied.</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T2 was graded Yes in only 10 of the 25 studies and Partial in 15. Phuyal et al. [21]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the strongest Req 2 evidence in the corpus. However, a single patient grants consent, the stored expiry is not checked, there is no threat model, and the companion architecture [56] is design-only. Tseng et al. [57]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[23] require a regulator and a guardian threshold on the incapacitated path, but a single patient key suffices on the normal path. Wu et al. [58] apply a (t, n) investigator threshold to record admission and revocation, and Abbasi et al. [59] use a Shamir (5, 3) threshold for key custody. Punia et al. [25] conjoin an M-of-N multi-signature with an attribute and role policy, but a single emergency officer can bypass the threshold. Tan et al. [26] use patient-appointed verifiers as a contingency, and [27, 60] report guardian co-consent at registration time. No reviewed study evaluates a threshold predicate over a patient-designated guardian set on every request, and none does so together with the policy, temporal, and jurisdictional conditions. This represents an important area addressed by the proposed framework.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 Tith et al. [24] match a purpose tree in chaincode, and Jaiman and Urovi [47] match ontology terms against the patient's consent. Albalwy et al. [48] evaluate a hashed policy tree of data type, role, and purpose, and Román-Martínez et al. [30] evaluate the FHIR purpose-of-use through XACML. T4 is coded Yes in 11 studies, Partial in 10, and No in 4. However, purpose-of-use enters the decision in only six studies [24, 28–30, 47, 48],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[28] present EdgeConsent, the first study to enforce temporal validity inside the decision predicate, although its lifecycle is only an active flag. Temporal validity must also be evaluated together with the lifecycle state of the consent. Hema et al. [61] bind the expiry into key derivation, and Panagoulias et al. [29] enforce revocation at decision time across 43,500 simulated attempts in a single-node ledger. Li et al. [49] enforce time on a credential rather than on the consent. T5 is coded Yes in 8 studies and T6 in 7, a post-revocation denial is demonstrated only by [21], [29], and [28], and the three stream-5 systems that enforce time inside the decision are all single-party.</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[22] present HealthDID, with three game-based definitions and three theorems proved by reduction, the first complete formal assurance in the corpus, although only for the identity and authority fragment. Zhao and Su [62] and Maruthi and Singh [63] prove threshold gates in isolation, and Mei et al. [64] prove a static encryption predicate. Formal assurance is coded Yes in only 4 of the 25 studies, and empirical validation Yes in 5, Partial in 19, and No in 1. The panel records an inverse relation between predicate breadth and assurance strength. No study executes adversarial scenarios that examine whether security controls can resist deliberate attempts to circumvent the authorisation process.</w:t>
      </w:r>
    </w:p>
    <w:p>
      <w:pPr>
        <w:pStyle w:val="Heading2"/>
        <w:keepNext/>
        <w:spacing w:after="120" w:before="240"/>
      </w:pPr>
      <w:r>
        <w:rPr>
          <w:rFonts w:ascii="Times New Roman" w:cs="Times New Roman" w:eastAsia="Times New Roman" w:hAnsi="Times New Roman"/>
          <w:b/>
          <w:bCs/>
          <w:sz w:val="26"/>
          <w:szCs w:val="26"/>
        </w:rPr>
        <w:t xml:space="preserve">2.4  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 These contributions address different layers of the security problem. No individual mechanism can independently establish that a healthcare data-access decision is trustworthy. The systems that enforce purpose and time are authored by a single patient and lack a formal argument. The multi-party systems carry no purpose or data-scope condition, whereas the proved schemes omit policy, temporal validity, and lifecycle. Table 1 summarises the 25 studies against the six requirements, where ✓ denotes satisfied, ~ partially satisfied, and × not satisfied.</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Comparison of the included studies and the proposed framework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 [59]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 [65]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 [60]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 [62]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 [63]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 [64]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 [61]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 [50] Soohoo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 [51]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 [57]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 [58] Wu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Proposed framework (HALAH)</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[23] and [29], and five studies fully satisfy none. Third, Req 1 with Req 4 is the most frequent pair, in seven studies, whereas Req 2 and Req 4 never co-occur in full. Req 3 co-occurs with Req 4 only in [25], whose threshold lies outside the policy predicate and whose policy carries no purpose term. Similarly, Req 3 co-occurs with Req 6 only in [62, 63].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 Rather, it lies in establishing an explicit conceptual relationship among them. The consent object C carries the identity, authority, threshold, policy, temporal, and lifecycle conditions together, so that their relationship is verifiable. The final row of Table 1 positions the proposed framework relative to the existing literature. The conjunction is formally specified and validated through allow-and-deny test cases and attack cases, whereas its formal verification and the remaining lifecycle extensions of RQ5 are reserved for CA3 (Sections 10 and 11).</w:t>
      </w:r>
    </w:p>
    <w:p>
      <w:pPr>
        <w:pStyle w:val="Heading2"/>
        <w:keepNext/>
        <w:spacing w:after="120" w:before="240"/>
      </w:pPr>
      <w:r>
        <w:rPr>
          <w:rFonts w:ascii="Times New Roman" w:cs="Times New Roman" w:eastAsia="Times New Roman" w:hAnsi="Times New Roman"/>
          <w:b/>
          <w:bCs/>
          <w:sz w:val="26"/>
          <w:szCs w:val="26"/>
        </w:rPr>
        <w:t xml:space="preserve">2.5  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while for Req 6, formal assurance is provided by 4 studies, argued informally by 9, and absent in 12.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Read on their own, the background surveys cited in Sections 1 and 2 suggest that multi-party authorisation of patient consent does not exist, although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Existing literature provides useful foundations for collaborative governance and multi-party verification.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each gap corresponds to the research question and objective of the same number in Sections 3 and 4.</w:t>
      </w:r>
    </w:p>
    <w:p>
      <w:pPr>
        <w:keepNext/>
        <w:spacing w:after="60" w:before="160"/>
        <w:jc w:val="center"/>
      </w:pPr>
      <w:r>
        <w:drawing>
          <wp:inline distT="0" distB="0" distL="0" distR="0">
            <wp:extent cx="5715000" cy="2838450"/>
            <wp:effectExtent t="0" r="0" b="0" l="0"/>
            <wp:docPr id="1" name="F5.png" descr="Synthesis of the review: the conjunction gap and the assurance gap addressed by the proposed framework" title="Synthesis of the review: the conjunction gap and the assurance gap addressed by the proposed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384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The saturation rule and a single coding panel mean that a small number of relevant studies may have been missed. The consistency between the coding of the included studies and the signal prevalence of the wider pool limits, but does not remove, this risk.</w:t>
      </w: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 However, the literature also reveals a significant conceptual and architectural fragmentation among these mechanisms. They are commonly investigated as independent technical solutions rather than as coordinated components of a unified trust-oriented authorisation model. The few studies that coordinate several of them in one decision [21, 25, 29, 32, 66] do not make multi-party approval a standing condition of that decision, and they do not assure the conjunction formally or empirically.</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Existing consent-oriented approaches tend to treat consent primarily as a record of a patient’s permission [52, 53, 67]. Once the permission has been created and stored, subsequent access control may depend predominantly on the existence of the consent record and the successful authentication of the requester. Even the evaluable consent objects reported since 2020 [21, 24, 28, 48, 66]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 A blockchain may provide an immutable representation of a consent event [10, 18], but immutability does not establish the legitimacy of the entities involved in that event. Similarly, a valid decentralised identity can establish who a participant is [16],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multi-party approval is never conjoined with a purpose or data-scope condition [23, 25, 26]. Consequently, trust cannot be attributed to any individual mechanism in isolation. From a Trust Computing perspective, trustworthy access should be understood as an outcome of the coordinated satisfaction of multiple independently verifiable conditions.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[25, 58, 62], or appointed by the patient [26, 63]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The six questions collectively establish a progression from consent modelling to formal security assurance and empirical validation. For brevity, SRQ1 to SRQ6 are referred to as RQ1 to RQ6 in the remaining sections.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lifecycle validity is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 Each objective represents a research contribution that can be examined conceptually, technically, and, where appropriate, empirically.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objective is to establish not only that the prototype can execute valid consent workflows, but also that it behaves correctly when one or more trust conditions are violated.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This correspondence ensures that every research question is addressed by a clearly defined research activity and that each objective contributes to the overall development of the proposed trust-oriented authorisation framework. RO1 to RO4 are delivered in CA2,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476625"/>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766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determines whether the recorded jurisdictional constraint of the consent is satisfied. Lifecycle validity and revocation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title="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[16]. Importantly, the framework explicitly separates identity authentication from authorisation. A successfully verified DID or VC does not, by itself, grant permission to access patient data. The framework then collects their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successfully verified approvals and let N denote the required authorisation threshold, as in Equation (3).</w:t>
      </w:r>
    </w:p>
    <w:p>
      <w:pPr>
        <w:keepNext/>
        <w:spacing w:after="60" w:before="160"/>
        <w:jc w:val="center"/>
      </w:pPr>
      <w:r>
        <w:drawing>
          <wp:inline distT="0" distB="0" distL="0" distR="0">
            <wp:extent cx="2638425"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384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 if |A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N, and 0 if |A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authorisation evidence set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[23], a witness or notary threshold [26], a registration-time co-consent [27, 60], an institution-side admission gate [58], a custodial M-of-N signature [25], or a key-share reconstruction [59, 63].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1 ∧ Authority(a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Valid}.</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The flow continues through patient-initiated revocation and the corresponding on-chain revoke transaction, after which the auditor reviews the record and the verification tool performs an independent verification. If the required threshold is not satisfied, the authorisation process terminates with a denial decision.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2.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 This design transforms multi-party consent management from a conventional record-management problem into a distributed security-governance problem. The evaluable consent object as such is already present in the literature [21, 24, 28, 48].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[10, 18]. The detailed solutions for RQ1 to RQ6 are presented in Sections 6 to 11, and the formal assurance of the complete decision model remains for CA3.</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419350"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4193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 Unlike the consent objects reported in the literature [21, 24, 28, 48, 66],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If a guardian or proxy is specified, the system validates the guardian set G.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requested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Validate guardian set G</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sz w:val="19"/>
          <w:szCs w:val="19"/>
        </w:rPr>
        <w:t xml:space="preserve">Validate purpose P</w:t>
      </w:r>
      <w:r>
        <w:rPr>
          <w:rFonts w:ascii="Times New Roman" w:cs="Times New Roman" w:eastAsia="Times New Roman" w:hAnsi="Times New Roman"/>
          <w:sz w:val="19"/>
          <w:szCs w:val="19"/>
          <w:vertAlign w:val="subscript"/>
        </w:rPr>
        <w:t xml:space="preserve">u</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Validate data scope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The main contribution of RO1 is the transformation of consent from a static permission record into a structured authorisation object. The current result demonstrates that consent can be represented as an evaluable authorisation object rather than as a binary permission.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 Neither mechanism should automatically grant access to patient data. Instead, the verified identity and authority information become inputs to the subsequent authorisation process. The identity verification condition can be expressed as Equation (7), where u 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itle="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w:t>
      </w:r>
    </w:p>
    <w:p>
      <w:pPr>
        <w:pStyle w:val="Heading2"/>
        <w:keepNext/>
        <w:spacing w:after="120" w:before="240"/>
      </w:pPr>
      <w:r>
        <w:rPr>
          <w:rFonts w:ascii="Times New Roman" w:cs="Times New Roman" w:eastAsia="Times New Roman" w:hAnsi="Times New Roman"/>
          <w:b/>
          <w:bCs/>
          <w:sz w:val="26"/>
          <w:szCs w:val="26"/>
        </w:rPr>
        <w:t xml:space="preserve">7.3  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The purpose of this comparison is to ensure that possession of a valid identity or credential is not automatically interpreted as permission to access healthcare information. The system establishes the binding between the verified participant identity and the corresponding authority, thereby reducing the possibility of an unrelated credential being used to obtain access. Consequently, the procedure can be interpreted as a two-layer verification mechanism Identity(u) ∧ CredentialValidity(u)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authorisation participants and N represent the required approval threshold. The authorisation condition can then be represented as Equation (8).</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 if |A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N, and 0 if |A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have demonstrated the potential to strengthen the process through which identity claims are established or validated [40, 41].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300037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0003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belongs to the required participant set G (u ∈ G).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included in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 threshold N =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is not in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approval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For example, where two approvals are required, Equation (12), whereas Equation (13).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Suppose that a consent permits access to the following healthcare data categories Equation (17), and a healthcare professional subsequently requests Equation (18).</w:t>
      </w:r>
    </w:p>
    <w:p>
      <w:pPr>
        <w:keepNext/>
        <w:spacing w:after="60" w:before="160"/>
        <w:jc w:val="center"/>
      </w:pPr>
      <w:r>
        <w:drawing>
          <wp:inline distT="0" distB="0" distL="0" distR="0">
            <wp:extent cx="2352675" cy="4286250"/>
            <wp:effectExtent t="0" r="0" b="0" l="0"/>
            <wp:docPr id="1" name="F14.png" descr="RO4 workflow for policy- and context-aware access control" title="RO4 workflow for policy- and context-aware access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3526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If any mandatory condition fails during the evaluation process, the system records the corresponding denial evidence and returns DENY.</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record proof_mode = groth16</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Record granted decision</w:t>
      </w:r>
    </w:p>
    <w:p>
      <w:pPr>
        <w:keepNext w:val="false"/>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This ordering is important because it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generates and verifies the evidence supporting the access decision as a Groth16 zero-knowledge proof. The proof shows that the prover knows the secret and the expiry time behind a Poseidon commitment held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and the refusal that follows revocation is therefore evidenced by the interface and the automated tests rather than by a ledger row.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is particularly important because a framework should not only demonstrate that legitimate requests succeed, but also demonstrate resilience against foreseeable attempts to bypass its security controls.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incompatible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was originally planned for CA3 because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Temporal and Jurisdictional Trust Conditions</w:t>
      </w:r>
    </w:p>
    <w:p>
      <w:pPr>
        <w:spacing w:after="110" w:line="264"/>
        <w:jc w:val="both"/>
      </w:pPr>
      <w:r>
        <w:rPr>
          <w:rFonts w:ascii="Times New Roman" w:cs="Times New Roman" w:eastAsia="Times New Roman" w:hAnsi="Times New Roman"/>
          <w:sz w:val="22"/>
          <w:szCs w:val="22"/>
        </w:rPr>
        <w:t xml:space="preserve">Trustworthy authorisation is inherently dynamic.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where Jur(·) is the on-chain two-letter ISO code.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As in Section 5.2, lifecycle state and revocation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 A consent that was valid when initially approved may subsequently become invalid due to expiration or revocation. This establishes that consent validity is not a static property. 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decision is recorded.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 In particular,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establishes an auditable relationship between the consent’s lifecycle state and the operation performed at a particular point in time. Rather than treating authorisation as a one-time event, this approach enables the system to determine whether authorisation remains valid at the precise time an operation is requested.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609725"/>
            <wp:effectExtent t="0" r="0" b="0" l="0"/>
            <wp:docPr id="1" name="F35.png" descr="Implemented consent lifecycle: solid transitions are recorded in the audit ledger, red transitions are anchored as Sepolia transactions and dashed transitions show revocation from any state that is not already REVOKED" title="Implemented consent lifecycle: solid transitions are recorded in the audit ledger, red transitions are anchored as Sepolia transactions and dashed transitions show revocation from any state that is not already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6097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solid transitions are recorded in the audit ledger, red transitions are anchored as Sepolia transactions and dashed transitions show revocation from any state that is not already REVOKED.</w:t>
      </w:r>
    </w:p>
    <w:p>
      <w:pPr>
        <w:pStyle w:val="Heading2"/>
        <w:keepNext/>
        <w:spacing w:after="120" w:before="240"/>
      </w:pPr>
      <w:r>
        <w:rPr>
          <w:rFonts w:ascii="Times New Roman" w:cs="Times New Roman" w:eastAsia="Times New Roman" w:hAnsi="Times New Roman"/>
          <w:b/>
          <w:bCs/>
          <w:sz w:val="26"/>
          <w:szCs w:val="26"/>
        </w:rPr>
        <w:t xml:space="preserve">10.3  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Five elements remain for CA3.</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CA3 will therefore extend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records an unauthorised state-transition event and returns INVALID, but this is the only step not yet implemented. It therefore ensures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This work will constitute a major component of CA3. The major CA3 activities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will be conducted as part of CA3.</w:t>
      </w:r>
    </w:p>
    <w:p>
      <w:pPr>
        <w:pStyle w:val="Heading2"/>
        <w:keepNext/>
        <w:spacing w:after="120" w:before="240"/>
      </w:pPr>
      <w:r>
        <w:rPr>
          <w:rFonts w:ascii="Times New Roman" w:cs="Times New Roman" w:eastAsia="Times New Roman" w:hAnsi="Times New Roman"/>
          <w:b/>
          <w:bCs/>
          <w:sz w:val="26"/>
          <w:szCs w:val="26"/>
        </w:rPr>
        <w:t xml:space="preserve">11.1  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The formal and empirical components are complementary.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This procedure establishes a distinction between functional correctness and security correctness.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Conversely, Equation (24) states that if any mandatory condition is violated, the request must be denied. A valid authorisation decision requires the simultaneous satisfaction of all relevant trust conditions. Each predicate of Section 10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 compiled in Remix and deployed via MetaMask. Each token stores the pseudonymous patient and requester addresses, a hash of the purpose, the validity window, a two-letter jurisdiction code, and a revocation flag. The SBT, a soulbound ERC-721 token whose transfer between accounts is blocked,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The creation, approval, and granted-access screens were captured from a second lifecycle, 04da25f5, which used the same code, contract, and configuration and was anchored as token #2.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This process ensures that the consent object contains sufficient information for subsequent identity verification, multi-party authorisation, policy evaluation, and auditability.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The public anchoring of the evaluated consent in block 11,771,243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purpose is compatible with the consent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457575"/>
            <wp:effectExtent t="0" r="0" b="0" l="0"/>
            <wp:docPr id="1" name="F27.png" descr="Doctor subsystem with requester jurisdiction AU: all five checks pass" title="Doctor subsystem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4575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with requester jurisdiction AU: all five checks pass.</w:t>
      </w:r>
    </w:p>
    <w:p>
      <w:pPr>
        <w:keepNext/>
        <w:spacing w:after="60" w:before="160"/>
        <w:jc w:val="center"/>
      </w:pPr>
      <w:r>
        <w:drawing>
          <wp:inline distT="0" distB="0" distL="0" distR="0">
            <wp:extent cx="3352800" cy="3810000"/>
            <wp:effectExtent t="0" r="0" b="0" l="0"/>
            <wp:docPr id="1" name="F29.png" descr="Doctor subsystem after verification: access granted and records displayed per EMR module" title="Doctor subsystem after verification: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access granted and records displayed per EMR module.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fails at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because the system verifies that the consent has not been revoked or otherwise transitioned into an inactive state.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4476750" cy="2266950"/>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2669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compares the on-chain revocation state of each token with the local state, with the result shown in Figure 22.</w:t>
      </w:r>
    </w:p>
    <w:p>
      <w:pPr>
        <w:keepNext/>
        <w:spacing w:after="60" w:before="160"/>
        <w:jc w:val="center"/>
      </w:pPr>
      <w:r>
        <w:drawing>
          <wp:inline distT="0" distB="0" distL="0" distR="0">
            <wp:extent cx="4476750" cy="2400300"/>
            <wp:effectExtent t="0" r="0" b="0" l="0"/>
            <wp:docPr id="1" name="F39.png" descr="Auditor subsystem: aggregate indicators and the audit ledger rows of the evaluated consent" title="Auditor subsystem: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76750" cy="2400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aggregate indicators and the audit ledger rows of the evaluated consent.</w:t>
      </w:r>
    </w:p>
    <w:p>
      <w:pPr>
        <w:keepNext/>
        <w:spacing w:after="60" w:before="160"/>
        <w:jc w:val="center"/>
      </w:pPr>
      <w:r>
        <w:drawing>
          <wp:inline distT="0" distB="0" distL="0" distR="0">
            <wp:extent cx="4476750" cy="2581275"/>
            <wp:effectExtent t="0" r="0" b="0" l="0"/>
            <wp:docPr id="1" name="F40.png" descr="Independent verification against Sepolia: RESULT: ALL CHECKS PASSED" title="Independent verification against Sepolia: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476750" cy="25812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RESULT: ALL CHECKS PASSED.</w:t>
      </w:r>
    </w:p>
    <w:p>
      <w:pPr>
        <w:spacing w:after="110" w:line="264"/>
        <w:jc w:val="both"/>
      </w:pPr>
      <w:r>
        <w:rPr>
          <w:rFonts w:ascii="Times New Roman" w:cs="Times New Roman" w:eastAsia="Times New Roman" w:hAnsi="Times New Roman"/>
          <w:sz w:val="22"/>
          <w:szCs w:val="22"/>
        </w:rPr>
        <w:t xml:space="preserve">Table 3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guardian identities and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4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5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 In each of the six logged evaluations, the recorded audit evidence is consistent with the actual authorisation decision. Consequently, validation does not merely determine whether the final output is ALLOW or DENY</w:t>
      </w:r>
      <w:r>
        <w:rPr>
          <w:rFonts w:ascii="Times New Roman" w:cs="Times New Roman" w:eastAsia="Times New Roman" w:hAnsi="Times New Roman"/>
          <w:sz w:val="22"/>
          <w:szCs w:val="22"/>
          <w:highlight w:val="yellow"/>
        </w:rPr>
        <w:t xml:space="preserve">;</w:t>
      </w:r>
      <w:r>
        <w:rPr>
          <w:rFonts w:ascii="Times New Roman" w:cs="Times New Roman" w:eastAsia="Times New Roman" w:hAnsi="Times New Roman"/>
          <w:sz w:val="22"/>
          <w:szCs w:val="22"/>
        </w:rPr>
        <w:t xml:space="preserve"> it also determines whether the underlying evidence is consistent with the decision.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6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Processing time of the decision components, measured in the development container used for the demonstration, with the anchoring confirmation taken from Table 4</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itle="Processing time of the decision components on a logarithmic axis (median and minimum to maxi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w:t>
      </w:r>
    </w:p>
    <w:p>
      <w:pPr>
        <w:pStyle w:val="Heading2"/>
        <w:keepNext/>
        <w:spacing w:after="120" w:before="240"/>
      </w:pPr>
      <w:r>
        <w:rPr>
          <w:rFonts w:ascii="Times New Roman" w:cs="Times New Roman" w:eastAsia="Times New Roman" w:hAnsi="Times New Roman"/>
          <w:b/>
          <w:bCs/>
          <w:sz w:val="26"/>
          <w:szCs w:val="26"/>
        </w:rPr>
        <w:t xml:space="preserve">11.4  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the security properties that it is intended to evaluate.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7 and Figure 25 record whether each scenario has passed or failed. Before the hardening, three attacks, A1, A3, and A5, were accepted when the service functions were called directly. This confirms that a system may be conceptually correct but incorrectly implemented, or may pass functional tests while failing under invalid or adversarial conditions. Any failed scenario is analysed to determine the source and significance of the failure. The purpose of this analysis is not to conceal unsuccessful cases but to determine whether observed failures represent violations of the intended security properties or limitations that should be addressed in future work.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Unit-level adversarial tests A1 to A12, their targeted component and their outcome before the hardening (commit b1468b7)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Remaining Work for CA3</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will be conducted in CA3 and consist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CA3 will extend the current prototype-based evaluation to include both successful and adversarial access requests. The twelve attack scenarios will be extended to larger sets of positive, negative, and adversarial scenarios, and enforcement accuracy will be reported over this extended set.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sz w:val="22"/>
          <w:szCs w:val="22"/>
        </w:rPr>
        <w:t xml:space="preserve">CA3 will address the prototype limitations that the evaluation has exposed, which include the N-of-N approval rule, the server-derived guardian keys, the unauthenticated requester role, the absence of cryptographic DID resolution and VC validation, the missing lifecycle transition check, and the unkeyed and unchained audit digest.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8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identify as remaining for CA3. RO5 and RO6 constitute the principal research agenda for CA3.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9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Research plan: previous and coming tasks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CA3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will build upon the foundational trust-oriented authorisation framework established during current stage and extend the research towards dynamic consent governance, formal security assurance, and comprehensive empirical validation. Consent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10.</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Next Stage Research Activities, Methodological Focus, and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Abdul Ghafoor, Iraklis Symeonidis, Anna Rydberg, Cecilia Lindahl, and Abdul Qadus Abbasi. Towards empowering stakeholders through decentralized trust and secure livestock data sharing. Cryptography, 9(3):52, 2025.</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Richard K. Lomotey, Sandra Kumi, and Ralph Deters. Data trusts as a service: Providing a platform for multi-party data sharing. International Journal of Information Management Data Insights, 2(1):100075, 2022.</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Thanh Linh Nguyen, Lam Nguyen, Thong Hoang, Dilum Bandara, Qin Wang, Qinghua Lu, Xiwei Xu, Liming Zhu, and Shiping Chen. Blockchain-empowered trustworthy data sharing: Fundamentals, applications, and challenges. ACM Computing Surveys, 57(8):1–36,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Emily C. Webber, David Brick, James P. Scibilia, Peter Dehnel, Council on Clinical Information Technology, et al. Electronic communication of the health record and information with pediatric patients and their guardians. Pediatrics, 144(1):e20191359, 2019.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Cindy Welzel, Max Ostermann, Hannah Louise Smith, Timo Minssen, Toralf Kirsten, and Stephen Gilbert. Enabling secure and self determined health data sharing and consent management. npj Digital Medicine, 8(1):560, 2025.</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Minal R. Narkhede, Nilesh I. Wankhede, and Akanksha M. Kamble. Enhancing patient autonomy in data ownership: Privacy models and consent frameworks for healthcare. Journal of Digital Health, 4(1):1–23, 2025.</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Roy McClelland and Colin M. Harper. Information privacy in healthcare: The vital role of informed consent. European Journal of Health Law, 30(4):469–480, 2023.</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Katya Kaplow, Max Downey, Darren Stewart, Allan B. Massie, Jennifer D. Motter, Lauren Taylor, John Massarelli, Taylor Matalon, Carolyn Sidoti, Macey L. Levan, et al. Data professionals’ attitudes on data privacy, sharing, and consent in healthcare and research. Digital Health, 10:20552076241290964, 2024.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Aleena Nazir, Mubashir Husain Rehmani, Bernard Butler, and Donna O’Shea. Access control in healthcare IoT: A comprehensive survey. Engineering Reports, 8(4):e70766, 2026.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Ahmed M. Tawfik, Ayman Al-Ahwal, Adly S. Tag Eldien, and Hala H. Zayed. Blockchain-based access control and privacy preservation in healthcare: A comprehensive survey. Cluster Computing, 28(8):529, 2025.</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 BMC Nursing, 23(1):564, 2024.</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[12]	</w:t>
      </w:r>
      <w:r>
        <w:rPr>
          <w:rFonts w:ascii="Times New Roman" w:cs="Times New Roman" w:eastAsia="Times New Roman" w:hAnsi="Times New Roman"/>
          <w:sz w:val="18"/>
          <w:szCs w:val="18"/>
          <w:highlight w:val="yellow"/>
        </w:rPr>
        <w:t xml:space="preserve">Leonidas Theodorakopoulos, Alexandra Theodoropoulou, and Constantinos Halkiopoulos. Enhancing decentralized decision-making with big data and blockchain technology: A comprehensive review. Applied Sciences, 14(16):7007,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Abdullah Al Mamun, Sami Azam, and Clementine Gritti. Blockchain-based electronic health records management: A comprehensive review and future research direction. IEEE Access, 10:5768–5789, 2022.</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[14]	</w:t>
      </w:r>
      <w:r>
        <w:rPr>
          <w:rFonts w:ascii="Times New Roman" w:cs="Times New Roman" w:eastAsia="Times New Roman" w:hAnsi="Times New Roman"/>
          <w:sz w:val="18"/>
          <w:szCs w:val="18"/>
          <w:highlight w:val="yellow"/>
        </w:rPr>
        <w:t xml:space="preserve">Remy Hellstern, Daniel C. Park, Victoria Lemieux, and Guldana Salimjan. Leveraging blockchain-based archival solutions for sensitive documentation: A Xinjiang case study. Digital Society, 1(1):4, 2022.</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[15]	</w:t>
      </w:r>
      <w:r>
        <w:rPr>
          <w:rFonts w:ascii="Times New Roman" w:cs="Times New Roman" w:eastAsia="Times New Roman" w:hAnsi="Times New Roman"/>
          <w:sz w:val="18"/>
          <w:szCs w:val="18"/>
          <w:highlight w:val="yellow"/>
        </w:rPr>
        <w:t xml:space="preserve">Lanlan Li, Charles Z. Liu, and Sanjeeb Shrestha. Analytical entropy approach for measuring blockchain immutability and tamper-resilient trust. Entropy, 28(6):690, 2026.</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Carlo Mazzocca, Abbas Acar, Selcuk Uluagac, Rebecca Montanari, Paolo Bellavista, and Mauro Conti. A survey on decentralized identifiers and verifiable credentials. IEEE Communications Surveys &amp; Tutorials, 27:3641–3671, 2025.</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Andrea Flamini, Giada Sciarretta, Mario Scuro, Amir Sharif, Alessandro Tomasi, and Silvio Ranise. On cryptographic mechanisms for the selective disclosure of verifiable credentials. Journal of Information Security and Applications, 83:103789,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Deva Priya Isravel, K. Martin Sagayam, Bharat Bhushan, Yuichi Sei, and Jennifer Eunice. Blockchain for healthcare systems: Architecture, security challenges, trends and future directions. Journal of Network and Computer Applications, 215:103633, 2023.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Muhammad Irfan Khalid, Mansoor Ahmed, Markus Helfert, and Jungsuk Kim. Privacy-first paradigm for dynamic consent management systems: empowering data subjects through decentralized data controllers and privacy-preserving techniques. Electronics, 12(24):4973, 2023.</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[20]	</w:t>
      </w:r>
      <w:r>
        <w:rPr>
          <w:rFonts w:ascii="Times New Roman" w:cs="Times New Roman" w:eastAsia="Times New Roman" w:hAnsi="Times New Roman"/>
          <w:sz w:val="18"/>
          <w:szCs w:val="18"/>
          <w:highlight w:val="yellow"/>
        </w:rPr>
        <w:t xml:space="preserve">Vitor Jesus and Harshvardhan J. Pandit. Consent receipts for a usable and auditable web of personal data. IEEE Access, 10:28545–28563, 2022.</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N.S. Gill, D. Kaushik, N. Alduaiji, P.K. Shukla, et al. An access control system for cloud-based healthcare systems driven by blockchain. Journal of Cloud Computing,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2026 IEEE International Conference on Blockchain and Cryptocurrency (ICBC), 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D.P. Panagoulias, A.I. Damian, C. Stamate, V. Toderian, P. Butusina, A. De Franceschi, et al. Blockchain-Enabled Trust and Compliance for Clinical AI: Decentralized Governance Without Decentralized Data Storage. Electronics,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Behnam Khayer, Siamak Mirzaei, Hooman Alavizadeh, and Ahmad Salehi Shahraki. Blockchain for secure IoT: A review of identity management, access control, and trust mechanisms. IoT, 6(4):65, 2025.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2025 IEEE International Conference on Distributed Ledger Technologies (ICDLT),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Lanlan Li, Charles Z. Liu, Kejia Huang, Ruiyi Deng, Majed Abdullah Alrowaily, Mansoor Alghamdi, Ibrahim S. Alkhazi, and Malek Alrashidi. Trust-aware environmental state consensus for smart agriculture with TEE-enabled sensing and Byzantine-resilient blockchain coordination. Sensors, 26(14):4577, 2026.</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[35]	</w:t>
      </w:r>
      <w:r>
        <w:rPr>
          <w:rFonts w:ascii="Times New Roman" w:cs="Times New Roman" w:eastAsia="Times New Roman" w:hAnsi="Times New Roman"/>
          <w:sz w:val="18"/>
          <w:szCs w:val="18"/>
          <w:highlight w:val="yellow"/>
        </w:rPr>
        <w:t xml:space="preserve">Jason Walonoski, Mark Kramer, Joseph Nichols, Andre Quina, Chris Moesel, Dylan Hall, Carlton Duffett, Kudakwashe Dube, Thomas Gallagher, and Scott McLachlan.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Alexander Kharlamov, Roland Hohmann, and Glenn Parry. Data sharing decisions: perceptions and intentions in healthcare. Strategic Change, 32(6):223–237,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Pranto Kumar Ghosh, Arindom Chakraborty, Mehedi Hasan, Khalid Rashid, and Abdul Hasib Siddique. Blockchain application in healthcare systems: A review. Systems, 11(1):38,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Mohammad Salar Arbabi, Chhagan Lal, Narasimha Raghavan Veeraragavan, Dusica Marijan, Jan F. Nygård, and Roman Vitenberg. A survey on blockchain for healthcare: Challenges, benefits, and future directions. IEEE Communications Surveys &amp; Tutorials, 25(1):386–424,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Jie Yin, Yang Xiao, Qian Chen, Xuefeng Liu, Qingqi Pei, Jianying Zhou, et al. DP-DID: A dynamic and proactive decentralized identity system. IEEE Transactions on Information Forensics and Security, 20:4999–5014,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Haotian Deng, Jinwen Liang, Chuan Zhang, Ximeng Liu, Liehuang Zhu, and Song Guo. FutureDID: A fully decentralized identity system with multi-party verification. IEEE Transactions on Computers, 73(8):2051–2065, 2024.</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Chalima Dimitra Nassar Kyriakidou, Athanasia Maria Papathanasiou, and George C. Polyzos. Decentralized identity with applications to security and privacy for the internet of things. Computer Networks and Communications, 1(2):244–271, 2023.</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Rohini Poolat Parameswarath, Prosanta Gope, and Biplab Sikdar. User-empowered privacy-preserving authentication protocol for electric vehicle charging based on decentralized identity and verifiable credential. ACM Transactions on Management Information Systems, 13(4):1–21, 2022.</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Hongjian Yin, Yiming Zhao, Lei Zhang, Baojun Qiao, Wenbo Chen, and Huaqing Wang. Attribute-based searchable encryption with decentralized key management for healthcare data sharing. Journal of Systems Architecture, 148:103081, 2024.</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Rong Jiang, Xue Chen, Yimin Yu, Ying Zhang, and Weiping Ding. Risk and UCON-based access control model for healthcare big data. Journal of Big Data, 10(1):104, 2023.</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Matthew J. Page, Joanne E. McKenzie, Patrick M. Bossuyt, Isabelle Boutron, Tammy C. Hoffmann, Cynthia D. Mulrow, et al. The PRISMA 2020 statement: an updated guideline for reporting systematic reviews. BMJ, 372:n71, 2021.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2025 International Conference on Electrical, Computer and Communication Engineering (ECCE),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M.S. Prashanth, R. Karnati, M.S. Velpuru, and H. Venkateshwara Reddy. Enhancing Health Record Security and Privacy with Blockchain-Based Access Management. Lecture Notes of the Institute for Computer Sciences, Social-Informatics and Telecommunications Engineering, LNICST,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A. Teeda and Y.V. Subba Rao. A Patient-Centric Blockchain Based Electronic Health Records for Data Privacy and Confidentiality. Lecture Notes in Networks and Systems,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ACM International Conference Proceeding Series,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J.C. Ferreira. A Blockchain-Based Architecture for Dynamic and Auditable Patient Consent in Secondary Use of Health Data. Blockchain in Healthcare Today,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C.-H. Tseng, Y.-H. Hsieh, H.-Y. Lin, and S.-M. Yuan. EMR-Chain: Decentralized Electronic Medical Record Exchange System. Technologies,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Lecture Notes in Networks and Systems, vol. 541, pages 3–14. Springer, 2023.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Hema S., Goli Bulli Sai Reddy, and Shalini R. Patient Centric Cryptographic Protection of Cloud Electronic Health Records. 2026 6th International Conference on Expert Clouds and Applications (ICOECA),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Proceedings of the International Conference on Security and Cryptography,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2026 3rd International Conference on Emerging Trends in Engineering and Medical Sciences (ICETEMS),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N.M. Sawant and J. Gomes. A Decentralized Solution for Smarter and Safer Healthcare Systems with FabricMedChain. Iranian Journal of Science and Technology, Transactions of Electrical Engineering, 2026. doi:10.1007/s40998-025-00994-0</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22df1687083c1aa86c90931669619b25666899b.png"/><Relationship Id="rId9" Type="http://schemas.openxmlformats.org/officeDocument/2006/relationships/image" Target="media/759e288d014dfc281b63ba10a0a103690581aa0b.png"/><Relationship Id="rId10" Type="http://schemas.openxmlformats.org/officeDocument/2006/relationships/image" Target="media/7f691d763dba86ee49b25518e490fe406bd1e793.png"/><Relationship Id="rId11" Type="http://schemas.openxmlformats.org/officeDocument/2006/relationships/image" Target="media/0fc1020c5f2d577fb45977f6ee9d775a5b66ce0a.png"/><Relationship Id="rId12" Type="http://schemas.openxmlformats.org/officeDocument/2006/relationships/image" Target="media/5dda75865b8a7d4d8bbd3d4e406d6ac57f913b3c.png"/><Relationship Id="rId13" Type="http://schemas.openxmlformats.org/officeDocument/2006/relationships/image" Target="media/9becb05c4a6101f5d421517f324e978051b8cf09.png"/><Relationship Id="rId14" Type="http://schemas.openxmlformats.org/officeDocument/2006/relationships/image" Target="media/6f692c439de61f2c2064c85f12b2c7408b6da610.png"/><Relationship Id="rId15" Type="http://schemas.openxmlformats.org/officeDocument/2006/relationships/image" Target="media/efcb745b76bd75b54bf53f1c859df350299a2c6a.png"/><Relationship Id="rId16" Type="http://schemas.openxmlformats.org/officeDocument/2006/relationships/image" Target="media/11081a2422bebced6d030d22f0ebf13798832173.png"/><Relationship Id="rId17" Type="http://schemas.openxmlformats.org/officeDocument/2006/relationships/image" Target="media/cb3ff9df210f6ca37563bb96441f27f5987b686b.png"/><Relationship Id="rId18" Type="http://schemas.openxmlformats.org/officeDocument/2006/relationships/image" Target="media/70806ca075a018d1832052673cf0a8a54f10cc25.png"/><Relationship Id="rId19" Type="http://schemas.openxmlformats.org/officeDocument/2006/relationships/image" Target="media/4eba5d9267467f413da1872413e65d2897ea5f8d.png"/><Relationship Id="rId20" Type="http://schemas.openxmlformats.org/officeDocument/2006/relationships/image" Target="media/1a88f385ea18ee24f3143e2be805b94b95340d8c.png"/><Relationship Id="rId21" Type="http://schemas.openxmlformats.org/officeDocument/2006/relationships/image" Target="media/9d7e95eb43f6e9e653dbde9cb6afb2c4db7f0f36.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a5b9b3ccbbdd73d6bbf6c105cedc858a5966b7f9.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437d3b5dafb646c4afc365beb5e51e2de16280e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5d3d88fec89ad26a975f334cd92619aa2ce50806.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2026-10-03T03:10:45.758Z</dcterms:created>
  <dcterms:modified xsi:type="dcterms:W3CDTF">2026-10-03T03:10:45.758Z</dcterms:modified>
</cp:coreProperties>
</file>

<file path=docProps/custom.xml><?xml version="1.0" encoding="utf-8"?>
<Properties xmlns="http://schemas.openxmlformats.org/officeDocument/2006/custom-properties" xmlns:vt="http://schemas.openxmlformats.org/officeDocument/2006/docPropsVTypes"/>
</file>