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spacing w:before="360"/>
      </w:pPr>
      <w:r/>
      <w:r>
        <w:rPr>
          <w:vanish/>
        </w:rPr>
        <w:t xml:space="preserve">5. </w:t>
      </w:r>
      <w:r>
        <w:rPr>
          <w:smallCaps/>
        </w:rPr>
        <w:t>Research Architecture and Trust-Centric Consent Model</w:t>
      </w:r>
    </w:p>
    <w:p>
      <w:pPr>
        <w:pStyle w:val="2"/>
      </w:pPr>
      <w:r>
        <w:rPr>
          <w:color w:val="FF0000"/>
        </w:rPr>
        <w:t>5.1 Introduction</w:t>
      </w:r>
    </w:p>
    <w:p>
      <w:pPr/>
      <w:r>
        <w:rPr>
          <w:color w:val="FF0000"/>
        </w:rPr>
        <w:t>Chapter 4 presented the research methodology and an overview of the solution. This chapter presents the first two parts of the solution in full: the research architecture that carries the whole framework, and the trust-centric consent model of RO1, which is the object that the other objectives build on. The two belong together because the consent model lives in the Model layer of the architecture, and the architecture is what turns the consent object from a stored record into a condition that the Controller evaluates at every request.</w:t>
      </w:r>
    </w:p>
    <w:p>
      <w:pPr/>
      <w:r>
        <w:rPr>
          <w:color w:val="FF0000"/>
        </w:rPr>
        <w:t>Sections 5.2 to 5.4 present the architecture: its three layers and their components, where trust is evaluated and where the boundaries between the layers lie, and how the architecture maps to the six research objectives. Section 5.5 presents the consent model: the creation workflow, the structure of the consent object C = (I, A, P, T, L, E), and the creation procedure as Algorithm 1. Section 5.6 shows how the model is implemented in the HALAH prototype: the aims of the prototype, the dataset it uses and the steps of consent creation. Section 5.7 validates the consent creation against the live scenarios, the automated tests and the audit ledger, and evaluates the architecture against the security properties it is designed to provide. Section 5.8 concludes the chapter.</w:t>
      </w:r>
    </w:p>
    <w:p>
      <w:pPr>
        <w:pStyle w:val="2"/>
      </w:pPr>
      <w:r>
        <w:t>5.2 Layered Architecture and Component Decomposition</w:t>
      </w:r>
    </w:p>
    <w:p w14:paraId="41D8500A" w14:textId="77777777" w:rsidR="009262C4" w:rsidRDefault="00000000">
      <w:pPr>
        <w:spacing w:after="110" w:line="264" w:lineRule="auto"/>
        <w:jc w:val="both"/>
      </w:pPr>
      <w:r>
        <w:t xml:space="preserve">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 </w:t>
      </w:r>
      <w:r>
        <w:rPr>
          <w:color w:val="FF0000"/>
        </w:rPr>
        <w:t>Section 5.2 describes the layers and their components, Section 5.3 explains where trust is evaluated and where the architectural boundaries lie, the authorisation workflow was presented in Section 4.4, and Section 5.4 maps the architecture to the research objectives.</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rPr>
          <w:color w:val="FF0000"/>
        </w:rP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The prototype interface also shows a check labelled VL, which compares the jurisdiction declared in the request with the jurisdiction recorded in the consent. This report denotes that check V</w:t>
      </w:r>
      <w:r>
        <w:rPr>
          <w:vertAlign w:val="subscript"/>
        </w:rPr>
        <w:t>J</w:t>
      </w:r>
      <w:r>
        <w:t xml:space="preserve"> and treats jurisdiction as a contextual policy condition for the next stage </w:t>
      </w:r>
      <w:r>
        <w:rPr>
          <w:color w:val="FF0000"/>
        </w:rPr>
        <w:t>(Chapter 8)</w:t>
      </w:r>
      <w:r>
        <w:t>.</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 (in the current prototype, V</w:t>
      </w:r>
      <w:r>
        <w:rPr>
          <w:sz w:val="20"/>
          <w:szCs w:val="18"/>
          <w:vertAlign w:val="subscript"/>
        </w:rPr>
        <w:t>I</w:t>
      </w:r>
      <w:r>
        <w:rPr>
          <w:sz w:val="20"/>
          <w:szCs w:val="18"/>
        </w:rPr>
        <w:t xml:space="preserve"> also checks the EIP-712 signature of each listed guardian, and a refusal for a consent that is not ACTIVE is recorded in the audit ledger like any other refusal, while the check labelled VL in the prototype interface is the exploratory jurisdiction check V</w:t>
      </w:r>
      <w:r>
        <w:rPr>
          <w:sz w:val="20"/>
          <w:szCs w:val="18"/>
          <w:vertAlign w:val="subscript"/>
        </w:rPr>
        <w:t>J</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w:t>
      </w:r>
    </w:p>
    <w:p>
      <w:pPr>
        <w:pStyle w:val="2"/>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rPr>
          <w:color w:val="FF0000"/>
        </w:rPr>
        <w:t>are presented in Chapters 5 to 10</w:t>
      </w:r>
      <w:r>
        <w:t>, and the formal assurance of the complete decision model remains for the next stage. The next section presents the solution for RO1, the consent object on which the other objectives build.</w:t>
      </w:r>
    </w:p>
    <w:p>
      <w:pPr>
        <w:pStyle w:val="2"/>
      </w:pPr>
      <w:r>
        <w:t>5.5 Trust-Centric Consent Model</w:t>
      </w:r>
    </w:p>
    <w:p w14:paraId="5376DFE3" w14:textId="77777777" w:rsidR="009262C4" w:rsidRDefault="00000000">
      <w:pPr>
        <w:spacing w:after="110" w:line="264" w:lineRule="auto"/>
        <w:jc w:val="both"/>
      </w:pPr>
      <w:r>
        <w:t xml:space="preserve">This section presents the solution for RO1. </w:t>
      </w:r>
      <w:r>
        <w:rPr>
          <w:color w:val="FF0000"/>
        </w:rPr>
        <w:t>Section 5.5.1 shows the consent creation workflow, Section 5.5.2 defines the structure of the consent object, Section 5.5.3 presents the creation procedure and the algorithm, Section 5.6 describes how the model is realised in the prototype, and Section 5.7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rPr>
          <w:color w:val="FF0000"/>
        </w:rPr>
        <w:t>Equation (5.1)</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rPr>
          <w:color w:val="FF0000"/>
        </w:rPr>
        <w:t>(5.1)</w:t>
      </w:r>
    </w:p>
    <w:p w14:paraId="63094BBA" w14:textId="77777777" w:rsidR="009262C4" w:rsidRDefault="00000000">
      <w:pPr>
        <w:spacing w:after="110" w:line="264" w:lineRule="auto"/>
        <w:jc w:val="both"/>
      </w:pPr>
      <w:r>
        <w:rPr>
          <w:color w:val="FF0000"/>
        </w:rPr>
        <w:t>In Equation (5.1)</w:t>
      </w:r>
      <w:r>
        <w:t>,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pPr>
      <w:r>
        <w:t>5.5.1 Consent Creation Workflow</w:t>
      </w:r>
    </w:p>
    <w:p w14:paraId="19D1B142" w14:textId="77777777" w:rsidR="009262C4" w:rsidRDefault="00000000">
      <w:pPr>
        <w:spacing w:after="110" w:line="264" w:lineRule="auto"/>
        <w:jc w:val="both"/>
      </w:pPr>
      <w:r>
        <w:rPr>
          <w:color w:val="FF0000"/>
        </w:rP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color w:val="FF0000"/>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 xml:space="preserve">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w:t>
      </w:r>
      <w:r>
        <w:rPr>
          <w:color w:val="FF0000"/>
        </w:rPr>
        <w:t>(Chapter 8)</w:t>
      </w:r>
      <w:r>
        <w:t>.</w:t>
      </w:r>
    </w:p>
    <w:p>
      <w:pPr>
        <w:pStyle w:val="3"/>
      </w:pPr>
      <w:r>
        <w:t>5.5.2 Structure of the Consent Object</w:t>
      </w:r>
    </w:p>
    <w:p w14:paraId="5F6EAA5F" w14:textId="77777777" w:rsidR="009262C4" w:rsidRDefault="00000000">
      <w:pPr>
        <w:spacing w:after="110" w:line="264" w:lineRule="auto"/>
        <w:jc w:val="both"/>
      </w:pPr>
      <w:r>
        <w:rPr>
          <w:color w:val="FF0000"/>
        </w:rP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color w:val="FF0000"/>
          <w:sz w:val="20"/>
          <w:szCs w:val="18"/>
        </w:rPr>
        <w:t>Figure 5.6</w:t>
      </w:r>
      <w:r>
        <w:rPr>
          <w:b/>
          <w:bCs/>
          <w:sz w:val="20"/>
          <w:szCs w:val="18"/>
        </w:rPr>
        <w:t xml:space="preserve">: </w:t>
      </w:r>
      <w:r>
        <w:rPr>
          <w:sz w:val="20"/>
          <w:szCs w:val="18"/>
        </w:rPr>
        <w:t xml:space="preserve">Six-component consent model C = (I, A, P, T, L, E) with the content and supplier of each component, where L is the lifecycle state. The states shown are those of the design, and the states implemented in the prototype are </w:t>
      </w:r>
      <w:r>
        <w:rPr>
          <w:color w:val="FF0000"/>
          <w:sz w:val="20"/>
          <w:szCs w:val="18"/>
        </w:rPr>
        <w:t>given in Chapter 9</w:t>
      </w:r>
      <w:r>
        <w:rPr>
          <w:sz w:val="20"/>
          <w:szCs w:val="18"/>
        </w:rPr>
        <w:t>.</w:t>
      </w:r>
    </w:p>
    <w:p w14:paraId="19DBCC08" w14:textId="77777777" w:rsidR="009262C4" w:rsidRDefault="00000000">
      <w:pPr>
        <w:spacing w:after="110" w:line="264" w:lineRule="auto"/>
        <w:jc w:val="both"/>
      </w:pPr>
      <w:r>
        <w:t>The system validates the temporal validity interval T = (t</w:t>
      </w:r>
      <w:r>
        <w:rPr>
          <w:vertAlign w:val="subscript"/>
        </w:rPr>
        <w:t>s</w:t>
      </w:r>
      <w:r>
        <w:t xml:space="preserve">, t</w:t>
      </w:r>
      <w:r>
        <w:rPr>
          <w:vertAlign w:val="subscript"/>
        </w:rPr>
        <w:t>e</w:t>
      </w:r>
      <w:r>
        <w:t>). Unlike the consent objects reported in the literature, this object carries the guardian set and threshold together with the purpose, data scope, validity interval, and lifecycle state.</w:t>
      </w:r>
    </w:p>
    <w:p>
      <w:pPr>
        <w:pStyle w:val="3"/>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rPr>
          <w:color w:val="FF0000"/>
        </w:rPr>
        <w:t xml:space="preserve">T, L, </w:t>
      </w:r>
      <w:r>
        <w:t xml:space="preserve">E), where I represents the verified identity information, A represents the authorisation requirements, P represents the consent purpose and associated permissions, </w:t>
      </w:r>
      <w:r>
        <w:rPr>
          <w:color w:val="FF0000"/>
        </w:rP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rPr>
          <w:color w:val="FF0000"/>
        </w:rPr>
        <w:t>as qualified in Chapter 6</w:t>
      </w:r>
      <w:r>
        <w:t xml:space="preserve">. The validation evidence for consent creation, including the demonstration scenarios and the unit-level tests, </w:t>
      </w:r>
      <w:r>
        <w:rPr>
          <w:color w:val="FF0000"/>
        </w:rPr>
        <w:t>is presented in Section 5.7.</w:t>
      </w:r>
    </w:p>
    <w:p>
      <w:pPr>
        <w:pStyle w:val="3"/>
      </w:pPr>
      <w:r>
        <w:rPr>
          <w:color w:val="FF0000"/>
        </w:rPr>
        <w:t>5.6.1 Aims of Engineering the Prototype System</w:t>
      </w:r>
    </w:p>
    <w:p>
      <w:pPr/>
      <w:r>
        <w:rPr>
          <w:color w:val="FF0000"/>
        </w:rPr>
        <w:t>The prototype was engineered for three aims. The first is to show that the consent model can be built: a patient can create the object C = (I, A, P, T, L, E) through an interface, and the object carries every component that the later checks need. The second is to make the design testable: the same code that the interface calls is called by the automated tests, so a check that the interface enforces can also be attacked directly at the service level, which is how the gaps closed by the hardening of 1 October 2026 were found. The third is to produce evidence: every creation, approval, decision and revocation is written to the audit ledger with the result of each check, so the claims of this and the following chapters can be traced to recorded events rather than to screenshots alone. The prototype is not engineered for throughput or for a production deployment; its purpose is to validate the design.</w:t>
      </w:r>
    </w:p>
    <w:p>
      <w:pPr>
        <w:pStyle w:val="3"/>
      </w:pPr>
      <w:r>
        <w:t>5.6.2 Dataset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pStyle w:val="3"/>
      </w:pPr>
      <w:r>
        <w:rPr>
          <w:color w:val="FF0000"/>
        </w:rPr>
        <w:t>5.6.3 Steps in the Working of the Prototype for Consent Creation</w:t>
      </w:r>
    </w:p>
    <w:p>
      <w:pPr/>
      <w:r>
        <w:rPr>
          <w:color w:val="FF0000"/>
        </w:rPr>
        <w:t>The creation of a consent in the prototype follows the steps of Algorithm 1 as shown in Figure 5.7:</w:t>
      </w:r>
    </w:p>
    <w:p>
      <w:pPr/>
      <w:r>
        <w:rPr>
          <w:color w:val="FF0000"/>
        </w:rPr>
        <w:t>1. The patient selects the role Patient and their own DID, which the prototype loads from the record set.</w:t>
      </w:r>
    </w:p>
    <w:p>
      <w:pPr/>
      <w:r>
        <w:rPr>
          <w:color w:val="FF0000"/>
        </w:rPr>
        <w:t>2. The patient enters the DID of the authorised doctor and the DIDs of the guardians, separated by commas.</w:t>
      </w:r>
    </w:p>
    <w:p>
      <w:pPr/>
      <w:r>
        <w:rPr>
          <w:color w:val="FF0000"/>
        </w:rPr>
        <w:t>3. The patient selects the data modules from Observation, Medication, Condition and Procedure, and sets the start and expiry times.</w:t>
      </w:r>
    </w:p>
    <w:p>
      <w:pPr/>
      <w:r>
        <w:rPr>
          <w:color w:val="FF0000"/>
        </w:rPr>
        <w:t>4. The patient presses Initial Consent. The prototype checks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r>
        <w:rPr>
          <w:color w:val="FF0000"/>
        </w:rPr>
        <w:t>5. If every check passes, the prototype assigns the consent identifier, stores the object in the state PENDING_SIGNATURE with N set to the number of guardians, writes the CREATE_CONSENT event to the audit ledger, and shows the identifier to the patient.</w:t>
      </w:r>
    </w:p>
    <w:p>
      <w:pPr/>
      <w:r>
        <w:rPr>
          <w:color w:val="FF0000"/>
        </w:rP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7"/>
                    <a:stretch>
                      <a:fillRect/>
                    </a:stretch>
                  </pic:blipFill>
                  <pic:spPr>
                    <a:xfrm>
                      <a:off x="0" y="0"/>
                      <a:ext cx="4860000" cy="3645000"/>
                    </a:xfrm>
                    <a:prstGeom prst="rect"/>
                  </pic:spPr>
                </pic:pic>
              </a:graphicData>
            </a:graphic>
          </wp:inline>
        </w:drawing>
      </w:r>
    </w:p>
    <w:p>
      <w:pPr>
        <w:spacing w:before="160" w:after="160"/>
        <w:jc w:val="center"/>
      </w:pPr>
      <w:r>
        <w:rPr>
          <w:color w:val="FF0000"/>
          <w:sz w:val="20"/>
        </w:rPr>
        <w:t>Figure 5.7: The patient interface of the HALAH prototype after a consent has been created: the consent specification on the left and right, and the confirmation with the consent identifier below.</w:t>
      </w:r>
    </w:p>
    <w:p>
      <w:pPr>
        <w:pStyle w:val="2"/>
      </w:pPr>
      <w:r>
        <w:rPr>
          <w:color w:val="FF0000"/>
        </w:rPr>
        <w:t>5.7 Validation and Evaluation</w:t>
      </w:r>
    </w:p>
    <w:p>
      <w:pPr/>
      <w:r>
        <w:rPr>
          <w:color w:val="FF0000"/>
        </w:rPr>
        <w:t>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pPr>
      <w:r>
        <w:rPr>
          <w:color w:val="FF0000"/>
        </w:rPr>
        <w:t>5.7.1 Validation of Consent Creation</w:t>
      </w:r>
    </w:p>
    <w:p>
      <w:pPr/>
      <w:r>
        <w:rPr>
          <w:color w:val="FF0000"/>
        </w:rP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rPr>
          <w:color w:val="FF0000"/>
        </w:rP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rPr>
          <w:color w:val="FF0000"/>
        </w:rP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8"/>
                    <a:stretch>
                      <a:fillRect/>
                    </a:stretch>
                  </pic:blipFill>
                  <pic:spPr>
                    <a:xfrm>
                      <a:off x="0" y="0"/>
                      <a:ext cx="4860000" cy="2930294"/>
                    </a:xfrm>
                    <a:prstGeom prst="rect"/>
                  </pic:spPr>
                </pic:pic>
              </a:graphicData>
            </a:graphic>
          </wp:inline>
        </w:drawing>
      </w:r>
    </w:p>
    <w:p>
      <w:pPr>
        <w:spacing w:before="160" w:after="160"/>
        <w:jc w:val="center"/>
      </w:pPr>
      <w:r>
        <w:rPr>
          <w:color w:val="FF0000"/>
          <w:sz w:val="20"/>
        </w:rPr>
        <w:t>Figure 5.8: A specification that names the same guardian twice is rejected by Algorithm 1 before any consent is stored.</w:t>
      </w:r>
    </w:p>
    <w:p>
      <w:pPr>
        <w:pStyle w:val="3"/>
      </w:pPr>
      <w:r>
        <w:rPr>
          <w:color w:val="FF0000"/>
        </w:rPr>
        <w:t>5.7.2 Evaluation of the Architecture against the Security Properties</w:t>
      </w:r>
    </w:p>
    <w:p>
      <w:pPr/>
      <w:r>
        <w:rPr>
          <w:color w:val="FF0000"/>
        </w:rPr>
        <w:t>The proposed MVC architecture provides several foundational security properties for the current stage. These properties emerge from the interaction between the Model, View, and Controller rather than from any single technology.</w:t>
      </w:r>
    </w:p>
    <w:p>
      <w:pPr/>
      <w:r>
        <w:rPr>
          <w:color w:val="FF0000"/>
        </w:rP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5.3, in which collective authorisation integrity and decision accountability appear as multi-party authorisation integrity and authorisation evidence respectively.</w:t>
      </w:r>
    </w:p>
    <w:p>
      <w:pPr>
        <w:keepNext/>
        <w:spacing w:before="160" w:after="160"/>
        <w:jc w:val="center"/>
      </w:pPr>
      <w:r>
        <w:rPr>
          <w:color w:val="FF0000"/>
          <w:sz w:val="20"/>
        </w:rPr>
        <w:t>Table 5.3: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user-interface actions from being interpreted directly as trusted authorisation outcomes.</w:t>
            </w:r>
          </w:p>
        </w:tc>
      </w:tr>
    </w:tbl>
    <w:p>
      <w:pPr/>
      <w:r>
        <w:rPr>
          <w:color w:val="FF0000"/>
        </w:rPr>
      </w:r>
    </w:p>
    <w:p>
      <w:pPr/>
      <w:r>
        <w:rPr>
          <w:color w:val="FF0000"/>
        </w:rPr>
        <w:t>Each property in Table 5.3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2"/>
      </w:pPr>
      <w:r>
        <w:rPr>
          <w:color w:val="FF0000"/>
        </w:rPr>
        <w:t>5.8 Conclusion</w:t>
      </w:r>
    </w:p>
    <w:p>
      <w:pPr/>
      <w:r>
        <w:rPr>
          <w:color w:val="FF0000"/>
        </w:rPr>
        <w:t>This chapter presented the research architecture and the trust-centric consent model. The architecture separates the interaction of independent stakeholders in the View, the enforcement of the five trust predicates in the Controller, and the representation of consent, identity, approval, policy, evidence and lifecycle state in the Model, with the protected health data outside all three layers. The consent model represents patient consent as the evaluable object C = (I, A, P, T, L, E), created through Algorithm 1 only when every field is valid, assigned a unique identifier, persisted in the state PENDING_SIGNATURE and recorded in the audit ledger. The prototype implements the model in the patient interface, the live scenarios and the automated tests show that valid specifications are created and invalid ones are rejected, and the architecture was evaluated against the six security properties it is designed to provide. The next chapter presents the solution for RO2, which verifies who the participants are and what authority they hold.</w:t>
      </w:r>
    </w:p>
    <w:sectPr w:rsidR="009262C4">
      <w:headerReference w:type="default" r:id="rId39"/>
      <w:headerReference w:type="even" r:id="rId40"/>
      <w:footerReference w:type="default" r:id="rId34"/>
      <w:footerReference w:type="even" r:id="rId41"/>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5.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header" Target="header1.xml"/><Relationship Id="rId40" Type="http://schemas.openxmlformats.org/officeDocument/2006/relationships/header" Target="header2.xml"/><Relationship Id="rId4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Ayman Alyoubi</cp:lastModifiedBy>
  <cp:revision>4</cp:revision>
  <dcterms:created xsi:type="dcterms:W3CDTF">2026-10-12T18:23:00Z</dcterms:created>
  <dcterms:modified xsi:type="dcterms:W3CDTF">2026-10-14T05:31:00Z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