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5 Research Architecture and Trust-Centric Consent Model</w:t>
        <w:tab/>
        <w:t>50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Layered Architecture and Component Decomposition</w:t>
        <w:tab/>
        <w:t>51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Evaluation and Architectural Boundaries</w:t>
        <w:tab/>
        <w:t>52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MVC Architecture and the Research Objectives</w:t>
        <w:tab/>
        <w:t>55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Trust-Centric Consent Model</w:t>
        <w:tab/>
        <w:t>57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5.5.1 Consent Creation Workflow</w:t>
        <w:tab/>
        <w:t>58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5.5.2 Structure of the Consent Object</w:t>
        <w:tab/>
        <w:t>59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5.5.3 Trust-Aware Consent Creation Procedure and Algorithm</w:t>
        <w:tab/>
        <w:t>60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Prototype Implementation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5.6.1 Aims of Engineering the Prototype System</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5.6.2 Dataset Used for Validation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5.6.3 Steps in the Working of the Prototype for Consent Creation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Validation and Evaluation</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5.7.1 Validation of Consent Creation</w:t>
        <w:tab/>
        <w:t>65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5.7.2 Evaluation of the Architecture against the Security Properties</w:t>
        <w:tab/>
        <w:t>66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Conclusion</w:t>
        <w:tab/>
        <w:t>67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Functional decomposition of the MVC components.</w:t>
        <w:tab/>
        <w:t>51</w:t>
      </w:r>
    </w:p>
    <w:p xmlns:ns1="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RO1 workflow for trust-centric consent creation.</w:t>
        <w:tab/>
        <w:t>59</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64</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66</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Mapping between research objectives and MVC components</w:t>
        <w:tab/>
        <w:t>56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