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56</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60</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78</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82</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86</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93</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108</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124</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139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157</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170</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171</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173</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174</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179</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000000"/>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000000"/>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spacing w:after="140" w:line="300"/>
        <w:jc w:val="both"/>
      </w:pPr>
      <w:r>
        <w:rPr>
          <w:rFonts w:ascii="Cambria" w:cs="Cambria" w:eastAsia="Cambria" w:hAnsi="Cambria"/>
          <w:color w:val="000000"/>
          <w:sz w:val="24"/>
          <w:szCs w:val="24"/>
        </w:rPr>
        <w:t xml:space="preserve">Table 1 summarises the scope of the research and the progression of the six objectives from the current stage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48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000000"/>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000000"/>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25 included studies were published between 2020 and 2026</w:t>
      </w:r>
      <w:r>
        <w:rPr>
          <w:rFonts w:ascii="Cambria" w:cs="Cambria" w:eastAsia="Cambria" w:hAnsi="Cambria"/>
          <w:color w:val="000000"/>
          <w:sz w:val="24"/>
          <w:szCs w:val="24"/>
        </w:rPr>
        <w:t xml:space="preserve">, which is the publication period fixed in the review protocol. </w:t>
      </w:r>
      <w:r>
        <w:rPr>
          <w:rFonts w:ascii="Cambria" w:cs="Cambria" w:eastAsia="Cambria" w:hAnsi="Cambria"/>
          <w:color w:val="000000"/>
          <w:sz w:val="24"/>
          <w:szCs w:val="24"/>
        </w:rPr>
        <w:t xml:space="preserve">Of the 25 studies, 13 were retrieved through Scopus, 10 through IEEE Xplore and two through ProQuest,</w:t>
      </w:r>
      <w:r>
        <w:rPr>
          <w:rFonts w:ascii="Cambria" w:cs="Cambria" w:eastAsia="Cambria" w:hAnsi="Cambria"/>
          <w:color w:val="000000"/>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000000"/>
          <w:sz w:val="24"/>
          <w:szCs w:val="24"/>
        </w:rPr>
        <w:t xml:space="preserve">each included study is referred to by the label Sn (S1 to S25)</w:t>
      </w:r>
      <w:r>
        <w:rPr>
          <w:rFonts w:ascii="Cambria" w:cs="Cambria" w:eastAsia="Cambria" w:hAnsi="Cambria"/>
          <w:color w:val="000000"/>
          <w:sz w:val="24"/>
          <w:szCs w:val="24"/>
        </w:rPr>
        <w:t xml:space="preserve"> together with its reference number, so that the reader can move between the tables, the text and the reference list without ambiguity. </w:t>
      </w:r>
      <w:r>
        <w:rPr>
          <w:rFonts w:ascii="Cambria" w:cs="Cambria" w:eastAsia="Cambria" w:hAnsi="Cambria"/>
          <w:color w:val="000000"/>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00"/>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000000"/>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00"/>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000000"/>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It should be noted that this raw yield reflects the breadth of the master query and the indexing mode of the databases rather than the size of the relevant literature. The two full-record searches, SpringerLink and IEEE Xplore, account for 4,701 of the 9,256 records, whereas the four field-restricted searches on title, abstract and keywords (Scopus, Web of Science, ScienceDirect and ACM Digital Library) returned 3,375 between them. The protocol accepted this over-retrieval deliberately, since a broad query was preferred to a query tuned to the sentinel papers, and the screening stages reduce the set to 1,800 full texts and 25 included studies.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000000"/>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00"/>
          <w:sz w:val="24"/>
          <w:szCs w:val="24"/>
        </w:rPr>
        <w:t xml:space="preserve"> Therefore, 1,800 records advanced to full-text retrieval.</w:t>
      </w:r>
    </w:p>
    <w:p>
      <w:pPr>
        <w:spacing w:after="140" w:line="300"/>
        <w:jc w:val="both"/>
      </w:pPr>
      <w:r>
        <w:rPr>
          <w:rFonts w:ascii="Cambria" w:cs="Cambria" w:eastAsia="Cambria" w:hAnsi="Cambria"/>
          <w:color w:val="000000"/>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00"/>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000000"/>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00"/>
          <w:sz w:val="24"/>
          <w:szCs w:val="24"/>
        </w:rPr>
        <w:t xml:space="preserve"> Three studies were classified as secondary reviews under EC7 and retained for background [79, 80, 81]. </w:t>
      </w:r>
      <w:r>
        <w:rPr>
          <w:rFonts w:ascii="Cambria" w:cs="Cambria" w:eastAsia="Cambria" w:hAnsi="Cambria"/>
          <w:color w:val="000000"/>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Every one of the 44 reports also passed the quality gate</w:t>
      </w:r>
      <w:r>
        <w:rPr>
          <w:rFonts w:ascii="Cambria" w:cs="Cambria" w:eastAsia="Cambria" w:hAnsi="Cambria"/>
          <w:color w:val="000000"/>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000000"/>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w:t>
      </w:r>
      <w:r>
        <w:rPr>
          <w:rFonts w:ascii="Cambria" w:cs="Cambria" w:eastAsia="Cambria" w:hAnsi="Cambria"/>
          <w:color w:val="000000"/>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000000"/>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00"/>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25 included studies was analysed</w:t>
      </w:r>
      <w:r>
        <w:rPr>
          <w:rFonts w:ascii="Cambria" w:cs="Cambria" w:eastAsia="Cambria" w:hAnsi="Cambria"/>
          <w:color w:val="000000"/>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w:t>
      </w:r>
      <w:r>
        <w:rPr>
          <w:rFonts w:ascii="Cambria" w:cs="Cambria" w:eastAsia="Cambria" w:hAnsi="Cambria"/>
          <w:color w:val="000000"/>
          <w:sz w:val="24"/>
          <w:szCs w:val="24"/>
        </w:rPr>
        <w:t xml:space="preserve">The studies are listed in Table 2 in the order of their labels S1 to S25, together with their reference numbers.</w:t>
      </w:r>
      <w:r>
        <w:rPr>
          <w:rFonts w:ascii="Cambria" w:cs="Cambria" w:eastAsia="Cambria" w:hAnsi="Cambria"/>
          <w:color w:val="000000"/>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000000"/>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000000"/>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two included studies illustrate</w:t>
      </w:r>
      <w:r>
        <w:rPr>
          <w:rFonts w:ascii="Cambria" w:cs="Cambria" w:eastAsia="Cambria" w:hAnsi="Cambria"/>
          <w:color w:val="000000"/>
          <w:sz w:val="24"/>
          <w:szCs w:val="24"/>
        </w:rPr>
        <w:t xml:space="preserv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000000"/>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00"/>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Ten further reports were assigned to this stream and coded, but they are not part of the review corpus</w:t>
      </w:r>
      <w:r>
        <w:rPr>
          <w:rFonts w:ascii="Cambria" w:cs="Cambria" w:eastAsia="Cambria" w:hAnsi="Cambria"/>
          <w:color w:val="000000"/>
          <w:sz w:val="24"/>
          <w:szCs w:val="24"/>
        </w:rPr>
        <w:t xml:space="preserve"> [36], [39], [41], [42], [60], [65], [68], [70], [74], [78]. </w:t>
      </w:r>
      <w:r>
        <w:rPr>
          <w:rFonts w:ascii="Cambria" w:cs="Cambria" w:eastAsia="Cambria" w:hAnsi="Cambria"/>
          <w:color w:val="000000"/>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ten supporting references were graded Partial</w:t>
      </w:r>
      <w:r>
        <w:rPr>
          <w:rFonts w:ascii="Cambria" w:cs="Cambria" w:eastAsia="Cambria" w:hAnsi="Cambria"/>
          <w:color w:val="000000"/>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00"/>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000000"/>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00"/>
          <w:sz w:val="24"/>
          <w:szCs w:val="24"/>
        </w:rPr>
        <w:t xml:space="preserve">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00"/>
          <w:sz w:val="24"/>
          <w:szCs w:val="24"/>
        </w:rPr>
        <w:t xml:space="preserve">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included studies of stream 3</w:t>
      </w:r>
      <w:r>
        <w:rPr>
          <w:rFonts w:ascii="Cambria" w:cs="Cambria" w:eastAsia="Cambria" w:hAnsi="Cambria"/>
          <w:color w:val="000000"/>
          <w:sz w:val="24"/>
          <w:szCs w:val="24"/>
        </w:rPr>
        <w:t xml:space="preserve">, whose main contribution involves the participation of more than one party in a consent or access decision. </w:t>
      </w:r>
      <w:r>
        <w:rPr>
          <w:rFonts w:ascii="Cambria" w:cs="Cambria" w:eastAsia="Cambria" w:hAnsi="Cambria"/>
          <w:color w:val="000000"/>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00"/>
          <w:sz w:val="24"/>
          <w:szCs w:val="24"/>
        </w:rPr>
        <w:t xml:space="preserve"> and the coding panel ratified six distinct mechanism classes of multi-party authorisation. </w:t>
      </w:r>
      <w:r>
        <w:rPr>
          <w:rFonts w:ascii="Cambria" w:cs="Cambria" w:eastAsia="Cambria" w:hAnsi="Cambria"/>
          <w:color w:val="000000"/>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00"/>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000000"/>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00"/>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000000"/>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000000"/>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the only study among the 25 included studies in which</w:t>
      </w:r>
      <w:r>
        <w:rPr>
          <w:rFonts w:ascii="Cambria" w:cs="Cambria" w:eastAsia="Cambria" w:hAnsi="Cambria"/>
          <w:color w:val="000000"/>
          <w:sz w:val="24"/>
          <w:szCs w:val="24"/>
        </w:rPr>
        <w:t xml:space="preserve"> multi-party approval and an enforced policy predicate co-occur. </w:t>
      </w:r>
      <w:r>
        <w:rPr>
          <w:rFonts w:ascii="Cambria" w:cs="Cambria" w:eastAsia="Cambria" w:hAnsi="Cambria"/>
          <w:color w:val="000000"/>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000000"/>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w:t>
      </w:r>
      <w:r>
        <w:rPr>
          <w:rFonts w:ascii="Cambria" w:cs="Cambria" w:eastAsia="Cambria" w:hAnsi="Cambria"/>
          <w:color w:val="000000"/>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00"/>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000000"/>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00"/>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000000"/>
          <w:sz w:val="24"/>
          <w:szCs w:val="24"/>
        </w:rPr>
        <w:t xml:space="preserve">This section reviews the four included studies of stream 4</w:t>
      </w:r>
      <w:r>
        <w:rPr>
          <w:rFonts w:ascii="Cambria" w:cs="Cambria" w:eastAsia="Cambria" w:hAnsi="Cambria"/>
          <w:color w:val="000000"/>
          <w:sz w:val="24"/>
          <w:szCs w:val="24"/>
        </w:rPr>
        <w:t xml:space="preserve"> against Req 4. </w:t>
      </w:r>
      <w:r>
        <w:rPr>
          <w:rFonts w:ascii="Cambria" w:cs="Cambria" w:eastAsia="Cambria" w:hAnsi="Cambria"/>
          <w:color w:val="000000"/>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00"/>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000000"/>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00"/>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4 was coded and retained outside the corpus.</w:t>
      </w:r>
      <w:r>
        <w:rPr>
          <w:rFonts w:ascii="Cambria" w:cs="Cambria" w:eastAsia="Cambria" w:hAnsi="Cambria"/>
          <w:color w:val="000000"/>
          <w:sz w:val="24"/>
          <w:szCs w:val="24"/>
        </w:rPr>
        <w:t xml:space="preserve">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000000"/>
          <w:sz w:val="24"/>
          <w:szCs w:val="24"/>
        </w:rPr>
        <w:t xml:space="preserve">This section reviews the four included studies of stream 5</w:t>
      </w:r>
      <w:r>
        <w:rPr>
          <w:rFonts w:ascii="Cambria" w:cs="Cambria" w:eastAsia="Cambria" w:hAnsi="Cambria"/>
          <w:color w:val="000000"/>
          <w:sz w:val="24"/>
          <w:szCs w:val="24"/>
        </w:rPr>
        <w:t xml:space="preserve">, namely Eneh et al. [44], Li et al. [51], Panagoulias et al. [57] and Hema et al. [64], and draws on the lifecycle evidence </w:t>
      </w:r>
      <w:r>
        <w:rPr>
          <w:rFonts w:ascii="Cambria" w:cs="Cambria" w:eastAsia="Cambria" w:hAnsi="Cambria"/>
          <w:color w:val="000000"/>
          <w:sz w:val="24"/>
          <w:szCs w:val="24"/>
        </w:rPr>
        <w:t xml:space="preserve">recorded for the included studies of the other streams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Hema et al. [64] take a different approach in a patient-centric cryptographic protection scheme for cloud EHRs.</w:t>
      </w:r>
      <w:r>
        <w:rPr>
          <w:rFonts w:ascii="Cambria" w:cs="Cambria" w:eastAsia="Cambria" w:hAnsi="Cambria"/>
          <w:color w:val="000000"/>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00"/>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000000"/>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included study illustrates</w:t>
      </w:r>
      <w:r>
        <w:rPr>
          <w:rFonts w:ascii="Cambria" w:cs="Cambria" w:eastAsia="Cambria" w:hAnsi="Cambria"/>
          <w:color w:val="000000"/>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25 included studies, T5 is coded Yes in 8 and T6 in 7. Req 5, which requires enforcement in the decision, is Yes in 8.</w:t>
      </w:r>
      <w:r>
        <w:rPr>
          <w:rFonts w:ascii="Cambria" w:cs="Cambria" w:eastAsia="Cambria" w:hAnsi="Cambria"/>
          <w:color w:val="000000"/>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000000"/>
          <w:sz w:val="24"/>
          <w:szCs w:val="24"/>
        </w:rPr>
        <w:t xml:space="preserve">among the included studies a post-revocation denial</w:t>
      </w:r>
      <w:r>
        <w:rPr>
          <w:rFonts w:ascii="Cambria" w:cs="Cambria" w:eastAsia="Cambria" w:hAnsi="Cambria"/>
          <w:color w:val="000000"/>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000000"/>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Table 7 presents a summary of the included stream-5 studies</w:t>
      </w:r>
      <w:r>
        <w:rPr>
          <w:rFonts w:ascii="Cambria" w:cs="Cambria" w:eastAsia="Cambria" w:hAnsi="Cambria"/>
          <w:color w:val="000000"/>
          <w:sz w:val="24"/>
          <w:szCs w:val="24"/>
        </w:rPr>
        <w:t xml:space="preserve">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5 was coded and retained outside the corpus.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w:t>
      </w:r>
      <w:r>
        <w:rPr>
          <w:rFonts w:ascii="Cambria" w:cs="Cambria" w:eastAsia="Cambria" w:hAnsi="Cambria"/>
          <w:color w:val="000000"/>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00"/>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000000"/>
          <w:sz w:val="24"/>
          <w:szCs w:val="24"/>
        </w:rPr>
        <w:t xml:space="preserve">Stream 6 gathers the four included studies</w:t>
      </w:r>
      <w:r>
        <w:rPr>
          <w:rFonts w:ascii="Cambria" w:cs="Cambria" w:eastAsia="Cambria" w:hAnsi="Cambria"/>
          <w:color w:val="000000"/>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000000"/>
          <w:sz w:val="24"/>
          <w:szCs w:val="24"/>
        </w:rPr>
        <w:t xml:space="preserve">authorisation is therefore separated from the DID challenge-response authentication.</w:t>
      </w:r>
      <w:r>
        <w:rPr>
          <w:rFonts w:ascii="Cambria" w:cs="Cambria" w:eastAsia="Cambria" w:hAnsi="Cambria"/>
          <w:color w:val="000000"/>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000000"/>
          <w:sz w:val="24"/>
          <w:szCs w:val="24"/>
        </w:rPr>
        <w:t xml:space="preserve">This is the first complete formal assurance in the corpus. However, what is proven concerns the identity and authority fragment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000000"/>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000000"/>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included studies</w:t>
      </w:r>
      <w:r>
        <w:rPr>
          <w:rFonts w:ascii="Cambria" w:cs="Cambria" w:eastAsia="Cambria" w:hAnsi="Cambria"/>
          <w:color w:val="000000"/>
          <w:sz w:val="24"/>
          <w:szCs w:val="24"/>
        </w:rPr>
        <w:t xml:space="preserve"> against the six key requirements and positions the proposed framework relative to the existing literature. </w:t>
      </w:r>
      <w:r>
        <w:rPr>
          <w:rFonts w:ascii="Cambria" w:cs="Cambria" w:eastAsia="Cambria" w:hAnsi="Cambria"/>
          <w:color w:val="000000"/>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00"/>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00"/>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000000"/>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000000"/>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w:t>
      </w:r>
      <w:r>
        <w:rPr>
          <w:rFonts w:ascii="Cambria" w:cs="Cambria" w:eastAsia="Cambria" w:hAnsi="Cambria"/>
          <w:color w:val="000000"/>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000000"/>
          <w:sz w:val="24"/>
          <w:szCs w:val="24"/>
        </w:rPr>
        <w:t xml:space="preserve">In the 13 included studies coded as partial, and in the supporting references, the consent is</w:t>
      </w:r>
      <w:r>
        <w:rPr>
          <w:rFonts w:ascii="Cambria" w:cs="Cambria" w:eastAsia="Cambria" w:hAnsi="Cambria"/>
          <w:color w:val="000000"/>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w:t>
      </w:r>
      <w:r>
        <w:rPr>
          <w:rFonts w:ascii="Cambria" w:cs="Cambria" w:eastAsia="Cambria" w:hAnsi="Cambria"/>
          <w:color w:val="000000"/>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18 included studies coded as partial the identity is</w:t>
      </w:r>
      <w:r>
        <w:rPr>
          <w:rFonts w:ascii="Cambria" w:cs="Cambria" w:eastAsia="Cambria" w:hAnsi="Cambria"/>
          <w:color w:val="000000"/>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w:t>
      </w:r>
      <w:r>
        <w:rPr>
          <w:rFonts w:ascii="Cambria" w:cs="Cambria" w:eastAsia="Cambria" w:hAnsi="Cambria"/>
          <w:color w:val="000000"/>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00"/>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000000"/>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w:t>
      </w:r>
      <w:r>
        <w:rPr>
          <w:rFonts w:ascii="Cambria" w:cs="Cambria" w:eastAsia="Cambria" w:hAnsi="Cambria"/>
          <w:color w:val="000000"/>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00"/>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w:t>
      </w:r>
      <w:r>
        <w:rPr>
          <w:rFonts w:ascii="Cambria" w:cs="Cambria" w:eastAsia="Cambria" w:hAnsi="Cambria"/>
          <w:color w:val="000000"/>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00"/>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w:t>
      </w:r>
      <w:r>
        <w:rPr>
          <w:rFonts w:ascii="Cambria" w:cs="Cambria" w:eastAsia="Cambria" w:hAnsi="Cambria"/>
          <w:color w:val="000000"/>
          <w:sz w:val="24"/>
          <w:szCs w:val="24"/>
        </w:rPr>
        <w:t xml:space="preserve">each requirement is satisfied by some of the 25 studies</w:t>
      </w:r>
      <w:r>
        <w:rPr>
          <w:rFonts w:ascii="Cambria" w:cs="Cambria" w:eastAsia="Cambria" w:hAnsi="Cambria"/>
          <w:color w:val="000000"/>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25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000000"/>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w:t>
      </w:r>
      <w:r>
        <w:rPr>
          <w:rFonts w:ascii="Cambria" w:cs="Cambria" w:eastAsia="Cambria" w:hAnsi="Cambria"/>
          <w:color w:val="000000"/>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1, t</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 ≤ t ≤ t</w:t>
      </w:r>
      <w:r>
        <w:rPr>
          <w:rFonts w:ascii="Cambria Math" w:cs="Cambria Math" w:eastAsia="Cambria Math" w:hAnsi="Cambria Math"/>
          <w:i/>
          <w:iCs/>
          <w:color w:val="000000"/>
          <w:sz w:val="22"/>
          <w:szCs w:val="22"/>
          <w:vertAlign w:val="subscript"/>
        </w:rPr>
        <w:t xml:space="preserve">e</w:t>
      </w:r>
      <w:r>
        <w:rPr>
          <w:rFonts w:ascii="Cambria Math" w:cs="Cambria Math" w:eastAsia="Cambria Math" w:hAnsi="Cambria Math"/>
          <w:i/>
          <w:iCs/>
          <w:color w:val="000000"/>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000000"/>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476625"/>
            <wp:effectExtent t="0" r="0" b="0" l="0"/>
            <wp:docPr id="1" name="arch6.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shows the six functions of the conceptual model; the two additional implementation components are described in Chapter 6.</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keepNext/>
        <w:spacing w:after="60" w:before="140"/>
        <w:jc w:val="center"/>
      </w:pPr>
      <w:r>
        <w:drawing>
          <wp:inline distT="0" distB="0" distL="0" distR="0">
            <wp:extent cx="5715000" cy="2209800"/>
            <wp:effectExtent t="0" r="0" b="0" l="0"/>
            <wp:docPr id="1" name="arch7.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257800"/>
            <wp:effectExtent t="0" r="0" b="0" l="0"/>
            <wp:docPr id="1" name="arch8.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257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keepNext/>
        <w:spacing w:after="60" w:before="140"/>
        <w:jc w:val="center"/>
      </w:pPr>
      <w:r>
        <w:drawing>
          <wp:inline distT="0" distB="0" distL="0" distR="0">
            <wp:extent cx="4191000" cy="6819900"/>
            <wp:effectExtent t="0" r="0" b="0" l="0"/>
            <wp:docPr id="1" name="arch9.png" descr="Figure 9: End-to-end workflow of the trust-oriented consent authorisation framework" title="Figure 9: 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6819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the trust-oriented consent authorisation framework</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000000"/>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00"/>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denote the healthcare data scope authorised by the consent object and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000000"/>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00"/>
          <w:sz w:val="24"/>
          <w:szCs w:val="24"/>
        </w:rPr>
        <w:t xml:space="preserve">In the current interface the purpose is fixed to Treatment and is not selected by the patient. The purpose vocabulary check of Section 6.4.3 is therefore exercised by the automated tests rather than by the interface. Figure 10 shows the resulting consent-creation workflow.</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w:t>
      </w:r>
      <w:r>
        <w:rPr>
          <w:rFonts w:ascii="Cambria" w:cs="Cambria" w:eastAsia="Cambria" w:hAnsi="Cambria"/>
          <w:color w:val="000000"/>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000000"/>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962650"/>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962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000000"/>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At access time the recovery is repeated for every recorded signature within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whereas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the verification fails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the invalid approval and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record a local token identifier; state ← ACTIVE once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000000"/>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00"/>
          <w:sz w:val="24"/>
          <w:szCs w:val="24"/>
        </w:rPr>
        <w:t xml:space="preserve">In the prototype the matrix column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records the purpose check VU only. The scope condition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00"/>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000000"/>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(37) evaluates identity, collective authorisation and policy compliance.</w:t>
      </w:r>
      <w:r>
        <w:rPr>
          <w:rFonts w:ascii="Cambria" w:cs="Cambria" w:eastAsia="Cambria" w:hAnsi="Cambria"/>
          <w:color w:val="000000"/>
          <w:sz w:val="24"/>
          <w:szCs w:val="24"/>
        </w:rPr>
        <w:t xml:space="preserv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In the decision rules that follow,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is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000000"/>
          <w:sz w:val="24"/>
          <w:szCs w:val="24"/>
        </w:rPr>
        <w:t xml:space="preserve">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access decision evaluates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The implementation evaluates this predicate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presents the RO6 workflow for security assurance and empirical validation. Of the two forms of assurance, the empirical evaluation shown in the figure has been executed on the prototype, whereas the formal analysis of the decision rule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000000"/>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000000"/>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00"/>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000000"/>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Figure 17,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Figure 18,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4095750" cy="5676900"/>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Figure 19</w:t>
      </w:r>
      <w:r>
        <w:rPr>
          <w:rFonts w:ascii="Cambria" w:cs="Cambria" w:eastAsia="Cambria" w:hAnsi="Cambria"/>
          <w:color w:val="000000"/>
          <w:sz w:val="24"/>
          <w:szCs w:val="24"/>
        </w:rPr>
        <w:t xml:space="preserve">, the deployed instance is listed in Remix under Deployed Contracts, and the source code was submitted for verification, which completed with Verification Successful. </w:t>
      </w:r>
      <w:r>
        <w:rPr>
          <w:rFonts w:ascii="Cambria" w:cs="Cambria" w:eastAsia="Cambria" w:hAnsi="Cambria"/>
          <w:color w:val="000000"/>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Figure 20</w:t>
      </w:r>
      <w:r>
        <w:rPr>
          <w:rFonts w:ascii="Cambria" w:cs="Cambria" w:eastAsia="Cambria" w:hAnsi="Cambria"/>
          <w:color w:val="000000"/>
          <w:sz w:val="24"/>
          <w:szCs w:val="24"/>
        </w:rPr>
        <w:t xml:space="preser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Figure 21</w:t>
      </w:r>
      <w:r>
        <w:rPr>
          <w:rFonts w:ascii="Cambria" w:cs="Cambria" w:eastAsia="Cambria" w:hAnsi="Cambria"/>
          <w:color w:val="000000"/>
          <w:sz w:val="24"/>
          <w:szCs w:val="24"/>
        </w:rPr>
        <w:t xml:space="preser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000000"/>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000000"/>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w:t>
      </w: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24479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Figure 23,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Figure 24</w:t>
      </w:r>
      <w:r>
        <w:rPr>
          <w:rFonts w:ascii="Cambria" w:cs="Cambria" w:eastAsia="Cambria" w:hAnsi="Cambria"/>
          <w:color w:val="000000"/>
          <w:sz w:val="24"/>
          <w:szCs w:val="24"/>
        </w:rPr>
        <w:t xml:space="preser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590675"/>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5906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Figure 25</w:t>
      </w:r>
      <w:r>
        <w:rPr>
          <w:rFonts w:ascii="Cambria" w:cs="Cambria" w:eastAsia="Cambria" w:hAnsi="Cambria"/>
          <w:color w:val="000000"/>
          <w:sz w:val="24"/>
          <w:szCs w:val="24"/>
        </w:rPr>
        <w:t xml:space="preser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3314700"/>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Figure 26,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114800"/>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Figure 27</w:t>
      </w:r>
      <w:r>
        <w:rPr>
          <w:rFonts w:ascii="Cambria" w:cs="Cambria" w:eastAsia="Cambria" w:hAnsi="Cambria"/>
          <w:color w:val="000000"/>
          <w:sz w:val="24"/>
          <w:szCs w:val="24"/>
        </w:rPr>
        <w:t xml:space="preser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05790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2386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238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Figures 29 and 30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Figure 31</w:t>
      </w:r>
      <w:r>
        <w:rPr>
          <w:rFonts w:ascii="Cambria" w:cs="Cambria" w:eastAsia="Cambria" w:hAnsi="Cambria"/>
          <w:color w:val="000000"/>
          <w:sz w:val="24"/>
          <w:szCs w:val="24"/>
        </w:rPr>
        <w:t xml:space="preser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Figure 32</w:t>
      </w:r>
      <w:r>
        <w:rPr>
          <w:rFonts w:ascii="Cambria" w:cs="Cambria" w:eastAsia="Cambria" w:hAnsi="Cambria"/>
          <w:color w:val="000000"/>
          <w:sz w:val="24"/>
          <w:szCs w:val="24"/>
        </w:rPr>
        <w:t xml:space="preser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Figure 33</w:t>
      </w:r>
      <w:r>
        <w:rPr>
          <w:rFonts w:ascii="Cambria" w:cs="Cambria" w:eastAsia="Cambria" w:hAnsi="Cambria"/>
          <w:color w:val="000000"/>
          <w:sz w:val="24"/>
          <w:szCs w:val="24"/>
        </w:rPr>
        <w:t xml:space="preser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Figure 34</w:t>
      </w:r>
      <w:r>
        <w:rPr>
          <w:rFonts w:ascii="Cambria" w:cs="Cambria" w:eastAsia="Cambria" w:hAnsi="Cambria"/>
          <w:color w:val="000000"/>
          <w:sz w:val="24"/>
          <w:szCs w:val="24"/>
        </w:rPr>
        <w:t xml:space="preser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47875"/>
            <wp:effectExtent t="0" r="0" b="0" l="0"/>
            <wp:docPr id="1" name="lifecycle_sm.png" descr="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titl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w:t>
      </w:r>
    </w:p>
    <w:p>
      <w:pPr>
        <w:keepNext/>
        <w:spacing w:after="60" w:before="140"/>
        <w:jc w:val="center"/>
      </w:pPr>
      <w:r>
        <w:drawing>
          <wp:inline distT="0" distB="0" distL="0" distR="0">
            <wp:extent cx="5715000" cy="2905125"/>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9051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Figure 36</w:t>
      </w:r>
      <w:r>
        <w:rPr>
          <w:rFonts w:ascii="Cambria" w:cs="Cambria" w:eastAsia="Cambria" w:hAnsi="Cambria"/>
          <w:color w:val="000000"/>
          <w:sz w:val="24"/>
          <w:szCs w:val="24"/>
        </w:rPr>
        <w:t xml:space="preserve">, when the doctor subsequently enters the same Consent ID, the authorisation check VA fails and the subsystem reports that the consent is not active. </w:t>
      </w:r>
      <w:r>
        <w:rPr>
          <w:rFonts w:ascii="Cambria" w:cs="Cambria" w:eastAsia="Cambria" w:hAnsi="Cambria"/>
          <w:color w:val="000000"/>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289560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Figure 37</w:t>
      </w:r>
      <w:r>
        <w:rPr>
          <w:rFonts w:ascii="Cambria" w:cs="Cambria" w:eastAsia="Cambria" w:hAnsi="Cambria"/>
          <w:color w:val="000000"/>
          <w:sz w:val="24"/>
          <w:szCs w:val="24"/>
        </w:rPr>
        <w:t xml:space="preser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4953000" cy="6181725"/>
            <wp:effectExtent t="0" r="0" b="0" l="0"/>
            <wp:docPr id="1" name="n_lifecycle.png" descr="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 title="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w:t>
      </w:r>
    </w:p>
    <w:p>
      <w:pPr>
        <w:spacing w:after="140" w:line="300"/>
        <w:jc w:val="both"/>
      </w:pPr>
      <w:r>
        <w:rPr>
          <w:rFonts w:ascii="Cambria" w:cs="Cambria" w:eastAsia="Cambria" w:hAnsi="Cambria"/>
          <w:color w:val="000000"/>
          <w:sz w:val="24"/>
          <w:szCs w:val="24"/>
        </w:rPr>
        <w:t xml:space="preserve">As shown in Figure 38</w:t>
      </w:r>
      <w:r>
        <w:rPr>
          <w:rFonts w:ascii="Cambria" w:cs="Cambria" w:eastAsia="Cambria" w:hAnsi="Cambria"/>
          <w:color w:val="000000"/>
          <w:sz w:val="24"/>
          <w:szCs w:val="24"/>
        </w:rPr>
        <w:t xml:space="preser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067050"/>
            <wp:effectExtent t="0" r="0" b="0" l="0"/>
            <wp:docPr id="1" name="M7.png" descr="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 title="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w:t>
      </w:r>
    </w:p>
    <w:p>
      <w:pPr>
        <w:spacing w:after="140" w:line="300"/>
        <w:jc w:val="both"/>
      </w:pP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At the time of the capture the exported ledger held 60 events, of which five were anchored on Sepolia.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w:t>
      </w: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5715000" cy="3295650"/>
            <wp:effectExtent t="0" r="0" b="0" l="0"/>
            <wp:docPr id="1" name="M8_clean.png" descr="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 title="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295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w:t>
      </w:r>
    </w:p>
    <w:p>
      <w:pPr>
        <w:spacing w:after="140" w:line="300"/>
        <w:jc w:val="both"/>
      </w:pPr>
      <w:r>
        <w:rPr>
          <w:rFonts w:ascii="Cambria" w:cs="Cambria" w:eastAsia="Cambria" w:hAnsi="Cambria"/>
          <w:color w:val="000000"/>
          <w:sz w:val="24"/>
          <w:szCs w:val="24"/>
        </w:rPr>
        <w:t xml:space="preserve">As shown in Figure 40,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000000"/>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000000"/>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000000"/>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000000"/>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000000"/>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where Policy(C, R) denotes the conjunction of the purpose check V</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this case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000000"/>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w:t>
      </w:r>
      <w:r>
        <w:rPr>
          <w:rFonts w:ascii="Cambria" w:cs="Cambria" w:eastAsia="Cambria" w:hAnsi="Cambria"/>
          <w:color w:val="000000"/>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000000"/>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000000"/>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000000"/>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000000"/>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000000"/>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000000"/>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000000"/>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000000"/>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000000"/>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000000"/>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000000"/>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000000"/>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000000"/>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color w:val="000000"/>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000000"/>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D.-S. Kim.</w:t>
      </w:r>
      <w:r>
        <w:rPr>
          <w:rFonts w:ascii="Cambria" w:cs="Cambria" w:eastAsia="Cambria" w:hAnsi="Cambria"/>
          <w:color w:val="000000"/>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w:t>
      </w:r>
      <w:r>
        <w:rPr>
          <w:rFonts w:ascii="Cambria" w:cs="Cambria" w:eastAsia="Cambria" w:hAnsi="Cambria"/>
          <w:color w:val="000000"/>
          <w:sz w:val="24"/>
          <w:szCs w:val="24"/>
        </w:rPr>
        <w:t xml:space="preserve">Iranian Journal of Science and Technology, Transactions of Electrical Engineering, 2026.</w:t>
      </w:r>
      <w:r>
        <w:rPr>
          <w:rFonts w:ascii="Cambria" w:cs="Cambria" w:eastAsia="Cambria" w:hAnsi="Cambria"/>
          <w:color w:val="000000"/>
          <w:sz w:val="24"/>
          <w:szCs w:val="24"/>
        </w:rPr>
        <w:t xml:space="preserve">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w:t>
      </w:r>
      <w:r>
        <w:rPr>
          <w:rFonts w:ascii="Cambria" w:cs="Cambria" w:eastAsia="Cambria" w:hAnsi="Cambria"/>
          <w:color w:val="000000"/>
          <w:sz w:val="24"/>
          <w:szCs w:val="24"/>
        </w:rPr>
        <w:t xml:space="preserve">into an EDC System for Data Protection-Compliant Identity Management, Consent Management and Pseudonymization in Medical Research Studies.</w:t>
      </w:r>
      <w:r>
        <w:rPr>
          <w:rFonts w:ascii="Cambria" w:cs="Cambria" w:eastAsia="Cambria" w:hAnsi="Cambria"/>
          <w:color w:val="000000"/>
          <w:sz w:val="24"/>
          <w:szCs w:val="24"/>
        </w:rPr>
        <w:t xml:space="preserve">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59e288d014dfc281b63ba10a0a103690581aa0b.png"/><Relationship Id="rId13" Type="http://schemas.openxmlformats.org/officeDocument/2006/relationships/image" Target="media/7f691d763dba86ee49b25518e490fe406bd1e793.png"/><Relationship Id="rId14" Type="http://schemas.openxmlformats.org/officeDocument/2006/relationships/image" Target="media/0fc1020c5f2d577fb45977f6ee9d775a5b66ce0a.png"/><Relationship Id="rId15" Type="http://schemas.openxmlformats.org/officeDocument/2006/relationships/image" Target="media/5dda75865b8a7d4d8bbd3d4e406d6ac57f913b3c.png"/><Relationship Id="rId16" Type="http://schemas.openxmlformats.org/officeDocument/2006/relationships/image" Target="media/9becb05c4a6101f5d421517f324e978051b8cf09.png"/><Relationship Id="rId17" Type="http://schemas.openxmlformats.org/officeDocument/2006/relationships/image" Target="media/6f692c439de61f2c2064c85f12b2c7408b6da610.png"/><Relationship Id="rId18" Type="http://schemas.openxmlformats.org/officeDocument/2006/relationships/image" Target="media/efcb745b76bd75b54bf53f1c859df350299a2c6a.png"/><Relationship Id="rId19" Type="http://schemas.openxmlformats.org/officeDocument/2006/relationships/image" Target="media/11081a2422bebced6d030d22f0ebf13798832173.png"/><Relationship Id="rId20" Type="http://schemas.openxmlformats.org/officeDocument/2006/relationships/image" Target="media/cb3ff9df210f6ca37563bb96441f27f5987b686b.png"/><Relationship Id="rId21" Type="http://schemas.openxmlformats.org/officeDocument/2006/relationships/image" Target="media/70806ca075a018d1832052673cf0a8a54f10cc25.png"/><Relationship Id="rId22" Type="http://schemas.openxmlformats.org/officeDocument/2006/relationships/image" Target="media/4eba5d9267467f413da1872413e65d2897ea5f8d.png"/><Relationship Id="rId23" Type="http://schemas.openxmlformats.org/officeDocument/2006/relationships/image" Target="media/9d7e95eb43f6e9e653dbde9cb6afb2c4db7f0f36.png"/><Relationship Id="rId24" Type="http://schemas.openxmlformats.org/officeDocument/2006/relationships/image" Target="media/86be1e8b3adc79bdae602e0e0eeb3c738c4f87e6.png"/><Relationship Id="rId25" Type="http://schemas.openxmlformats.org/officeDocument/2006/relationships/image" Target="media/9f768ad876e36bba938f173c40ba95c30b720407.png"/><Relationship Id="rId26" Type="http://schemas.openxmlformats.org/officeDocument/2006/relationships/image" Target="media/7dfd85dea52248d93df8e639bb58d97f49e03d1f.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00d6986401b6325763b2855292d411f63286ea76.png"/><Relationship Id="rId31" Type="http://schemas.openxmlformats.org/officeDocument/2006/relationships/image" Target="media/b08ef3c27e50bcebac919f21b9b3c4430a015386.png"/><Relationship Id="rId32" Type="http://schemas.openxmlformats.org/officeDocument/2006/relationships/image" Target="media/54bb321ea4f7a316787389979f1f74b2e2ddc49b.png"/><Relationship Id="rId33" Type="http://schemas.openxmlformats.org/officeDocument/2006/relationships/image" Target="media/2c37f339c8f70360c56e49b5ce87e08f0ef3eea6.png"/><Relationship Id="rId34" Type="http://schemas.openxmlformats.org/officeDocument/2006/relationships/image" Target="media/a5b9b3ccbbdd73d6bbf6c105cedc858a5966b7f9.png"/><Relationship Id="rId35" Type="http://schemas.openxmlformats.org/officeDocument/2006/relationships/image" Target="media/e56b4f992bdd903593631381fadd9d088590b949.png"/><Relationship Id="rId36" Type="http://schemas.openxmlformats.org/officeDocument/2006/relationships/image" Target="media/551744d4db41183fe0c9b4d913479007233462c1.png"/><Relationship Id="rId37" Type="http://schemas.openxmlformats.org/officeDocument/2006/relationships/image" Target="media/d27b9e60b78f5e08727704aeccc1c38be9d5bec6.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1a88f385ea18ee24f3143e2be805b94b95340d8c.png"/><Relationship Id="rId43" Type="http://schemas.openxmlformats.org/officeDocument/2006/relationships/image" Target="media/89ee42679d2e1ad8ed27842c845511aa37be6ce2.png"/><Relationship Id="rId44" Type="http://schemas.openxmlformats.org/officeDocument/2006/relationships/image" Target="media/437d3b5dafb646c4afc365beb5e51e2de16280e2.png"/><Relationship Id="rId45" Type="http://schemas.openxmlformats.org/officeDocument/2006/relationships/image" Target="media/e147a5141730618b0819db29827be9951fbc05ee.png"/><Relationship Id="rId46" Type="http://schemas.openxmlformats.org/officeDocument/2006/relationships/image" Target="media/f0af766d9de14575067307b6f7dccaf71ca25b88.png"/><Relationship Id="rId47" Type="http://schemas.openxmlformats.org/officeDocument/2006/relationships/image" Target="media/32a920cb8d148805391dcda55782af93c6edfd51.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2026-10-01T07:56:56.690Z</dcterms:created>
  <dcterms:modified xsi:type="dcterms:W3CDTF">2026-10-01T07:56:56.690Z</dcterms:modified>
</cp:coreProperties>
</file>

<file path=docProps/custom.xml><?xml version="1.0" encoding="utf-8"?>
<Properties xmlns="http://schemas.openxmlformats.org/officeDocument/2006/custom-properties" xmlns:vt="http://schemas.openxmlformats.org/officeDocument/2006/docPropsVTypes"/>
</file>