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CC"/>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CC"/>
        </w:rPr>
        <w:t xml:space="preserve">2.2  Key Requirements for Trustworthy Multi-Party Consent Authorisation</w:t>
      </w:r>
    </w:p>
    <w:p>
      <w:pPr>
        <w:spacing w:after="140" w:line="300"/>
        <w:jc w:val="both"/>
      </w:pPr>
      <w:r>
        <w:rPr>
          <w:rFonts w:ascii="Cambria" w:cs="Cambria" w:eastAsia="Cambria" w:hAnsi="Cambria"/>
          <w:color w:val="0000CC"/>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CC"/>
        </w:rPr>
        <w:t xml:space="preserve">2.2.1  Representation of consent as an evaluable authorisation object (Req: 1)</w:t>
      </w:r>
    </w:p>
    <w:p>
      <w:pPr>
        <w:spacing w:after="140" w:line="300"/>
        <w:jc w:val="both"/>
      </w:pPr>
      <w:r>
        <w:rPr>
          <w:rFonts w:ascii="Cambria" w:cs="Cambria" w:eastAsia="Cambria" w:hAnsi="Cambria"/>
          <w:color w:val="0000CC"/>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CC"/>
        </w:rPr>
        <w:t xml:space="preserve">2.2.2  Decentralised verification of identity and authority (Req: 2)</w:t>
      </w:r>
    </w:p>
    <w:p>
      <w:pPr>
        <w:spacing w:after="140" w:line="300"/>
        <w:jc w:val="both"/>
      </w:pPr>
      <w:r>
        <w:rPr>
          <w:rFonts w:ascii="Cambria" w:cs="Cambria" w:eastAsia="Cambria" w:hAnsi="Cambria"/>
          <w:color w:val="0000CC"/>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CC"/>
        </w:rPr>
        <w:t xml:space="preserve">2.2.3  Multi-party authorisation through a verifiable threshold (Req: 3)</w:t>
      </w:r>
    </w:p>
    <w:p>
      <w:pPr>
        <w:spacing w:after="140" w:line="300"/>
        <w:jc w:val="both"/>
      </w:pPr>
      <w:r>
        <w:rPr>
          <w:rFonts w:ascii="Cambria" w:cs="Cambria" w:eastAsia="Cambria" w:hAnsi="Cambria"/>
          <w:color w:val="0000CC"/>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CC"/>
        </w:rPr>
        <w:t xml:space="preserve">2.2.4  Policy- and context-aware enforcement at the time of access (Req: 4)</w:t>
      </w:r>
    </w:p>
    <w:p>
      <w:pPr>
        <w:spacing w:after="140" w:line="300"/>
        <w:jc w:val="both"/>
      </w:pPr>
      <w:r>
        <w:rPr>
          <w:rFonts w:ascii="Cambria" w:cs="Cambria" w:eastAsia="Cambria" w:hAnsi="Cambria"/>
          <w:color w:val="0000CC"/>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CC"/>
        </w:rPr>
        <w:t xml:space="preserve">2.2.5  Temporal validity and lifecycle control of consent (Req: 5)</w:t>
      </w:r>
    </w:p>
    <w:p>
      <w:pPr>
        <w:spacing w:after="140" w:line="300"/>
        <w:jc w:val="both"/>
      </w:pPr>
      <w:r>
        <w:rPr>
          <w:rFonts w:ascii="Cambria" w:cs="Cambria" w:eastAsia="Cambria" w:hAnsi="Cambria"/>
          <w:color w:val="0000CC"/>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CC"/>
        </w:rPr>
        <w:t xml:space="preserve">2.2.6  Verifiable auditability and security assurance (Req: 6)</w:t>
      </w:r>
    </w:p>
    <w:p>
      <w:pPr>
        <w:spacing w:after="140" w:line="300"/>
        <w:jc w:val="both"/>
      </w:pPr>
      <w:r>
        <w:rPr>
          <w:rFonts w:ascii="Cambria" w:cs="Cambria" w:eastAsia="Cambria" w:hAnsi="Cambria"/>
          <w:color w:val="0000CC"/>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CC"/>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7A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CC"/>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40"/>
        <w:gridCol w:w="3520"/>
        <w:gridCol w:w="220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2019</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CC"/>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7A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7A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CC"/>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develop and apply a measurement scale to explain individuals' intention to share healthcare data in the UK National Health Service context, using survey data from 129 respondents.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CC"/>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7A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7A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CC"/>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7A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7A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7A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CC"/>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7A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CC"/>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7A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CC"/>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CC"/>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CC"/>
          <w:sz w:val="24"/>
          <w:szCs w:val="24"/>
        </w:rPr>
        <w:t xml:space="preserve">Representation of consent as an evaluable authorisation object (Req 1):</w:t>
      </w:r>
      <w:r>
        <w:rPr>
          <w:rFonts w:ascii="Cambria" w:cs="Cambria" w:eastAsia="Cambria" w:hAnsi="Cambria"/>
          <w:color w:val="0000CC"/>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CC"/>
          <w:sz w:val="24"/>
          <w:szCs w:val="24"/>
        </w:rPr>
        <w:t xml:space="preserve">Decentralised verification of identity and authority (Req 2):</w:t>
      </w:r>
      <w:r>
        <w:rPr>
          <w:rFonts w:ascii="Cambria" w:cs="Cambria" w:eastAsia="Cambria" w:hAnsi="Cambria"/>
          <w:color w:val="0000CC"/>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CC"/>
          <w:sz w:val="24"/>
          <w:szCs w:val="24"/>
        </w:rPr>
        <w:t xml:space="preserve">Multi-party authorisation through a verifiable threshold (Req 3):</w:t>
      </w:r>
      <w:r>
        <w:rPr>
          <w:rFonts w:ascii="Cambria" w:cs="Cambria" w:eastAsia="Cambria" w:hAnsi="Cambria"/>
          <w:color w:val="0000CC"/>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CC"/>
          <w:sz w:val="24"/>
          <w:szCs w:val="24"/>
        </w:rPr>
        <w:t xml:space="preserve">Policy- and context-aware enforcement at the time of access (Req 4):</w:t>
      </w:r>
      <w:r>
        <w:rPr>
          <w:rFonts w:ascii="Cambria" w:cs="Cambria" w:eastAsia="Cambria" w:hAnsi="Cambria"/>
          <w:color w:val="0000CC"/>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CC"/>
          <w:sz w:val="24"/>
          <w:szCs w:val="24"/>
        </w:rPr>
        <w:t xml:space="preserve">Temporal validity and lifecycle control of consent (Req 5):</w:t>
      </w:r>
      <w:r>
        <w:rPr>
          <w:rFonts w:ascii="Cambria" w:cs="Cambria" w:eastAsia="Cambria" w:hAnsi="Cambria"/>
          <w:color w:val="0000CC"/>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CC"/>
          <w:sz w:val="24"/>
          <w:szCs w:val="24"/>
        </w:rPr>
        <w:t xml:space="preserve">Verifiable auditability and security assurance (Req 6):</w:t>
      </w:r>
      <w:r>
        <w:rPr>
          <w:rFonts w:ascii="Cambria" w:cs="Cambria" w:eastAsia="Cambria" w:hAnsi="Cambria"/>
          <w:color w:val="0000CC"/>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CC"/>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CC"/>
        </w:rPr>
        <w:t xml:space="preserve">2.6  Conclusion</w:t>
      </w:r>
    </w:p>
    <w:p>
      <w:pPr>
        <w:spacing w:after="140" w:line="300"/>
        <w:jc w:val="both"/>
      </w:pPr>
      <w:r>
        <w:rPr>
          <w:rFonts w:ascii="Cambria" w:cs="Cambria" w:eastAsia="Cambria" w:hAnsi="Cambria"/>
          <w:color w:val="0000CC"/>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CC"/>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CC"/>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7A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7A00"/>
          <w:sz w:val="24"/>
          <w:szCs w:val="24"/>
        </w:rPr>
        <w:t xml:space="preserve">V</w:t>
      </w:r>
      <w:r>
        <w:rPr>
          <w:rFonts w:ascii="Cambria" w:cs="Cambria" w:eastAsia="Cambria" w:hAnsi="Cambria"/>
          <w:color w:val="007A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7A00"/>
          <w:sz w:val="22"/>
          <w:szCs w:val="22"/>
        </w:rPr>
        <w:t xml:space="preserve">V</w:t>
      </w:r>
      <w:r>
        <w:rPr>
          <w:rFonts w:ascii="Cambria Math" w:cs="Cambria Math" w:eastAsia="Cambria Math" w:hAnsi="Cambria Math"/>
          <w:i/>
          <w:iCs/>
          <w:color w:val="007A00"/>
          <w:sz w:val="22"/>
          <w:szCs w:val="22"/>
          <w:vertAlign w:val="subscript"/>
        </w:rPr>
        <w:t xml:space="preserve">S</w:t>
      </w:r>
      <w:r>
        <w:rPr>
          <w:rFonts w:ascii="Cambria Math" w:cs="Cambria Math" w:eastAsia="Cambria Math" w:hAnsi="Cambria Math"/>
          <w:i/>
          <w:iCs/>
          <w:color w:val="007A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7A00"/>
          <w:sz w:val="24"/>
          <w:szCs w:val="24"/>
        </w:rPr>
        <w:t xml:space="preserve">In the implemented framework, the lifecycle validity predicate V</w:t>
      </w:r>
      <w:r>
        <w:rPr>
          <w:rFonts w:ascii="Cambria" w:cs="Cambria" w:eastAsia="Cambria" w:hAnsi="Cambria"/>
          <w:color w:val="007A00"/>
          <w:sz w:val="24"/>
          <w:szCs w:val="24"/>
          <w:vertAlign w:val="subscript"/>
        </w:rPr>
        <w:t xml:space="preserve">S</w:t>
      </w:r>
      <w:r>
        <w:rPr>
          <w:rFonts w:ascii="Cambria" w:cs="Cambria" w:eastAsia="Cambria" w:hAnsi="Cambria"/>
          <w:color w:val="007A00"/>
          <w:sz w:val="24"/>
          <w:szCs w:val="24"/>
        </w:rPr>
        <w:t xml:space="preserve"> is evaluated as part of the collective authorisation predicate V</w:t>
      </w:r>
      <w:r>
        <w:rPr>
          <w:rFonts w:ascii="Cambria" w:cs="Cambria" w:eastAsia="Cambria" w:hAnsi="Cambria"/>
          <w:color w:val="007A00"/>
          <w:sz w:val="24"/>
          <w:szCs w:val="24"/>
          <w:vertAlign w:val="subscript"/>
        </w:rPr>
        <w:t xml:space="preserve">A</w:t>
      </w:r>
      <w:r>
        <w:rPr>
          <w:rFonts w:ascii="Cambria" w:cs="Cambria" w:eastAsia="Cambria" w:hAnsi="Cambria"/>
          <w:color w:val="007A00"/>
          <w:sz w:val="24"/>
          <w:szCs w:val="24"/>
        </w:rPr>
        <w:t xml:space="preserve">. This is important because only a consent in the ACTIVE state can satisfy the authorisation condition. Consequently, the symbol V</w:t>
      </w:r>
      <w:r>
        <w:rPr>
          <w:rFonts w:ascii="Cambria" w:cs="Cambria" w:eastAsia="Cambria" w:hAnsi="Cambria"/>
          <w:color w:val="007A00"/>
          <w:sz w:val="24"/>
          <w:szCs w:val="24"/>
          <w:vertAlign w:val="subscript"/>
        </w:rPr>
        <w:t xml:space="preserve">L</w:t>
      </w:r>
      <w:r>
        <w:rPr>
          <w:rFonts w:ascii="Cambria" w:cs="Cambria" w:eastAsia="Cambria" w:hAnsi="Cambria"/>
          <w:color w:val="007A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7A00"/>
          <w:sz w:val="24"/>
          <w:szCs w:val="24"/>
        </w:rPr>
        <w:t xml:space="preserve">jurisdictional compliance, while lifecycle validity V</w:t>
      </w:r>
      <w:r>
        <w:rPr>
          <w:rFonts w:ascii="Cambria" w:cs="Cambria" w:eastAsia="Cambria" w:hAnsi="Cambria"/>
          <w:color w:val="007A00"/>
          <w:sz w:val="24"/>
          <w:szCs w:val="24"/>
          <w:vertAlign w:val="subscript"/>
        </w:rPr>
        <w:t xml:space="preserve">S</w:t>
      </w:r>
      <w:r>
        <w:rPr>
          <w:rFonts w:ascii="Cambria" w:cs="Cambria" w:eastAsia="Cambria" w:hAnsi="Cambria"/>
          <w:color w:val="007A00"/>
          <w:sz w:val="24"/>
          <w:szCs w:val="24"/>
        </w:rPr>
        <w:t xml:space="preserve"> is evaluated within V</w:t>
      </w:r>
      <w:r>
        <w:rPr>
          <w:rFonts w:ascii="Cambria" w:cs="Cambria" w:eastAsia="Cambria" w:hAnsi="Cambria"/>
          <w:color w:val="007A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2026-09-29T06:03:47.718Z</dcterms:created>
  <dcterms:modified xsi:type="dcterms:W3CDTF">2026-09-29T06:03:47.719Z</dcterms:modified>
</cp:coreProperties>
</file>

<file path=docProps/custom.xml><?xml version="1.0" encoding="utf-8"?>
<Properties xmlns="http://schemas.openxmlformats.org/officeDocument/2006/custom-properties" xmlns:vt="http://schemas.openxmlformats.org/officeDocument/2006/docPropsVTypes"/>
</file>