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w:t>
      </w:r>
      <w:r>
        <w:rPr/>
        <w:t>.</w:t>
      </w:r>
      <w:r>
        <w:t xml:space="preserve">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tab/>
      </w:r>
      <w:r>
        <w:rPr>
          <w:i/>
          <w:u w:val="single"/>
        </w:rPr>
        <w:t>Inability to bind purpose and data scope to the same decision as identity, authority and approval (Req 4):</w:t>
      </w:r>
      <w:r>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integrated with the complete access decision (Req 5):</w:t>
      </w:r>
      <w:r>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addressed through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t>This requirement is addressed through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addressed through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addressed through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w:t>
      </w:r>
      <w:r>
        <w:rPr/>
        <w:t>This requirement is addressed through RO5, presented in Section 10.</w:t>
      </w:r>
    </w:p>
    <w:p>
      <w:pPr>
        <w:pStyle w:val="3"/>
      </w:pPr>
      <w:r>
        <w:t>2.5.6 Verifiable Auditability and Security Assurance (Req 6)</w:t>
      </w:r>
    </w:p>
    <w:p>
      <w:pPr/>
      <w:r>
        <w:t xml:space="preserve">Audit ledger evidence and 46 automated tests, including twelve attack scenarios A1 to A12. </w:t>
      </w:r>
      <w:r>
        <w:rPr/>
        <w:t>This requirement is addressed through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(Section 11.6).</w:t>
      </w:r>
      <w:r>
        <w:t xml:space="preserve">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Section 9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w:t>
      </w:r>
    </w:p>
    <w:p>
      <w:pPr>
        <w:spacing w:after="110" w:line="264" w:lineRule="auto"/>
      </w:pPr>
      <w:r>
        <w:t>In the current prototype, VI also checks the EIP-712 signature of each listed guardian, and a refusal for a consent that is not ACTIVE is recorded in the audit ledger like any other refusal</w:t>
      </w:r>
      <w:r>
        <w:t>.</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t xml:space="preserve">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 xml:space="preserve">The four gates of Figure 5.4 are identity (DID), authority (VC and signed approval), collective approval (threshold), and validity of the consent for the request </w:t>
      </w:r>
      <w:r>
        <w:t>(policy, time and lifecycle)</w:t>
      </w:r>
      <w:r>
        <w:t>.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400000" cy="3436779"/>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436779"/>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t xml:space="preserve">In the implemented prototype, the threshold is fixed at N = |G|, as justified in Section 8, and once the N-of-N condition is satisfied, the consent token is minted in the local ledger and a background job anchors the mint on Sepolia asynchronously. </w:t>
      </w:r>
      <w:r>
        <w:t>The policy, temporal and lifecycle checks VP, VT and VL are then evaluated before access is granted, and the audit evidence is recorded.</w:t>
      </w:r>
      <w: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evaluated at every request</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w:t>
      </w:r>
      <w:r>
        <w:t>resents the current state of the consent object and its permissible transitions. The temporal component bounds the consent in time, and the lifecycle component states whether the consent can currently be used.</w:t>
      </w:r>
      <w: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Unlike</w:t>
      </w:r>
      <w:r>
        <w:t xml:space="preserv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t>Identifiers without a valid credential rejected before anything is stored; valid identifiers holding valid credentials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t>Steps 3 and 7: the guardian set G, and the threshold N derived from it as |G|; no guardian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Duplicate guardian rejected; consent created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4 and 5: the purpose and the data scope; the data scope must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A consent with an empty data scope is rejected (Section 11.4). Attack A5 (Section 11.6). 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Empty scope rejected; purpose and scope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 6: the validity interval T = (ts, te); the expiry time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Validity interval recorded; the interval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t>Steps 8 to 10: the consent identifier is generated, the object is constructed and persisted, and its state becomes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Created in PENDING_SIGNATURE; no access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t>Step 11: the CREATE_CONSENT event is written to the audit ledger with the consent identifier, participants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w:t>
      </w:r>
      <w:r>
        <w:t>The lifecycle condition VL of Equation (9.3) corresponds</w:t>
      </w:r>
      <w:r>
        <w:t xml:space="preserve">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w:t>
      </w:r>
      <w:r>
        <w:t>.</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t xml:space="preserve">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xml:space="preserve">) </w:t>
      </w:r>
      <w:r>
        <w:t>and a consent whose lifecycle state does not permit access (VL)</w:t>
      </w:r>
      <w:r>
        <w:t>.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 xml:space="preserve">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w:t>
      </w:r>
      <w:r>
        <w:t>a two-letter context code, and a revocation flag</w:t>
      </w:r>
      <w:r>
        <w:t>.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w:t>
      </w:r>
      <w:r>
        <w:t>The implementation also collects the start and expiry time of the consent. As shown in Figure 11.2, all four EMR modules were selected and two guardians were designated.</w:t>
      </w:r>
      <w:r>
        <w:t xml:space="preserve">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policy-context violation (exploratory check, supports RQ4)</w:t>
      </w:r>
      <w:r>
        <w:rPr>
          <w:b/>
          <w:bCs/>
        </w:rPr>
        <w:t>.</w:t>
      </w:r>
      <w:r>
        <w:t xml:space="preserve"> A valid identity and sufficient approval do not necessarily imply that every requested operation is permitted. The same doctor repeated the request for the evaluated consent, which remained ACTIVE, </w:t>
      </w:r>
      <w:r>
        <w:t>while declaring a request context that differed from the one recorded in the consent, and all checks except that context check passed; the prototype interface of 24 September 2026 labels this check VL. Here, VL = FAIL and ALLOW = FAIL reflect</w:t>
      </w:r>
      <w:r>
        <w:t xml:space="preserve">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one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 xml:space="preserve">Table 11.3 shows how the validation procedure provides traceability between the final access decision and its supporting evidence. The ledger row of the single logged DENY, </w:t>
      </w:r>
      <w:r>
        <w:t>Scenario 4,</w:t>
      </w:r>
      <w:r>
        <w:t xml:space="preserve">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 xml:space="preserve">In Table 11.3, rows are the index numbers of the exported ledger, counted from 0, and n/l means not logged. </w:t>
      </w:r>
      <w:r>
        <w:t>VL is the fifth check as the prototype logged it on 24 September 2026.</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request context that differs from the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t xml:space="preserve">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w:t>
      </w:r>
      <w:r>
        <w:t>so a change of scope, purpose, requester or expiry after approval is not detected</w:t>
      </w:r>
      <w:r>
        <w:t xml:space="preserve">. Fourth, A6 relies on the server clock, </w:t>
      </w:r>
      <w:r>
        <w:t>A7 on the request context declared by the requester</w:t>
      </w:r>
      <w:r>
        <w:t>,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w:t>
      </w:r>
      <w:r>
        <w:t>and contextual policy conditions extend</w:t>
      </w:r>
      <w:r>
        <w:t xml:space="preserve">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 xml:space="preserve">Add the SUSPENDED state and the lifecycle transition check. Extend the implemented lifecycle mechanism to support consent modification, delegation and guardian-set changes, extend the policy evaluation </w:t>
            </w:r>
            <w:r>
              <w:rPr>
                <w:sz w:val="19"/>
                <w:szCs w:val="17"/>
              </w:rPr>
              <w:t>with a declared request purpose,</w:t>
            </w:r>
            <w:r>
              <w:rPr>
                <w:sz w:val="19"/>
                <w:szCs w:val="17"/>
              </w:rPr>
              <w:t xml:space="preserve">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2026-10-24T05:20:59Z</dcterms:created>
  <dcterms:modified xsi:type="dcterms:W3CDTF">2026-10-24T05:20:59Z</dcterms:modified>
</cp:coreProperties>
</file>