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Working copy: all corrections aligning this report with the implemented HALAH v1.2 system (companion document: HALAH Implementation v1.3) are inserted in RED at their locations; superseded wording is struck through in grey.</w:t>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8</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18</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19</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25</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27</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43</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47</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47</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53</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54</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86</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98</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103</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105</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111</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highlight w:val="green"/>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00" w:before="40"/>
        <w:ind w:left="240"/>
      </w:pPr>
      <w:r>
        <w:rPr>
          <w:rFonts w:ascii="Cambria" w:cs="Cambria" w:eastAsia="Cambria" w:hAnsi="Cambria"/>
          <w:b/>
          <w:bCs/>
          <w:sz w:val="19"/>
          <w:szCs w:val="19"/>
          <w:highlight w:val="green"/>
        </w:rPr>
        <w:t xml:space="preserve">✔ REF/SLR REVIEW: Reference [32] (attribute-based searchable encryption with decentralized key management) is a cryptographic scheme paper and does not clearly support this claim about digitisation enabling stakeholder participation in data sharing.</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spacing w:after="40" w:before="60"/>
      </w:pPr>
      <w:r>
        <w:rPr>
          <w:rFonts w:ascii="Cambria" w:cs="Cambria" w:eastAsia="Cambria" w:hAnsi="Cambria"/>
          <w:b/>
          <w:bCs/>
          <w:color w:val="C00000"/>
          <w:sz w:val="18"/>
          <w:szCs w:val="18"/>
        </w:rPr>
        <w:t xml:space="preserve">[EDIT 3] </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Validity periods and expiration are enforced at evaluation time and mirrored on-chain, revocation is executed as a verifiable blockchain transaction, and consent progresses through controlled state transitions, reflecting the principle that trust cannot be regarded as permanently established at the moment a consent is created.</w:t>
      </w:r>
    </w:p>
    <w:p>
      <w:pPr>
        <w:spacing w:after="40" w:before="60"/>
      </w:pPr>
      <w:r>
        <w:rPr>
          <w:rFonts w:ascii="Cambria" w:cs="Cambria" w:eastAsia="Cambria" w:hAnsi="Cambria"/>
          <w:b/>
          <w:bCs/>
          <w:color w:val="C00000"/>
          <w:sz w:val="18"/>
          <w:szCs w:val="18"/>
        </w:rPr>
        <w:t xml:space="preserve">[EDIT 8] </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stronger formal security assurance remains for the subsequent stage.</w:t>
      </w:r>
    </w:p>
    <w:p>
      <w:pPr>
        <w:spacing w:after="140" w:line="300"/>
        <w:jc w:val="both"/>
      </w:pPr>
      <w:r>
        <w:rPr>
          <w:rFonts w:ascii="Cambria" w:cs="Cambria" w:eastAsia="Cambria" w:hAnsi="Cambria"/>
          <w:sz w:val="24"/>
          <w:szCs w:val="24"/>
        </w:rP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spacing w:after="40" w:before="60"/>
      </w:pPr>
      <w:r>
        <w:rPr>
          <w:rFonts w:ascii="Cambria" w:cs="Cambria" w:eastAsia="Cambria" w:hAnsi="Cambria"/>
          <w:b/>
          <w:bCs/>
          <w:color w:val="C00000"/>
          <w:sz w:val="18"/>
          <w:szCs w:val="18"/>
        </w:rPr>
        <w:t xml:space="preserve">[EDIT 4] </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including per-dimension denial scenarios, signature-rejection tests, and zero-knowledge tamper and expiry tests, together with a live negative evaluation on the Sepolia network. Formal security analysis remains the subject of the next research stage.</w:t>
      </w:r>
    </w:p>
    <w:p>
      <w:pPr>
        <w:spacing w:after="40" w:before="60"/>
      </w:pPr>
      <w:r>
        <w:rPr>
          <w:rFonts w:ascii="Cambria" w:cs="Cambria" w:eastAsia="Cambria" w:hAnsi="Cambria"/>
          <w:b/>
          <w:bCs/>
          <w:color w:val="C00000"/>
          <w:sz w:val="18"/>
          <w:szCs w:val="18"/>
        </w:rPr>
        <w:t xml:space="preserve">[EDIT 5] </w:t>
      </w:r>
    </w:p>
    <w:p>
      <w:pPr>
        <w:spacing w:after="140" w:line="300"/>
        <w:jc w:val="both"/>
      </w:pPr>
      <w:r>
        <w:rPr>
          <w:rFonts w:ascii="Cambria" w:cs="Cambria" w:eastAsia="Cambria" w:hAnsi="Cambria"/>
          <w:color w:val="C00000"/>
          <w:sz w:val="24"/>
          <w:szCs w:val="24"/>
        </w:rPr>
        <w:t xml:space="preserve">The next stage will investigate formal security assurance; empirical validation has now been carried out on the implemented prototype.</w:t>
      </w:r>
    </w:p>
    <w:p>
      <w:pPr>
        <w:spacing w:after="40" w:before="60"/>
      </w:pPr>
      <w:r>
        <w:rPr>
          <w:rFonts w:ascii="Cambria" w:cs="Cambria" w:eastAsia="Cambria" w:hAnsi="Cambria"/>
          <w:b/>
          <w:bCs/>
          <w:color w:val="C00000"/>
          <w:sz w:val="18"/>
          <w:szCs w:val="18"/>
        </w:rPr>
        <w:t xml:space="preserve">[EDIT 9] </w:t>
      </w:r>
    </w:p>
    <w:p>
      <w:pPr>
        <w:spacing w:after="140" w:line="300"/>
        <w:jc w:val="both"/>
      </w:pPr>
      <w:r>
        <w:rPr>
          <w:rFonts w:ascii="Cambria" w:cs="Cambria" w:eastAsia="Cambria" w:hAnsi="Cambria"/>
          <w:color w:val="C00000"/>
          <w:sz w:val="24"/>
          <w:szCs w:val="24"/>
        </w:rPr>
        <w:t xml:space="preserve">Table 1 summarises the research dimensions, indicating those realised in the implemented HALAH prototype and the formal-assurance work that remains for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spacing w:after="40" w:before="60"/>
      </w:pPr>
      <w:r>
        <w:rPr>
          <w:rFonts w:ascii="Cambria" w:cs="Cambria" w:eastAsia="Cambria" w:hAnsi="Cambria"/>
          <w:b/>
          <w:bCs/>
          <w:color w:val="C00000"/>
          <w:sz w:val="18"/>
          <w:szCs w:val="18"/>
        </w:rPr>
        <w:t xml:space="preserve">[EDIT 6] </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40" w:before="60"/>
      </w:pPr>
      <w:r>
        <w:rPr>
          <w:rFonts w:ascii="Cambria" w:cs="Cambria" w:eastAsia="Cambria" w:hAnsi="Cambria"/>
          <w:b/>
          <w:bCs/>
          <w:color w:val="C00000"/>
          <w:sz w:val="18"/>
          <w:szCs w:val="18"/>
        </w:rPr>
        <w:t xml:space="preserve">[EDIT 7] </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the next stage will build upon these foundations by reasoning formally about the model under defined security assumptions.</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40" w:before="60"/>
      </w:pPr>
      <w:r>
        <w:rPr>
          <w:rFonts w:ascii="Cambria" w:cs="Cambria" w:eastAsia="Cambria" w:hAnsi="Cambria"/>
          <w:b/>
          <w:bCs/>
          <w:color w:val="C00000"/>
          <w:sz w:val="18"/>
          <w:szCs w:val="18"/>
        </w:rPr>
        <w:t xml:space="preserve">[EDIT 1 — place at: Page 8, Table 1, RO5 row] </w:t>
      </w:r>
    </w:p>
    <w:p>
      <w:pPr>
        <w:spacing w:after="140" w:line="300"/>
        <w:jc w:val="both"/>
      </w:pPr>
      <w:r>
        <w:rPr>
          <w:rFonts w:ascii="Cambria" w:cs="Cambria" w:eastAsia="Cambria" w:hAnsi="Cambria"/>
          <w:color w:val="C00000"/>
          <w:sz w:val="24"/>
          <w:szCs w:val="24"/>
        </w:rPr>
        <w:t xml:space="preserve">Stage: Current. Objective: Extend the authorisation model with validity periods, expiration, revocation, and controlled consent-state transitions. Implemented in the current prototype: temporal windows are enforced locally and mirrored on-chain, and revocation is executed as a verifiable Sepolia transaction.</w:t>
      </w:r>
    </w:p>
    <w:p>
      <w:pPr>
        <w:spacing w:after="40" w:before="60"/>
      </w:pPr>
      <w:r>
        <w:rPr>
          <w:rFonts w:ascii="Cambria" w:cs="Cambria" w:eastAsia="Cambria" w:hAnsi="Cambria"/>
          <w:b/>
          <w:bCs/>
          <w:color w:val="C00000"/>
          <w:sz w:val="18"/>
          <w:szCs w:val="18"/>
        </w:rPr>
        <w:t xml:space="preserve">[EDIT 2 — place at: Page 8, Table 1, RO6 row] </w:t>
      </w:r>
    </w:p>
    <w:p>
      <w:pPr>
        <w:spacing w:after="140" w:line="300"/>
        <w:jc w:val="both"/>
      </w:pPr>
      <w:r>
        <w:rPr>
          <w:rFonts w:ascii="Cambria" w:cs="Cambria" w:eastAsia="Cambria" w:hAnsi="Cambria"/>
          <w:color w:val="C00000"/>
          <w:sz w:val="24"/>
          <w:szCs w:val="24"/>
        </w:rPr>
        <w:t xml:space="preserve">Stage: Current (empirical) / Next (formal). Objective: Empirically evaluate the HALAH implementation using representative, negative, and adversarial scenarios (delivered through automated testing and live on-chain evaluation), and subsequently define and formally analyse the security properties of the framework.</w:t>
      </w: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sz w:val="24"/>
          <w:szCs w:val="24"/>
          <w:highlight w:val="green"/>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spacing w:after="100" w:before="40"/>
        <w:ind w:left="240"/>
      </w:pPr>
      <w:r>
        <w:rPr>
          <w:rFonts w:ascii="Cambria" w:cs="Cambria" w:eastAsia="Cambria" w:hAnsi="Cambria"/>
          <w:b/>
          <w:bCs/>
          <w:sz w:val="19"/>
          <w:szCs w:val="19"/>
          <w:highlight w:val="green"/>
        </w:rPr>
        <w:t xml:space="preserve">✔ REF/SLR REVIEW: Section 2.2 opens with leftover editorial/AI meta-commentary about adjusting the text to a provided reference list, which is not review content and should not appear in the chapter.</w:t>
      </w:r>
    </w:p>
    <w:p>
      <w:pPr>
        <w:spacing w:after="140" w:line="300"/>
        <w:jc w:val="both"/>
      </w:pPr>
      <w:r>
        <w:rPr>
          <w:rFonts w:ascii="Cambria" w:cs="Cambria" w:eastAsia="Cambria" w:hAnsi="Cambria"/>
          <w:sz w:val="24"/>
          <w:szCs w:val="24"/>
          <w:highlight w:val="green"/>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spacing w:after="100" w:before="40"/>
        <w:ind w:left="240"/>
      </w:pPr>
      <w:r>
        <w:rPr>
          <w:rFonts w:ascii="Cambria" w:cs="Cambria" w:eastAsia="Cambria" w:hAnsi="Cambria"/>
          <w:b/>
          <w:bCs/>
          <w:sz w:val="19"/>
          <w:szCs w:val="19"/>
          <w:highlight w:val="green"/>
        </w:rPr>
        <w:t xml:space="preserve">✔ REF/SLR REVIEW: The prose admits the PRISMA final inclusion count (n = 33) was retrofitted to a pre-existing 33-item bibliography, contradicting the claim of a prospective PRISMA screening (125 -&gt; 83 -&gt; 43 -&gt; 40 -&gt; 33) that independently yielded 33 studies.</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highlight w:val="green"/>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00" w:before="40"/>
        <w:ind w:left="240"/>
      </w:pPr>
      <w:r>
        <w:rPr>
          <w:rFonts w:ascii="Cambria" w:cs="Cambria" w:eastAsia="Cambria" w:hAnsi="Cambria"/>
          <w:b/>
          <w:bCs/>
          <w:sz w:val="19"/>
          <w:szCs w:val="19"/>
          <w:highlight w:val="green"/>
        </w:rPr>
        <w:t xml:space="preserve">✔ REF/SLR REVIEW: Figure 2 reports 7 records 'marked as ineligible by automation tools', but the methodology prose (2.2.4/2.2.6) describes only manual metadata-based deduplication and screening and never mentions any automation tool.</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highlight w:val="green"/>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00" w:before="40"/>
        <w:ind w:left="240"/>
      </w:pPr>
      <w:r>
        <w:rPr>
          <w:rFonts w:ascii="Cambria" w:cs="Cambria" w:eastAsia="Cambria" w:hAnsi="Cambria"/>
          <w:b/>
          <w:bCs/>
          <w:sz w:val="19"/>
          <w:szCs w:val="19"/>
          <w:highlight w:val="green"/>
        </w:rPr>
        <w:t xml:space="preserve">✔ REF/SLR REVIEW: Section 2.3.6 and Table 2 treat Trusted Computing/secure execution ([17], [18], [23]) as a reviewed stream, yet neither the Figure 1 search string concepts nor any of the five review questions in 2.2.2 include trusted computing, TEE, or attestation terms, so the stated search strategy could not have retrieved these studies.</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spacing w:after="40" w:before="60"/>
      </w:pPr>
      <w:r>
        <w:rPr>
          <w:rFonts w:ascii="Cambria" w:cs="Cambria" w:eastAsia="Cambria" w:hAnsi="Cambria"/>
          <w:b/>
          <w:bCs/>
          <w:color w:val="C00000"/>
          <w:sz w:val="18"/>
          <w:szCs w:val="18"/>
        </w:rPr>
        <w:t xml:space="preserve">[EDIT 11] </w:t>
      </w:r>
    </w:p>
    <w:p>
      <w:pPr>
        <w:spacing w:after="140" w:line="300"/>
        <w:jc w:val="both"/>
      </w:pPr>
      <w:r>
        <w:rPr>
          <w:rFonts w:ascii="Cambria" w:cs="Cambria" w:eastAsia="Cambria" w:hAnsi="Cambria"/>
          <w:color w:val="C00000"/>
          <w:sz w:val="24"/>
          <w:szCs w:val="24"/>
        </w:rPr>
        <w:t xml:space="preserve">This research establishes the conceptual foundation for such integration and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spacing w:after="40" w:before="60"/>
      </w:pPr>
      <w:r>
        <w:rPr>
          <w:rFonts w:ascii="Cambria" w:cs="Cambria" w:eastAsia="Cambria" w:hAnsi="Cambria"/>
          <w:b/>
          <w:bCs/>
          <w:color w:val="C00000"/>
          <w:sz w:val="18"/>
          <w:szCs w:val="18"/>
        </w:rPr>
        <w:t xml:space="preserve">[EDIT 12] </w:t>
      </w:r>
    </w:p>
    <w:p>
      <w:pPr>
        <w:spacing w:after="140" w:line="300"/>
        <w:jc w:val="both"/>
      </w:pPr>
      <w:r>
        <w:rPr>
          <w:rFonts w:ascii="Cambria" w:cs="Cambria" w:eastAsia="Cambria" w:hAnsi="Cambria"/>
          <w:color w:val="C00000"/>
          <w:sz w:val="24"/>
          <w:szCs w:val="24"/>
        </w:rPr>
        <w:t xml:space="preserve">(Append) The present prototype addresses this concern empirically through adversarial and negative testing across each verification dimension; formal analysis remains necessary to demonstrate these properties under defined assumptions.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highlight w:val="green"/>
        </w:rPr>
        <w:t xml:space="preserve">Table 2 summarises the principal focus and limitations of the major research streams and positions the proposed framework relative to the existing literature.</w:t>
      </w:r>
    </w:p>
    <w:p>
      <w:pPr>
        <w:spacing w:after="100" w:before="40"/>
        <w:ind w:left="240"/>
      </w:pPr>
      <w:r>
        <w:rPr>
          <w:rFonts w:ascii="Cambria" w:cs="Cambria" w:eastAsia="Cambria" w:hAnsi="Cambria"/>
          <w:b/>
          <w:bCs/>
          <w:sz w:val="19"/>
          <w:szCs w:val="19"/>
          <w:highlight w:val="green"/>
        </w:rPr>
        <w:t xml:space="preserve">✔ REF/SLR REVIEW: References [6] and [15] are among the 33 'included studies' but appear in no Table 2 research stream and are never discussed in any thematic section 2.3.1-2.3.6 (they are cited only in Chapter 1 and the leftover meta-paragraph), so two included studies are absent from the synthesis.</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00" w:before="40"/>
        <w:ind w:left="240"/>
      </w:pPr>
      <w:r>
        <w:rPr>
          <w:rFonts w:ascii="Cambria" w:cs="Cambria" w:eastAsia="Cambria" w:hAnsi="Cambria"/>
          <w:b/>
          <w:bCs/>
          <w:sz w:val="19"/>
          <w:szCs w:val="19"/>
          <w:highlight w:val="green"/>
        </w:rPr>
        <w:t xml:space="preserve">✔ REF/SLR REVIEW: Table 2 lists [18] (entropy approach for blockchain immutability) as a representative reference for the Trusted Computing stream, but [18] is only discussed in the blockchain section 2.3.2 and never appears in section 2.3.6.</w:t>
      </w:r>
    </w:p>
    <w:p>
      <w:pPr>
        <w:spacing w:after="40" w:before="60"/>
      </w:pPr>
      <w:r>
        <w:rPr>
          <w:rFonts w:ascii="Cambria" w:cs="Cambria" w:eastAsia="Cambria" w:hAnsi="Cambria"/>
          <w:b/>
          <w:bCs/>
          <w:color w:val="C00000"/>
          <w:sz w:val="18"/>
          <w:szCs w:val="18"/>
        </w:rPr>
        <w:t xml:space="preserve">[EDIT 10 — place at: Page 20, Table 2, Proposed Framework row] </w:t>
      </w:r>
    </w:p>
    <w:p>
      <w:pPr>
        <w:spacing w:after="140" w:line="300"/>
        <w:jc w:val="both"/>
      </w:pPr>
      <w:r>
        <w:rPr>
          <w:rFonts w:ascii="Cambria" w:cs="Cambria" w:eastAsia="Cambria" w:hAnsi="Cambria"/>
          <w:color w:val="C00000"/>
          <w:sz w:val="24"/>
          <w:szCs w:val="24"/>
        </w:rPr>
        <w:t xml:space="preserve">Lifecycle trust and empirical validation are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spacing w:after="40" w:before="60"/>
      </w:pPr>
      <w:r>
        <w:rPr>
          <w:rFonts w:ascii="Cambria" w:cs="Cambria" w:eastAsia="Cambria" w:hAnsi="Cambria"/>
          <w:b/>
          <w:bCs/>
          <w:color w:val="C00000"/>
          <w:sz w:val="18"/>
          <w:szCs w:val="18"/>
        </w:rPr>
        <w:t xml:space="preserve">[EDIT 13] </w:t>
      </w:r>
    </w:p>
    <w:p>
      <w:pPr>
        <w:spacing w:after="140" w:line="300"/>
        <w:jc w:val="both"/>
      </w:pPr>
      <w:r>
        <w:rPr>
          <w:rFonts w:ascii="Cambria" w:cs="Cambria" w:eastAsia="Cambria" w:hAnsi="Cambria"/>
          <w:color w:val="C00000"/>
          <w:sz w:val="24"/>
          <w:szCs w:val="24"/>
        </w:rPr>
        <w:t xml:space="preserve">Decision(C, R, t) = ALLOW ⟺ VI ∧ VA ∧ VP ∧ VT ∧ VL. 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p>
      <w:pPr>
        <w:spacing w:after="40" w:before="60"/>
      </w:pPr>
      <w:r>
        <w:rPr>
          <w:rFonts w:ascii="Cambria" w:cs="Cambria" w:eastAsia="Cambria" w:hAnsi="Cambria"/>
          <w:b/>
          <w:bCs/>
          <w:color w:val="C00000"/>
          <w:sz w:val="18"/>
          <w:szCs w:val="18"/>
        </w:rPr>
        <w:t xml:space="preserve">[EDIT 16] </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the empirical validation has been partially completed through automated and live negative testing; formal security assurance forms the subsequent research scope and will be developed in CA3.</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40" w:before="60"/>
      </w:pPr>
      <w:r>
        <w:rPr>
          <w:rFonts w:ascii="Cambria" w:cs="Cambria" w:eastAsia="Cambria" w:hAnsi="Cambria"/>
          <w:b/>
          <w:bCs/>
          <w:color w:val="C00000"/>
          <w:sz w:val="18"/>
          <w:szCs w:val="18"/>
        </w:rPr>
        <w:t xml:space="preserve">[EDIT 14] </w:t>
      </w:r>
    </w:p>
    <w:p>
      <w:pPr>
        <w:spacing w:after="140" w:line="300"/>
        <w:jc w:val="both"/>
      </w:pPr>
      <w:r>
        <w:rPr>
          <w:rFonts w:ascii="Cambria" w:cs="Cambria" w:eastAsia="Cambria" w:hAnsi="Cambria"/>
          <w:color w:val="C00000"/>
          <w:sz w:val="24"/>
          <w:szCs w:val="24"/>
        </w:rPr>
        <w:t xml:space="preserve">C = (I, A, P, T, L, E), where I represents the participating identities, A the authority and multi-party authorisation evidence, P the purpose and data-scope constraints, T the temporal validity window, L the jurisdictional constraint, and E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highlight w:val="yellow"/>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Therefore,Identity ≠ Authorisation. The identity and authority validity condition is represented as</w:t>
      </w:r>
    </w:p>
    <w:p>
      <w:pPr>
        <w:spacing w:after="100" w:before="40"/>
        <w:ind w:left="240"/>
      </w:pPr>
      <w:r>
        <w:rPr>
          <w:rFonts w:ascii="Cambria" w:cs="Cambria" w:eastAsia="Cambria" w:hAnsi="Cambria"/>
          <w:b/>
          <w:bCs/>
          <w:sz w:val="19"/>
          <w:szCs w:val="19"/>
          <w:highlight w:val="yellow"/>
        </w:rPr>
        <w:t xml:space="preserve">⚠ REVIEW: Source typo: missing space after the comma ('Therefore, Identity').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40" w:before="60"/>
        <w:jc w:val="center"/>
      </w:pPr>
      <w:r>
        <w:rPr>
          <w:rFonts w:ascii="Cambria Math" w:cs="Cambria Math" w:eastAsia="Cambria Math" w:hAnsi="Cambria Math"/>
          <w:i/>
          <w:iCs/>
          <w:strike/>
          <w:color w:val="808080"/>
          <w:sz w:val="22"/>
          <w:szCs w:val="22"/>
        </w:rPr>
        <w:t xml:space="preserve">|A</w:t>
      </w:r>
      <w:r>
        <w:rPr>
          <w:rFonts w:ascii="Cambria Math" w:cs="Cambria Math" w:eastAsia="Cambria Math" w:hAnsi="Cambria Math"/>
          <w:i/>
          <w:iCs/>
          <w:strike/>
          <w:color w:val="808080"/>
          <w:sz w:val="22"/>
          <w:szCs w:val="22"/>
          <w:vertAlign w:val="subscript"/>
        </w:rPr>
        <w:t xml:space="preserve">v</w:t>
      </w:r>
      <w:r>
        <w:rPr>
          <w:rFonts w:ascii="Cambria Math" w:cs="Cambria Math" w:eastAsia="Cambria Math" w:hAnsi="Cambria Math"/>
          <w:i/>
          <w:iCs/>
          <w:strike/>
          <w:color w:val="808080"/>
          <w:sz w:val="22"/>
          <w:szCs w:val="22"/>
        </w:rPr>
        <w:t xml:space="preserve">| &lt; N ⟹ Decision(C, R) = DENY.</w:t>
      </w:r>
      <w:r>
        <w:rPr>
          <w:rFonts w:ascii="Cambria" w:cs="Cambria" w:eastAsia="Cambria" w:hAnsi="Cambria"/>
          <w:color w:val="808080"/>
          <w:sz w:val="22"/>
          <w:szCs w:val="22"/>
        </w:rPr>
        <w:t xml:space="preserve">	(10)</w:t>
      </w:r>
    </w:p>
    <w:p>
      <w:pPr>
        <w:spacing w:after="40" w:before="60"/>
      </w:pPr>
      <w:r>
        <w:rPr>
          <w:rFonts w:ascii="Cambria" w:cs="Cambria" w:eastAsia="Cambria" w:hAnsi="Cambria"/>
          <w:b/>
          <w:bCs/>
          <w:color w:val="C00000"/>
          <w:sz w:val="18"/>
          <w:szCs w:val="18"/>
        </w:rPr>
        <w:t xml:space="preserve">[EDIT 15] </w:t>
      </w:r>
    </w:p>
    <w:p>
      <w:pPr>
        <w:spacing w:after="140" w:line="300"/>
        <w:jc w:val="both"/>
      </w:pPr>
      <w:r>
        <w:rPr>
          <w:rFonts w:ascii="Cambria" w:cs="Cambria" w:eastAsia="Cambria" w:hAnsi="Cambria"/>
          <w:color w:val="C00000"/>
          <w:sz w:val="24"/>
          <w:szCs w:val="24"/>
        </w:rPr>
        <w:t xml:space="preserve">(Append)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p>
      <w:pPr>
        <w:spacing w:after="40" w:before="60"/>
      </w:pPr>
      <w:r>
        <w:rPr>
          <w:rFonts w:ascii="Cambria" w:cs="Cambria" w:eastAsia="Cambria" w:hAnsi="Cambria"/>
          <w:b/>
          <w:bCs/>
          <w:color w:val="C00000"/>
          <w:sz w:val="18"/>
          <w:szCs w:val="18"/>
        </w:rPr>
        <w:t xml:space="preserve">[EDIT 17] </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is addressed empirically now, with its formal component reserved for the next research programme.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spacing w:after="40" w:before="60"/>
      </w:pPr>
      <w:r>
        <w:rPr>
          <w:rFonts w:ascii="Cambria" w:cs="Cambria" w:eastAsia="Cambria" w:hAnsi="Cambria"/>
          <w:b/>
          <w:bCs/>
          <w:color w:val="C00000"/>
          <w:sz w:val="18"/>
          <w:szCs w:val="18"/>
        </w:rPr>
        <w:t xml:space="preserve">[EDIT 18] </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by signature recovery, and requires a valid signature from every listed guardian: the threshold equals |G|, an N-of-N condition demonstrated as 2-of-2.</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40" w:before="60"/>
      </w:pPr>
      <w:r>
        <w:rPr>
          <w:rFonts w:ascii="Cambria" w:cs="Cambria" w:eastAsia="Cambria" w:hAnsi="Cambria"/>
          <w:b/>
          <w:bCs/>
          <w:color w:val="C00000"/>
          <w:sz w:val="18"/>
          <w:szCs w:val="18"/>
        </w:rPr>
        <w:t xml:space="preserve">[EDIT 19] </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spacing w:after="140" w:line="300"/>
        <w:jc w:val="both"/>
      </w:pPr>
      <w:r>
        <w:rPr>
          <w:rFonts w:ascii="Cambria" w:cs="Cambria" w:eastAsia="Cambria" w:hAnsi="Cambria"/>
          <w:sz w:val="24"/>
          <w:szCs w:val="24"/>
          <w:highlight w:val="yellow"/>
        </w:rP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p>
      <w:pPr>
        <w:spacing w:after="100" w:before="40"/>
        <w:ind w:left="240"/>
      </w:pPr>
      <w:r>
        <w:rPr>
          <w:rFonts w:ascii="Cambria" w:cs="Cambria" w:eastAsia="Cambria" w:hAnsi="Cambria"/>
          <w:b/>
          <w:bCs/>
          <w:sz w:val="19"/>
          <w:szCs w:val="19"/>
          <w:highlight w:val="yellow"/>
        </w:rPr>
        <w:t xml:space="preserve">⚠ REVIEW: Source typo: 'stageresearch' should read 'stage research'.</w:t>
      </w:r>
    </w:p>
    <w:p>
      <w:pPr>
        <w:spacing w:after="40" w:before="60"/>
      </w:pPr>
      <w:r>
        <w:rPr>
          <w:rFonts w:ascii="Cambria" w:cs="Cambria" w:eastAsia="Cambria" w:hAnsi="Cambria"/>
          <w:b/>
          <w:bCs/>
          <w:color w:val="C00000"/>
          <w:sz w:val="18"/>
          <w:szCs w:val="18"/>
        </w:rPr>
        <w:t xml:space="preserve">[EDIT 20] </w:t>
      </w:r>
    </w:p>
    <w:p>
      <w:pPr>
        <w:spacing w:after="140" w:line="300"/>
        <w:jc w:val="both"/>
      </w:pPr>
      <w:r>
        <w:rPr>
          <w:rFonts w:ascii="Cambria" w:cs="Cambria" w:eastAsia="Cambria" w:hAnsi="Cambria"/>
          <w:color w:val="C00000"/>
          <w:sz w:val="24"/>
          <w:szCs w:val="24"/>
        </w:rPr>
        <w:t xml:space="preserve">This objective has been substantially realised in the current implementation. The prototype enforces the temporal validity window at every access decision (VT), records notBefore and expiry on-chain within the consent token, implements end-to-end revocation including an on-chain revoke transaction, and manages the consent through an explicit lifecycle state machine. The remaining work concerns hardening these controls rather than introducing them.</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p>
      <w:pPr>
        <w:spacing w:after="40" w:before="60"/>
      </w:pPr>
      <w:r>
        <w:rPr>
          <w:rFonts w:ascii="Cambria" w:cs="Cambria" w:eastAsia="Cambria" w:hAnsi="Cambria"/>
          <w:b/>
          <w:bCs/>
          <w:color w:val="C00000"/>
          <w:sz w:val="18"/>
          <w:szCs w:val="18"/>
        </w:rPr>
        <w:t xml:space="preserve">[EDIT 21] </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The complete formal analysis — proofs or model checking of the stated properties — remains next stage work.</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sz w:val="24"/>
          <w:szCs w:val="24"/>
        </w:rP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spacing w:after="40" w:before="60"/>
      </w:pPr>
      <w:r>
        <w:rPr>
          <w:rFonts w:ascii="Cambria" w:cs="Cambria" w:eastAsia="Cambria" w:hAnsi="Cambria"/>
          <w:b/>
          <w:bCs/>
          <w:color w:val="C00000"/>
          <w:sz w:val="18"/>
          <w:szCs w:val="18"/>
        </w:rPr>
        <w:t xml:space="preserve">[EDIT 23] </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spacing w:after="40" w:before="60"/>
      </w:pPr>
      <w:r>
        <w:rPr>
          <w:rFonts w:ascii="Cambria" w:cs="Cambria" w:eastAsia="Cambria" w:hAnsi="Cambria"/>
          <w:b/>
          <w:bCs/>
          <w:color w:val="C00000"/>
          <w:sz w:val="18"/>
          <w:szCs w:val="18"/>
        </w:rPr>
        <w:t xml:space="preserve">[EDIT 22] </w:t>
      </w:r>
    </w:p>
    <w:p>
      <w:pPr>
        <w:spacing w:after="140" w:line="300"/>
        <w:jc w:val="both"/>
      </w:pPr>
      <w:r>
        <w:rPr>
          <w:rFonts w:ascii="Cambria" w:cs="Cambria" w:eastAsia="Cambria" w:hAnsi="Cambria"/>
          <w:color w:val="C00000"/>
          <w:sz w:val="24"/>
          <w:szCs w:val="24"/>
        </w:rPr>
        <w:t xml:space="preserve">The current stage delivers RO1–RO5 in operational form and the empirical component of RO6, including negative and adversarial testing. The principal remaining agenda for CA3 is the formal component of RO6 — formal specification and analysis of the security properties — together with the identified prototype hardening.</w:t>
      </w:r>
    </w:p>
    <w:p>
      <w:pPr>
        <w:spacing w:after="140" w:line="300"/>
        <w:jc w:val="both"/>
      </w:pPr>
      <w:r>
        <w:rPr>
          <w:rFonts w:ascii="Cambria" w:cs="Cambria" w:eastAsia="Cambria" w:hAnsi="Cambria"/>
          <w:sz w:val="24"/>
          <w:szCs w:val="24"/>
          <w:highlight w:val="yellow"/>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00" w:before="40"/>
        <w:ind w:left="240"/>
      </w:pPr>
      <w:r>
        <w:rPr>
          <w:rFonts w:ascii="Cambria" w:cs="Cambria" w:eastAsia="Cambria" w:hAnsi="Cambria"/>
          <w:b/>
          <w:bCs/>
          <w:sz w:val="19"/>
          <w:szCs w:val="19"/>
          <w:highlight w:val="yellow"/>
        </w:rPr>
        <w:t xml:space="preserve">⚠ REVIEW: Source defect: this sentence is truncated in the original PDF (end of section 4.7, page 31) - complete it in the final version.</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40" w:before="60"/>
      </w:pPr>
      <w:r>
        <w:rPr>
          <w:rFonts w:ascii="Cambria" w:cs="Cambria" w:eastAsia="Cambria" w:hAnsi="Cambria"/>
          <w:b/>
          <w:bCs/>
          <w:color w:val="C00000"/>
          <w:sz w:val="18"/>
          <w:szCs w:val="18"/>
        </w:rPr>
        <w:t xml:space="preserve">[EDIT 24 — place at: Page 33, Table 4, RO5/RO6 rows] </w:t>
      </w:r>
    </w:p>
    <w:p>
      <w:pPr>
        <w:spacing w:after="140" w:line="300"/>
        <w:jc w:val="both"/>
      </w:pPr>
      <w:r>
        <w:rPr>
          <w:rFonts w:ascii="Cambria" w:cs="Cambria" w:eastAsia="Cambria" w:hAnsi="Cambria"/>
          <w:color w:val="C00000"/>
          <w:sz w:val="24"/>
          <w:szCs w:val="24"/>
        </w:rPr>
        <w:t xml:space="preserve">RO5 scope: Temporal validity, expiration, revocation and controlled state transitions, enforced in the current prototype and anchored on-chain. RO6 scope: Formal analysis of the security properties (CA3), building 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40" w:before="60"/>
      </w:pPr>
      <w:r>
        <w:rPr>
          <w:rFonts w:ascii="Cambria" w:cs="Cambria" w:eastAsia="Cambria" w:hAnsi="Cambria"/>
          <w:b/>
          <w:bCs/>
          <w:color w:val="C00000"/>
          <w:sz w:val="18"/>
          <w:szCs w:val="18"/>
        </w:rPr>
        <w:t xml:space="preserve">[EDIT 25 — place at: Pages 34, 42, 45 — Eqs (29), (35), (42), (43)] </w:t>
      </w:r>
    </w:p>
    <w:p>
      <w:pPr>
        <w:spacing w:after="140" w:line="300"/>
        <w:jc w:val="both"/>
      </w:pPr>
      <w:r>
        <w:rPr>
          <w:rFonts w:ascii="Cambria" w:cs="Cambria" w:eastAsia="Cambria" w:hAnsi="Cambria"/>
          <w:color w:val="C00000"/>
          <w:sz w:val="24"/>
          <w:szCs w:val="24"/>
        </w:rPr>
        <w:t xml:space="preserve">Make ALLOW = VI ∧ VA ∧ VP ∧ VT ∧ VL the decision rule throughout the chapter; delete each three-predicate variant or relabel it explicitly as an early design iteration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40" w:before="60"/>
      </w:pPr>
      <w:r>
        <w:rPr>
          <w:rFonts w:ascii="Cambria" w:cs="Cambria" w:eastAsia="Cambria" w:hAnsi="Cambria"/>
          <w:b/>
          <w:bCs/>
          <w:color w:val="C00000"/>
          <w:sz w:val="18"/>
          <w:szCs w:val="18"/>
        </w:rPr>
        <w:t xml:space="preserve">[EDIT 28 — place at: Page 36, Figures 3–4 (layered MVC)] </w:t>
      </w:r>
    </w:p>
    <w:p>
      <w:pPr>
        <w:spacing w:after="140" w:line="300"/>
        <w:jc w:val="both"/>
      </w:pPr>
      <w:r>
        <w:rPr>
          <w:rFonts w:ascii="Cambria" w:cs="Cambria" w:eastAsia="Cambria" w:hAnsi="Cambria"/>
          <w:color w:val="C00000"/>
          <w:sz w:val="24"/>
          <w:szCs w:val="24"/>
        </w:rPr>
        <w:t xml:space="preserve">FIGURE EDIT — (a) Controller layer: add “ZK Proof Service (Groth16 generation + verification)” feeding the Authorisation Decision, and “On-chain Anchor Service (asynchronous mint/revoke)”; (b) Model layer: add “ConsentSBTv3 (Sepolia)” beside a box relabelled “SQLite Audit Ledger”; (c) add a Revocation arrow from the Patient interface through the Controller to both the ledger and the contract; (d) add an external box “verify_poc (independent verifier)” reading both the ledger and Sepolia.</w:t>
      </w:r>
    </w:p>
    <w:p>
      <w:pPr>
        <w:spacing w:after="40" w:before="60"/>
      </w:pPr>
      <w:r>
        <w:rPr>
          <w:rFonts w:ascii="Cambria" w:cs="Cambria" w:eastAsia="Cambria" w:hAnsi="Cambria"/>
          <w:b/>
          <w:bCs/>
          <w:color w:val="C00000"/>
          <w:sz w:val="18"/>
          <w:szCs w:val="18"/>
        </w:rPr>
        <w:t xml:space="preserve">[EDIT 34 — place at: Pages 36 &amp; 40 — “DID / VC Verification”, “Verifiable Credentials (VCs)”] </w:t>
      </w:r>
    </w:p>
    <w:p>
      <w:pPr>
        <w:spacing w:after="140" w:line="300"/>
        <w:jc w:val="both"/>
      </w:pPr>
      <w:r>
        <w:rPr>
          <w:rFonts w:ascii="Cambria" w:cs="Cambria" w:eastAsia="Cambria" w:hAnsi="Cambria"/>
          <w:color w:val="C00000"/>
          <w:sz w:val="24"/>
          <w:szCs w:val="24"/>
        </w:rPr>
        <w:t xml:space="preserve">(Add limitation sentence in §5.2/§5.5) In the prototype, credential verification is a DID well-formedness check and the requester’s role and jurisdiction are self-declared; wallet-held keys and authenticated credentials are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40" w:before="60"/>
      </w:pPr>
      <w:r>
        <w:rPr>
          <w:rFonts w:ascii="Cambria" w:cs="Cambria" w:eastAsia="Cambria" w:hAnsi="Cambria"/>
          <w:b/>
          <w:bCs/>
          <w:color w:val="C00000"/>
          <w:sz w:val="18"/>
          <w:szCs w:val="18"/>
        </w:rPr>
        <w:t xml:space="preserve">[EDIT 30 — place at: Pages 36–37, §5.1.1 Controller decomposition] </w:t>
      </w:r>
    </w:p>
    <w:p>
      <w:pPr>
        <w:spacing w:after="140" w:line="300"/>
        <w:jc w:val="both"/>
      </w:pPr>
      <w:r>
        <w:rPr>
          <w:rFonts w:ascii="Cambria" w:cs="Cambria" w:eastAsia="Cambria" w:hAnsi="Cambria"/>
          <w:color w:val="C00000"/>
          <w:sz w:val="24"/>
          <w:szCs w:val="24"/>
        </w:rPr>
        <w:t xml:space="preserve">…eight principal functions…, adding “Cryptographic Proof Generation and Verification (Groth16)” and “On-chain Anchoring and State Synchronisation (Sepolia mint/revoke, background)”. Update Figure 4’s Controller row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40" w:before="60"/>
      </w:pPr>
      <w:r>
        <w:rPr>
          <w:rFonts w:ascii="Cambria" w:cs="Cambria" w:eastAsia="Cambria" w:hAnsi="Cambria"/>
          <w:b/>
          <w:bCs/>
          <w:color w:val="C00000"/>
          <w:sz w:val="18"/>
          <w:szCs w:val="18"/>
        </w:rPr>
        <w:t xml:space="preserve">[EDIT 26] </w:t>
      </w:r>
    </w:p>
    <w:p>
      <w:pPr>
        <w:spacing w:after="140" w:line="300"/>
        <w:jc w:val="both"/>
      </w:pPr>
      <w:r>
        <w:rPr>
          <w:rFonts w:ascii="Cambria" w:cs="Cambria" w:eastAsia="Cambria" w:hAnsi="Cambria"/>
          <w:color w:val="C00000"/>
          <w:sz w:val="24"/>
          <w:szCs w:val="24"/>
        </w:rPr>
        <w:t xml:space="preserve">V_L(C, j) verifies that the requester’s declared jurisdiction matches the consent’s jurisdiction L; revocation and lifecycle state are enforced within V_A. Relabel Figure 5’s V_L(C) box as “V_L(C, j) — Jurisdiction”.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40" w:before="60"/>
      </w:pPr>
      <w:r>
        <w:rPr>
          <w:rFonts w:ascii="Cambria" w:cs="Cambria" w:eastAsia="Cambria" w:hAnsi="Cambria"/>
          <w:b/>
          <w:bCs/>
          <w:color w:val="C00000"/>
          <w:sz w:val="18"/>
          <w:szCs w:val="18"/>
        </w:rPr>
        <w:t xml:space="preserve">[EDIT 29 — place at: Page 41, Figure 6 (end-to-end workflow)] </w:t>
      </w:r>
    </w:p>
    <w:p>
      <w:pPr>
        <w:spacing w:after="140" w:line="300"/>
        <w:jc w:val="both"/>
      </w:pPr>
      <w:r>
        <w:rPr>
          <w:rFonts w:ascii="Cambria" w:cs="Cambria" w:eastAsia="Cambria" w:hAnsi="Cambria"/>
          <w:color w:val="C00000"/>
          <w:sz w:val="24"/>
          <w:szCs w:val="24"/>
        </w:rPr>
        <w:t xml:space="preserve">FIGURE EDIT — after “Threshold Satisfied? Yes” insert “Mint SBT in local ledger” → “Background job anchors mint on Sepolia (async)”; insert V_T and V_L checks before the Authorisation Decision; add “Generate &amp; verify Groth16 proof” on the ALLOW branch; after “Record Audit Evidence” append “Patient revokes → on-chain revoke tx → Auditor review + independent verify_poc”. Rename “Threshold Satisfied?” to “All |G| guardians signed? (N-of-N)”.</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40" w:before="60"/>
      </w:pPr>
      <w:r>
        <w:rPr>
          <w:rFonts w:ascii="Cambria" w:cs="Cambria" w:eastAsia="Cambria" w:hAnsi="Cambria"/>
          <w:b/>
          <w:bCs/>
          <w:color w:val="C00000"/>
          <w:sz w:val="18"/>
          <w:szCs w:val="18"/>
        </w:rPr>
        <w:t xml:space="preserve">[EDIT 33 — place at: Pages 40/42/43, Eqs (33), (37)] </w:t>
      </w:r>
    </w:p>
    <w:p>
      <w:pPr>
        <w:spacing w:after="140" w:line="300"/>
        <w:jc w:val="both"/>
      </w:pPr>
      <w:r>
        <w:rPr>
          <w:rFonts w:ascii="Cambria" w:cs="Cambria" w:eastAsia="Cambria" w:hAnsi="Cambria"/>
          <w:color w:val="C00000"/>
          <w:sz w:val="24"/>
          <w:szCs w:val="24"/>
        </w:rPr>
        <w:t xml:space="preserve">(Append after Eq 37) In the implemented prototype N = |G|: every listed guardian must sign (2-of-2 in the evaluation); configurable k-of-n thresholds are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highlight w:val="yellow"/>
        </w:rPr>
        <w:t xml:space="preserve">consent as a structured authorisation object that captures the security conditions under which healthcare data may be accessed. For the current current stage scope, the core consent object is represented as</w:t>
      </w:r>
    </w:p>
    <w:p>
      <w:pPr>
        <w:spacing w:after="100" w:before="40"/>
        <w:ind w:left="240"/>
      </w:pPr>
      <w:r>
        <w:rPr>
          <w:rFonts w:ascii="Cambria" w:cs="Cambria" w:eastAsia="Cambria" w:hAnsi="Cambria"/>
          <w:b/>
          <w:bCs/>
          <w:sz w:val="19"/>
          <w:szCs w:val="19"/>
          <w:highlight w:val="yellow"/>
        </w:rPr>
        <w:t xml:space="preserve">⚠ REVIEW: Source typo: duplicated word ('current current').</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(36)</w:t>
      </w:r>
    </w:p>
    <w:p>
      <w:pPr>
        <w:spacing w:after="40" w:before="60"/>
      </w:pPr>
      <w:r>
        <w:rPr>
          <w:rFonts w:ascii="Cambria" w:cs="Cambria" w:eastAsia="Cambria" w:hAnsi="Cambria"/>
          <w:b/>
          <w:bCs/>
          <w:color w:val="C00000"/>
          <w:sz w:val="18"/>
          <w:szCs w:val="18"/>
        </w:rPr>
        <w:t xml:space="preserve">[EDIT 27] </w:t>
      </w:r>
    </w:p>
    <w:p>
      <w:pPr>
        <w:spacing w:after="80"/>
        <w:jc w:val="center"/>
      </w:pPr>
      <w:r>
        <w:rPr>
          <w:rFonts w:ascii="Cambria Math" w:cs="Cambria Math" w:eastAsia="Cambria Math" w:hAnsi="Cambria Math"/>
          <w:i/>
          <w:iCs/>
          <w:color w:val="C00000"/>
          <w:sz w:val="22"/>
          <w:szCs w:val="22"/>
        </w:rPr>
        <w:t xml:space="preserve">C = (I, A, P, T, L, E), with T (temporal window) and L (jurisdiction) defined as implemented.</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 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p>
      <w:pPr>
        <w:spacing w:after="40" w:before="60"/>
      </w:pPr>
      <w:r>
        <w:rPr>
          <w:rFonts w:ascii="Cambria" w:cs="Cambria" w:eastAsia="Cambria" w:hAnsi="Cambria"/>
          <w:b/>
          <w:bCs/>
          <w:color w:val="C00000"/>
          <w:sz w:val="18"/>
          <w:szCs w:val="18"/>
        </w:rPr>
        <w:t xml:space="preserve">[EDIT 31] </w:t>
      </w:r>
    </w:p>
    <w:p>
      <w:pPr>
        <w:spacing w:after="140" w:line="300"/>
        <w:jc w:val="both"/>
      </w:pPr>
      <w:r>
        <w:rPr>
          <w:rFonts w:ascii="Cambria" w:cs="Cambria" w:eastAsia="Cambria" w:hAnsi="Cambria"/>
          <w:color w:val="C00000"/>
          <w:sz w:val="24"/>
          <w:szCs w:val="24"/>
        </w:rPr>
        <w:t xml:space="preserve">The implementation realises this representation, including temporal validity, expiration, on-chain revocation and an explicit lifecycle state machine; formal security properties remain future work.</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spacing w:after="40" w:before="60"/>
      </w:pPr>
      <w:r>
        <w:rPr>
          <w:rFonts w:ascii="Cambria" w:cs="Cambria" w:eastAsia="Cambria" w:hAnsi="Cambria"/>
          <w:b/>
          <w:bCs/>
          <w:color w:val="C00000"/>
          <w:sz w:val="18"/>
          <w:szCs w:val="18"/>
        </w:rPr>
        <w:t xml:space="preserve">[EDIT 32] </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via the ConsentSBTv3 soulbound contract; anchoring is asynchronous, and the ledger records each transaction hash and block number.</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user-interface actions from being interpreted directly as trusted authorisation outcomes.</w:t>
            </w:r>
          </w:p>
        </w:tc>
      </w:tr>
    </w:tbl>
    <w:p>
      <w:pPr>
        <w:spacing w:after="180"/>
      </w:pPr>
    </w:p>
    <w:p>
      <w:pPr>
        <w:spacing w:after="40" w:before="60"/>
      </w:pPr>
      <w:r>
        <w:rPr>
          <w:rFonts w:ascii="Cambria" w:cs="Cambria" w:eastAsia="Cambria" w:hAnsi="Cambria"/>
          <w:b/>
          <w:bCs/>
          <w:color w:val="C00000"/>
          <w:sz w:val="18"/>
          <w:szCs w:val="18"/>
        </w:rPr>
        <w:t xml:space="preserve">[EDIT 35 — place at: Page 49, Table 5 (security properties)] </w:t>
      </w:r>
    </w:p>
    <w:p>
      <w:pPr>
        <w:spacing w:after="140" w:line="300"/>
        <w:jc w:val="both"/>
      </w:pPr>
      <w:r>
        <w:rPr>
          <w:rFonts w:ascii="Cambria" w:cs="Cambria" w:eastAsia="Cambria" w:hAnsi="Cambria"/>
          <w:color w:val="C00000"/>
          <w:sz w:val="24"/>
          <w:szCs w:val="24"/>
        </w:rPr>
        <w:t xml:space="preserve">TABLE EDIT — add rows: Temporal validity (VT enforced; on-chain notBefore/expiry); Jurisdictional constraint (VL; live SA-vs-AU denial); Revocability (patient revoke; on-chain revoke; fail-closed VA). Change “future verification” to “independent verification (verify_poc re-checks every transaction against Sepolia: ALL CHECKS PASSED)”.</w:t>
      </w: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formal assurance of the defined trust and authorisation properties and empirically evaluates whether the implemented framework correctly enforces authorised and unauthorised healthcare data-access decisions.</w:t>
            </w:r>
          </w:p>
        </w:tc>
      </w:tr>
    </w:tbl>
    <w:p>
      <w:pPr>
        <w:spacing w:after="180"/>
      </w:pPr>
    </w:p>
    <w:p>
      <w:pPr>
        <w:spacing w:after="40" w:before="60"/>
      </w:pPr>
      <w:r>
        <w:rPr>
          <w:rFonts w:ascii="Cambria" w:cs="Cambria" w:eastAsia="Cambria" w:hAnsi="Cambria"/>
          <w:b/>
          <w:bCs/>
          <w:color w:val="C00000"/>
          <w:sz w:val="18"/>
          <w:szCs w:val="18"/>
        </w:rPr>
        <w:t xml:space="preserve">[EDIT 36 — place at: Page 50, Table 6, RO5/RO6 rows] </w:t>
      </w:r>
    </w:p>
    <w:p>
      <w:pPr>
        <w:spacing w:after="140" w:line="300"/>
        <w:jc w:val="both"/>
      </w:pPr>
      <w:r>
        <w:rPr>
          <w:rFonts w:ascii="Cambria" w:cs="Cambria" w:eastAsia="Cambria" w:hAnsi="Cambria"/>
          <w:color w:val="C00000"/>
          <w:sz w:val="24"/>
          <w:szCs w:val="24"/>
        </w:rPr>
        <w:t xml:space="preserve">TABLE EDIT — RO5 contribution: “Implemented: VT enforcement, lifecycle state machine, end-to-end revocation including on-chain”. RO6 mechanism: “Empirical validation (automated tests, live negative test, independent chain verification); formal proofs remain future work”.</w:t>
      </w:r>
    </w:p>
    <w:p>
      <w:pPr>
        <w:spacing w:after="140" w:line="300"/>
        <w:jc w:val="both"/>
      </w:pPr>
      <w:r>
        <w:rPr>
          <w:rFonts w:ascii="Cambria" w:cs="Cambria" w:eastAsia="Cambria" w:hAnsi="Cambria"/>
          <w:sz w:val="24"/>
          <w:szCs w:val="24"/>
          <w:highlight w:val="yellow"/>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p>
      <w:pPr>
        <w:spacing w:after="100" w:before="40"/>
        <w:ind w:left="240"/>
      </w:pPr>
      <w:r>
        <w:rPr>
          <w:rFonts w:ascii="Cambria" w:cs="Cambria" w:eastAsia="Cambria" w:hAnsi="Cambria"/>
          <w:b/>
          <w:bCs/>
          <w:sz w:val="19"/>
          <w:szCs w:val="19"/>
          <w:highlight w:val="yellow"/>
        </w:rPr>
        <w:t xml:space="preserve">⚠ REVIEW: Source typo: 'next stagewill' should read 'next stage will'.</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(51)</w:t>
      </w:r>
    </w:p>
    <w:p>
      <w:pPr>
        <w:spacing w:after="40" w:before="60"/>
      </w:pPr>
      <w:r>
        <w:rPr>
          <w:rFonts w:ascii="Cambria" w:cs="Cambria" w:eastAsia="Cambria" w:hAnsi="Cambria"/>
          <w:b/>
          <w:bCs/>
          <w:color w:val="C00000"/>
          <w:sz w:val="18"/>
          <w:szCs w:val="18"/>
        </w:rPr>
        <w:t xml:space="preserve">[EDIT 37] </w:t>
      </w:r>
    </w:p>
    <w:p>
      <w:pPr>
        <w:spacing w:after="140" w:line="300"/>
        <w:jc w:val="both"/>
      </w:pPr>
      <w:r>
        <w:rPr>
          <w:rFonts w:ascii="Cambria" w:cs="Cambria" w:eastAsia="Cambria" w:hAnsi="Cambria"/>
          <w:color w:val="C00000"/>
          <w:sz w:val="24"/>
          <w:szCs w:val="24"/>
        </w:rPr>
        <w:t xml:space="preserve">C = (I, A, P, T, L, E), 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40" w:before="60"/>
      </w:pPr>
      <w:r>
        <w:rPr>
          <w:rFonts w:ascii="Cambria" w:cs="Cambria" w:eastAsia="Cambria" w:hAnsi="Cambria"/>
          <w:b/>
          <w:bCs/>
          <w:color w:val="C00000"/>
          <w:sz w:val="18"/>
          <w:szCs w:val="18"/>
        </w:rPr>
        <w:t xml:space="preserve">[EDIT 39 — place at: Pages 53–54, Procedure 6.1.2 and closing sequence] </w:t>
      </w:r>
    </w:p>
    <w:p>
      <w:pPr>
        <w:spacing w:after="140" w:line="300"/>
        <w:jc w:val="both"/>
      </w:pPr>
      <w:r>
        <w:rPr>
          <w:rFonts w:ascii="Cambria" w:cs="Cambria" w:eastAsia="Cambria" w:hAnsi="Cambria"/>
          <w:color w:val="C00000"/>
          <w:sz w:val="24"/>
          <w:szCs w:val="24"/>
        </w:rPr>
        <w:t xml:space="preserve">Insert “Step 6a — Validate the Jurisdiction. The declared jurisdiction L is validated as a well-formed ISO alpha-2 territory code (AU in the demonstrated transactions) and bound to the consent object, since the access decision is later evaluated against it.” Sequence: I_p → D → G → P_u → S_C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40" w:before="60"/>
      </w:pPr>
      <w:r>
        <w:rPr>
          <w:rFonts w:ascii="Cambria" w:cs="Cambria" w:eastAsia="Cambria" w:hAnsi="Cambria"/>
          <w:b/>
          <w:bCs/>
          <w:color w:val="C00000"/>
          <w:sz w:val="18"/>
          <w:szCs w:val="18"/>
        </w:rPr>
        <w:t xml:space="preserve">[EDIT 40 — place at: Page 53, Steps 1–2] </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is a well-formed DID; the doctor is not independently authenticated, and credential-based verification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C = (I, A, P, 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Construct C = (I, A, P, E)</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 The output of RO2 is not an access-grant decision. It is a verified identity and authority result that can be consumed by RO3 and RO4. This separation prevents a participant from obtaining access merely by presenting a valid identity credential.</w:t>
      </w:r>
    </w:p>
    <w:p>
      <w:pPr>
        <w:spacing w:after="40" w:before="60"/>
      </w:pPr>
      <w:r>
        <w:rPr>
          <w:rFonts w:ascii="Cambria" w:cs="Cambria" w:eastAsia="Cambria" w:hAnsi="Cambria"/>
          <w:b/>
          <w:bCs/>
          <w:color w:val="C00000"/>
          <w:sz w:val="18"/>
          <w:szCs w:val="18"/>
        </w:rPr>
        <w:t xml:space="preserve">[EDIT 42] </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the guardian DID and the Sepolia chain identifier, verified by off-chain signer recovery; the VC check preceding it is presently a DID-format check, with the signing keys derived deterministically from the guardian DIDs in place of wallet-held keys.</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40" w:before="60"/>
      </w:pPr>
      <w:r>
        <w:rPr>
          <w:rFonts w:ascii="Cambria" w:cs="Cambria" w:eastAsia="Cambria" w:hAnsi="Cambria"/>
          <w:b/>
          <w:bCs/>
          <w:color w:val="C00000"/>
          <w:sz w:val="18"/>
          <w:szCs w:val="18"/>
        </w:rPr>
        <w:t xml:space="preserve">[EDIT 41] </w:t>
      </w:r>
    </w:p>
    <w:p>
      <w:pPr>
        <w:spacing w:after="140" w:line="300"/>
        <w:jc w:val="both"/>
      </w:pPr>
      <w:r>
        <w:rPr>
          <w:rFonts w:ascii="Cambria" w:cs="Cambria" w:eastAsia="Cambria" w:hAnsi="Cambria"/>
          <w:color w:val="C00000"/>
          <w:sz w:val="24"/>
          <w:szCs w:val="24"/>
        </w:rPr>
        <w:t xml:space="preserve">This condition defines the target verification model. The present prototype implements V_I(u) as a structural DID-format check and records the outcome; cryptographic VC validation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p>
      <w:pPr>
        <w:spacing w:after="40" w:before="60"/>
      </w:pPr>
      <w:r>
        <w:rPr>
          <w:rFonts w:ascii="Cambria" w:cs="Cambria" w:eastAsia="Cambria" w:hAnsi="Cambria"/>
          <w:b/>
          <w:bCs/>
          <w:color w:val="C00000"/>
          <w:sz w:val="18"/>
          <w:szCs w:val="18"/>
        </w:rPr>
        <w:t xml:space="preserve">[EDIT 43] </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every designated guardian must approve before activation; the demonstrated configuration is therefore 2-of-2. A configurable k-of-n threshold is a direct generalisation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40" w:before="60"/>
      </w:pPr>
      <w:r>
        <w:rPr>
          <w:rFonts w:ascii="Cambria" w:cs="Cambria" w:eastAsia="Cambria" w:hAnsi="Cambria"/>
          <w:b/>
          <w:bCs/>
          <w:color w:val="C00000"/>
          <w:sz w:val="18"/>
          <w:szCs w:val="18"/>
        </w:rPr>
        <w:t xml:space="preserve">[EDIT 44 — place at: Page 63, Procedure 6.3.2, Step 2] </w:t>
      </w:r>
    </w:p>
    <w:p>
      <w:pPr>
        <w:spacing w:after="140" w:line="300"/>
        <w:jc w:val="both"/>
      </w:pPr>
      <w:r>
        <w:rPr>
          <w:rFonts w:ascii="Cambria" w:cs="Cambria" w:eastAsia="Cambria" w:hAnsi="Cambria"/>
          <w:color w:val="C00000"/>
          <w:sz w:val="24"/>
          <w:szCs w:val="24"/>
        </w:rPr>
        <w:t xml:space="preserve">Step 2 — Derive the Authorisation Threshold. The system derives the threshold from the guardian set as N = |G|, so that activation requires a valid approval from every designated guardian.</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AAAAAA"/>
          <w:sz w:val="18"/>
          <w:szCs w:val="18"/>
        </w:rPr>
        <w:t xml:space="preserve">2:  </w:t>
      </w:r>
      <w:r>
        <w:rPr>
          <w:rFonts w:ascii="Cambria" w:cs="Cambria" w:eastAsia="Cambria" w:hAnsi="Cambria"/>
          <w:strike/>
          <w:color w:val="808080"/>
          <w:sz w:val="21"/>
          <w:szCs w:val="21"/>
        </w:rPr>
        <w:t xml:space="preserve">Verify identity and authority of participant submitting a</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AAAAAA"/>
          <w:sz w:val="18"/>
          <w:szCs w:val="18"/>
        </w:rPr>
        <w:t xml:space="preserve">3: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verification fails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Record valid approval a</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AAAAAA"/>
          <w:sz w:val="18"/>
          <w:szCs w:val="18"/>
        </w:rPr>
        <w:t xml:space="preserve">19:  </w:t>
      </w:r>
      <w:r>
        <w:rPr>
          <w:rFonts w:ascii="Cambria" w:cs="Cambria" w:eastAsia="Cambria" w:hAnsi="Cambria"/>
          <w:strike/>
          <w:color w:val="808080"/>
          <w:sz w:val="21"/>
          <w:szCs w:val="21"/>
        </w:rPr>
        <w:t xml:space="preserve">Generate activation or token evidence</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AAAAAA"/>
          <w:sz w:val="18"/>
          <w:szCs w:val="18"/>
        </w:rPr>
        <w:t xml:space="preserve">21:  </w:t>
      </w:r>
      <w:r>
        <w:rPr>
          <w:rFonts w:ascii="Cambria" w:cs="Cambria" w:eastAsia="Cambria" w:hAnsi="Cambria"/>
          <w:b/>
          <w:bCs/>
          <w:strike/>
          <w:color w:val="808080"/>
          <w:sz w:val="21"/>
          <w:szCs w:val="21"/>
        </w:rPr>
        <w:t xml:space="preserve">return</w:t>
      </w:r>
      <w:r>
        <w:rPr>
          <w:rFonts w:ascii="Cambria" w:cs="Cambria" w:eastAsia="Cambria" w:hAnsi="Cambria"/>
          <w:strike/>
          <w:color w:val="808080"/>
          <w:sz w:val="21"/>
          <w:szCs w:val="21"/>
        </w:rPr>
        <w:t xml:space="preserve"> ALLOW</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40" w:before="60"/>
        <w:jc w:val="center"/>
      </w:pPr>
      <w:r>
        <w:rPr>
          <w:rFonts w:ascii="Cambria Math" w:cs="Cambria Math" w:eastAsia="Cambria Math" w:hAnsi="Cambria Math"/>
          <w:i/>
          <w:iCs/>
          <w:strike/>
          <w:color w:val="808080"/>
          <w:sz w:val="22"/>
          <w:szCs w:val="22"/>
        </w:rPr>
        <w:t xml:space="preserve">Decision(C, R) = ALLOW ⟺ V</w:t>
      </w:r>
      <w:r>
        <w:rPr>
          <w:rFonts w:ascii="Cambria Math" w:cs="Cambria Math" w:eastAsia="Cambria Math" w:hAnsi="Cambria Math"/>
          <w:i/>
          <w:iCs/>
          <w:strike/>
          <w:color w:val="808080"/>
          <w:sz w:val="22"/>
          <w:szCs w:val="22"/>
          <w:vertAlign w:val="subscript"/>
        </w:rPr>
        <w:t xml:space="preserve">I</w:t>
      </w:r>
      <w:r>
        <w:rPr>
          <w:rFonts w:ascii="Cambria Math" w:cs="Cambria Math" w:eastAsia="Cambria Math" w:hAnsi="Cambria Math"/>
          <w:i/>
          <w:iCs/>
          <w:strike/>
          <w:color w:val="808080"/>
          <w:sz w:val="22"/>
          <w:szCs w:val="22"/>
        </w:rPr>
        <w:t xml:space="preserve">(u) ∧ V</w:t>
      </w:r>
      <w:r>
        <w:rPr>
          <w:rFonts w:ascii="Cambria Math" w:cs="Cambria Math" w:eastAsia="Cambria Math" w:hAnsi="Cambria Math"/>
          <w:i/>
          <w:iCs/>
          <w:strike/>
          <w:color w:val="808080"/>
          <w:sz w:val="22"/>
          <w:szCs w:val="22"/>
          <w:vertAlign w:val="subscript"/>
        </w:rPr>
        <w:t xml:space="preserve">A</w:t>
      </w:r>
      <w:r>
        <w:rPr>
          <w:rFonts w:ascii="Cambria Math" w:cs="Cambria Math" w:eastAsia="Cambria Math" w:hAnsi="Cambria Math"/>
          <w:i/>
          <w:iCs/>
          <w:strike/>
          <w:color w:val="808080"/>
          <w:sz w:val="22"/>
          <w:szCs w:val="22"/>
        </w:rPr>
        <w:t xml:space="preserve">(C) ∧ V</w:t>
      </w:r>
      <w:r>
        <w:rPr>
          <w:rFonts w:ascii="Cambria Math" w:cs="Cambria Math" w:eastAsia="Cambria Math" w:hAnsi="Cambria Math"/>
          <w:i/>
          <w:iCs/>
          <w:strike/>
          <w:color w:val="808080"/>
          <w:sz w:val="22"/>
          <w:szCs w:val="22"/>
          <w:vertAlign w:val="subscript"/>
        </w:rPr>
        <w:t xml:space="preserve">P</w:t>
      </w:r>
      <w:r>
        <w:rPr>
          <w:rFonts w:ascii="Cambria Math" w:cs="Cambria Math" w:eastAsia="Cambria Math" w:hAnsi="Cambria Math"/>
          <w:i/>
          <w:iCs/>
          <w:strike/>
          <w:color w:val="808080"/>
          <w:sz w:val="22"/>
          <w:szCs w:val="22"/>
        </w:rPr>
        <w:t xml:space="preserve">(C, R).</w:t>
      </w:r>
      <w:r>
        <w:rPr>
          <w:rFonts w:ascii="Cambria" w:cs="Cambria" w:eastAsia="Cambria" w:hAnsi="Cambria"/>
          <w:color w:val="808080"/>
          <w:sz w:val="22"/>
          <w:szCs w:val="22"/>
        </w:rPr>
        <w:t xml:space="preserve">	(59)</w:t>
      </w:r>
    </w:p>
    <w:p>
      <w:pPr>
        <w:spacing w:after="40" w:before="60"/>
      </w:pPr>
      <w:r>
        <w:rPr>
          <w:rFonts w:ascii="Cambria" w:cs="Cambria" w:eastAsia="Cambria" w:hAnsi="Cambria"/>
          <w:b/>
          <w:bCs/>
          <w:color w:val="C00000"/>
          <w:sz w:val="18"/>
          <w:szCs w:val="18"/>
        </w:rPr>
        <w:t xml:space="preserve">[EDIT 50] </w:t>
      </w:r>
    </w:p>
    <w:p>
      <w:pPr>
        <w:spacing w:after="140" w:line="300"/>
        <w:jc w:val="both"/>
      </w:pPr>
      <w:r>
        <w:rPr>
          <w:rFonts w:ascii="Cambria" w:cs="Cambria" w:eastAsia="Cambria" w:hAnsi="Cambria"/>
          <w:color w:val="C00000"/>
          <w:sz w:val="24"/>
          <w:szCs w:val="24"/>
        </w:rPr>
        <w:t xml:space="preserve">Decision(C, R, t) = ALLOW ⟺ V_I ∧ V_A ∧ V_P ∧ V_T ∧ V_L, evaluated at every access request; the decision matrix is recorded in the audit ledger with each GRANTED or DENIED result.</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40" w:before="60"/>
      </w:pPr>
      <w:r>
        <w:rPr>
          <w:rFonts w:ascii="Cambria" w:cs="Cambria" w:eastAsia="Cambria" w:hAnsi="Cambria"/>
          <w:b/>
          <w:bCs/>
          <w:color w:val="C00000"/>
          <w:sz w:val="18"/>
          <w:szCs w:val="18"/>
        </w:rPr>
        <w:t xml:space="preserve">[EDIT 57] </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40" w:before="60"/>
      </w:pPr>
      <w:r>
        <w:rPr>
          <w:rFonts w:ascii="Cambria" w:cs="Cambria" w:eastAsia="Cambria" w:hAnsi="Cambria"/>
          <w:b/>
          <w:bCs/>
          <w:color w:val="C00000"/>
          <w:sz w:val="18"/>
          <w:szCs w:val="18"/>
        </w:rPr>
        <w:t xml:space="preserve">[EDIT 56] </w:t>
      </w:r>
    </w:p>
    <w:p>
      <w:pPr>
        <w:spacing w:after="140" w:line="300"/>
        <w:jc w:val="both"/>
      </w:pPr>
      <w:r>
        <w:rPr>
          <w:rFonts w:ascii="Cambria" w:cs="Cambria" w:eastAsia="Cambria" w:hAnsi="Cambria"/>
          <w:color w:val="C00000"/>
          <w:sz w:val="24"/>
          <w:szCs w:val="24"/>
        </w:rPr>
        <w:t xml:space="preserve">a per-request validity layer: validity is re-established at each evaluated access request and recorded as a STATE_CHECK event, rather than assumed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AAAAAA"/>
          <w:sz w:val="18"/>
          <w:szCs w:val="18"/>
        </w:rPr>
        <w:t xml:space="preserve">22: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S</w:t>
      </w:r>
      <w:r>
        <w:rPr>
          <w:rFonts w:ascii="Cambria" w:cs="Cambria" w:eastAsia="Cambria" w:hAnsi="Cambria"/>
          <w:strike/>
          <w:color w:val="808080"/>
          <w:sz w:val="21"/>
          <w:szCs w:val="21"/>
          <w:vertAlign w:val="subscript"/>
        </w:rPr>
        <w:t xml:space="preserve">R</w:t>
      </w:r>
      <w:r>
        <w:rPr>
          <w:rFonts w:ascii="Cambria" w:cs="Cambria" w:eastAsia="Cambria" w:hAnsi="Cambria"/>
          <w:strike/>
          <w:color w:val="808080"/>
          <w:sz w:val="21"/>
          <w:szCs w:val="21"/>
        </w:rPr>
        <w:t xml:space="preserve"> ⊈ S</w:t>
      </w:r>
      <w:r>
        <w:rPr>
          <w:rFonts w:ascii="Cambria" w:cs="Cambria" w:eastAsia="Cambria" w:hAnsi="Cambria"/>
          <w:strike/>
          <w:color w:val="808080"/>
          <w:sz w:val="21"/>
          <w:szCs w:val="21"/>
          <w:vertAlign w:val="subscript"/>
        </w:rPr>
        <w:t xml:space="preserve">C</w:t>
      </w:r>
      <w:r>
        <w:rPr>
          <w:rFonts w:ascii="Cambria" w:cs="Cambria" w:eastAsia="Cambria" w:hAnsi="Cambria"/>
          <w:strike/>
          <w:color w:val="808080"/>
          <w:sz w:val="21"/>
          <w:szCs w:val="21"/>
        </w:rPr>
        <w:t xml:space="preserve">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AAAAAA"/>
          <w:sz w:val="18"/>
          <w:szCs w:val="18"/>
        </w:rPr>
        <w:t xml:space="preserve">26:  </w:t>
      </w:r>
      <w:r>
        <w:rPr>
          <w:rFonts w:ascii="Cambria" w:cs="Cambria" w:eastAsia="Cambria" w:hAnsi="Cambria"/>
          <w:strike/>
          <w:color w:val="808080"/>
          <w:sz w:val="21"/>
          <w:szCs w:val="21"/>
        </w:rPr>
        <w:t xml:space="preserve">Generate or verify access evidence</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which means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guarantees, satisfies, and complies with the privacy constraint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There is no execution path where the system can violate the privacy policy.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40" w:before="60"/>
      </w:pPr>
      <w:r>
        <w:rPr>
          <w:rFonts w:ascii="Cambria" w:cs="Cambria" w:eastAsia="Cambria" w:hAnsi="Cambria"/>
          <w:b/>
          <w:bCs/>
          <w:color w:val="C00000"/>
          <w:sz w:val="18"/>
          <w:szCs w:val="18"/>
        </w:rPr>
        <w:t xml:space="preserve">[EDIT 54 — place at: Page 74, Step 4] </w:t>
      </w:r>
    </w:p>
    <w:p>
      <w:pPr>
        <w:spacing w:after="140" w:line="300"/>
        <w:jc w:val="both"/>
      </w:pPr>
      <w:r>
        <w:rPr>
          <w:rFonts w:ascii="Cambria" w:cs="Cambria" w:eastAsia="Cambria" w:hAnsi="Cambria"/>
          <w:color w:val="C00000"/>
          <w:sz w:val="24"/>
          <w:szCs w:val="24"/>
        </w:rPr>
        <w:t xml:space="preserve">In the implementation the threshold is N-of-N: N = |G|, every designated guardian must sign (2-of-2 in the evaluated configuration); a configurable k-of-n threshold remains future work.</w:t>
      </w:r>
    </w:p>
    <w:p>
      <w:pPr>
        <w:spacing w:after="40" w:before="60"/>
      </w:pPr>
      <w:r>
        <w:rPr>
          <w:rFonts w:ascii="Cambria" w:cs="Cambria" w:eastAsia="Cambria" w:hAnsi="Cambria"/>
          <w:b/>
          <w:bCs/>
          <w:color w:val="C00000"/>
          <w:sz w:val="18"/>
          <w:szCs w:val="18"/>
        </w:rPr>
        <w:t xml:space="preserve">[EDIT 55 — place at: Page 74, Step 5] </w:t>
      </w:r>
    </w:p>
    <w:p>
      <w:pPr>
        <w:spacing w:after="140" w:line="300"/>
        <w:jc w:val="both"/>
      </w:pPr>
      <w:r>
        <w:rPr>
          <w:rFonts w:ascii="Cambria" w:cs="Cambria" w:eastAsia="Cambria" w:hAnsi="Cambria"/>
          <w:color w:val="C00000"/>
          <w:sz w:val="24"/>
          <w:szCs w:val="24"/>
        </w:rPr>
        <w:t xml:space="preserve">In the prototype, purpose compatibility is an exact match against the consent purpose (stored on-chain as keccak256(purpose)); a formal no-violation proof is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V</w:t>
      </w:r>
      <w:r>
        <w:rPr>
          <w:rFonts w:ascii="Cambria Math" w:cs="Cambria Math" w:eastAsia="Cambria Math" w:hAnsi="Cambria Math"/>
          <w:i/>
          <w:iCs/>
          <w:strike/>
          <w:color w:val="808080"/>
          <w:sz w:val="22"/>
          <w:szCs w:val="22"/>
          <w:vertAlign w:val="subscript"/>
        </w:rPr>
        <w:t xml:space="preserve">L</w:t>
      </w:r>
      <w:r>
        <w:rPr>
          <w:rFonts w:ascii="Cambria Math" w:cs="Cambria Math" w:eastAsia="Cambria Math" w:hAnsi="Cambria Math"/>
          <w:i/>
          <w:iCs/>
          <w:strike/>
          <w:color w:val="808080"/>
          <w:sz w:val="22"/>
          <w:szCs w:val="22"/>
        </w:rPr>
        <w:t xml:space="preserve">(C) = ValidState(C) ∧ ValidTransition(C).</w:t>
      </w:r>
      <w:r>
        <w:rPr>
          <w:rFonts w:ascii="Cambria" w:cs="Cambria" w:eastAsia="Cambria" w:hAnsi="Cambria"/>
          <w:color w:val="808080"/>
          <w:sz w:val="22"/>
          <w:szCs w:val="22"/>
        </w:rPr>
        <w:t xml:space="preserve">	(64)</w:t>
      </w:r>
    </w:p>
    <w:p>
      <w:pPr>
        <w:spacing w:after="40" w:before="60"/>
      </w:pPr>
      <w:r>
        <w:rPr>
          <w:rFonts w:ascii="Cambria" w:cs="Cambria" w:eastAsia="Cambria" w:hAnsi="Cambria"/>
          <w:b/>
          <w:bCs/>
          <w:color w:val="C00000"/>
          <w:sz w:val="18"/>
          <w:szCs w:val="18"/>
        </w:rPr>
        <w:t xml:space="preserve">[EDIT 51] </w:t>
      </w:r>
    </w:p>
    <w:p>
      <w:pPr>
        <w:spacing w:after="140" w:line="300"/>
        <w:jc w:val="both"/>
      </w:pPr>
      <w:r>
        <w:rPr>
          <w:rFonts w:ascii="Cambria" w:cs="Cambria" w:eastAsia="Cambria" w:hAnsi="Cambria"/>
          <w:color w:val="C00000"/>
          <w:sz w:val="24"/>
          <w:szCs w:val="24"/>
        </w:rPr>
        <w:t xml:space="preserve">V_L(C, R) = 1 ⟺ Jur(R) = Jur(C) ∨ Jur(C) = ∅, where the jurisdiction is a two-letter ISO code stored on-chain; lifecycle state and revocation are evaluated within V_A. This check produced the demonstrated denial for jurisdiction SA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The current HALAH code already collects a start time and expiry time during consent creation, but the complete temporal and lifecycle enforcement mechanism remains part of the planned CA3 extension.</w:t>
      </w:r>
    </w:p>
    <w:p>
      <w:pPr>
        <w:spacing w:after="40" w:before="60"/>
      </w:pPr>
      <w:r>
        <w:rPr>
          <w:rFonts w:ascii="Cambria" w:cs="Cambria" w:eastAsia="Cambria" w:hAnsi="Cambria"/>
          <w:b/>
          <w:bCs/>
          <w:color w:val="C00000"/>
          <w:sz w:val="18"/>
          <w:szCs w:val="18"/>
        </w:rPr>
        <w:t xml:space="preserve">[EDIT 58] </w:t>
      </w:r>
    </w:p>
    <w:p>
      <w:pPr>
        <w:spacing w:after="140" w:line="300"/>
        <w:jc w:val="both"/>
      </w:pPr>
      <w:r>
        <w:rPr>
          <w:rFonts w:ascii="Cambria" w:cs="Cambria" w:eastAsia="Cambria" w:hAnsi="Cambria"/>
          <w:color w:val="C00000"/>
          <w:sz w:val="24"/>
          <w:szCs w:val="24"/>
        </w:rPr>
        <w:t xml:space="preserve">Temporal and lifecycle enforcement is implemented: the Consent Engine evaluates t_s ≤ t ≤ t_e at every request, the contract stores notBefore and expiry and exposes checkValid and checkValidAt, and revocation is executed both locally and as an on-chain revoke transaction (block 11,771,307).</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p>
      <w:pPr>
        <w:spacing w:after="40" w:before="60"/>
      </w:pPr>
      <w:r>
        <w:rPr>
          <w:rFonts w:ascii="Cambria" w:cs="Cambria" w:eastAsia="Cambria" w:hAnsi="Cambria"/>
          <w:b/>
          <w:bCs/>
          <w:color w:val="C00000"/>
          <w:sz w:val="18"/>
          <w:szCs w:val="18"/>
        </w:rPr>
        <w:t xml:space="preserve">[EDIT 59] </w:t>
      </w: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expiration, revocation and state transitions already condition the demonstrated access decisions.</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40" w:before="60"/>
      </w:pPr>
      <w:r>
        <w:rPr>
          <w:rFonts w:ascii="Cambria" w:cs="Cambria" w:eastAsia="Cambria" w:hAnsi="Cambria"/>
          <w:b/>
          <w:bCs/>
          <w:color w:val="C00000"/>
          <w:sz w:val="18"/>
          <w:szCs w:val="18"/>
        </w:rPr>
        <w:t xml:space="preserve">[EDIT 62] </w:t>
      </w:r>
    </w:p>
    <w:p>
      <w:pPr>
        <w:spacing w:after="140" w:line="300"/>
        <w:jc w:val="both"/>
      </w:pPr>
      <w:r>
        <w:rPr>
          <w:rFonts w:ascii="Cambria" w:cs="Cambria" w:eastAsia="Cambria" w:hAnsi="Cambria"/>
          <w:color w:val="C00000"/>
          <w:sz w:val="24"/>
          <w:szCs w:val="24"/>
        </w:rPr>
        <w:t xml:space="preserve">The empirical half of this objective has been carried out on the prototype; formal proofs and model checking of the authorisation properties remain future work. Caption: “RO6 workflow for security assurance; the empirical branch has been executed,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strike/>
          <w:color w:val="808080"/>
          <w:sz w:val="24"/>
          <w:szCs w:val="24"/>
        </w:rPr>
        <w:t xml:space="preserve">For current stage, the primary validation conditions are</w:t>
      </w:r>
    </w:p>
    <w:p>
      <w:pPr>
        <w:spacing w:after="40" w:before="60"/>
      </w:pPr>
      <w:r>
        <w:rPr>
          <w:rFonts w:ascii="Cambria" w:cs="Cambria" w:eastAsia="Cambria" w:hAnsi="Cambria"/>
          <w:b/>
          <w:bCs/>
          <w:color w:val="C00000"/>
          <w:sz w:val="18"/>
          <w:szCs w:val="18"/>
        </w:rPr>
        <w:t xml:space="preserve">[EDIT 61] </w:t>
      </w:r>
    </w:p>
    <w:p>
      <w:pPr>
        <w:spacing w:after="80"/>
        <w:jc w:val="center"/>
      </w:pPr>
      <w:r>
        <w:rPr>
          <w:rFonts w:ascii="Cambria Math" w:cs="Cambria Math" w:eastAsia="Cambria Math" w:hAnsi="Cambria Math"/>
          <w:i/>
          <w:iCs/>
          <w:color w:val="C00000"/>
          <w:sz w:val="22"/>
          <w:szCs w:val="22"/>
        </w:rPr>
        <w:t xml:space="preserve">The validated soundness property is Decision = ALLOW ⇒ V_I ∧ V_A ∧ V_P ∧ V_T ∧ V_L, exercised by per-dimension failure tests for each conjunct.</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 The HALAH prototype provides the implementation basis for this evaluation. The current system includes separate patient, guardian, doctor, and auditor interfaces. It also records consent creation, guardian approval, token minting, state checks, and data-access events.</w:t>
      </w:r>
    </w:p>
    <w:p>
      <w:pPr>
        <w:spacing w:after="40" w:before="60"/>
      </w:pPr>
      <w:r>
        <w:rPr>
          <w:rFonts w:ascii="Cambria" w:cs="Cambria" w:eastAsia="Cambria" w:hAnsi="Cambria"/>
          <w:b/>
          <w:bCs/>
          <w:color w:val="C00000"/>
          <w:sz w:val="18"/>
          <w:szCs w:val="18"/>
        </w:rPr>
        <w:t xml:space="preserve">[EDIT 60] </w:t>
      </w:r>
    </w:p>
    <w:p>
      <w:pPr>
        <w:spacing w:after="140" w:line="300"/>
        <w:jc w:val="both"/>
      </w:pPr>
      <w:r>
        <w:rPr>
          <w:rFonts w:ascii="Cambria" w:cs="Cambria" w:eastAsia="Cambria" w:hAnsi="Cambria"/>
          <w:color w:val="C00000"/>
          <w:sz w:val="24"/>
          <w:szCs w:val="24"/>
        </w:rPr>
        <w:t xml:space="preserve">The empirical component has been executed against the prototype: 23 automated tests cover per-dimension matrix failures, EIP-712 signature rejection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40" w:before="60"/>
      </w:pPr>
      <w:r>
        <w:rPr>
          <w:rFonts w:ascii="Cambria" w:cs="Cambria" w:eastAsia="Cambria" w:hAnsi="Cambria"/>
          <w:b/>
          <w:bCs/>
          <w:color w:val="C00000"/>
          <w:sz w:val="18"/>
          <w:szCs w:val="18"/>
        </w:rPr>
        <w:t xml:space="preserve">[EDIT 63] </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only the formal-assurance branch, together with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40" w:before="60"/>
      </w:pPr>
      <w:r>
        <w:rPr>
          <w:rFonts w:ascii="Cambria" w:cs="Cambria" w:eastAsia="Cambria" w:hAnsi="Cambria"/>
          <w:b/>
          <w:bCs/>
          <w:color w:val="C00000"/>
          <w:sz w:val="18"/>
          <w:szCs w:val="18"/>
        </w:rPr>
        <w:t xml:space="preserve">[EDIT 64] </w:t>
      </w:r>
    </w:p>
    <w:p>
      <w:pPr>
        <w:spacing w:after="140" w:line="300"/>
        <w:jc w:val="both"/>
      </w:pPr>
      <w:r>
        <w:rPr>
          <w:rFonts w:ascii="Cambria" w:cs="Cambria" w:eastAsia="Cambria" w:hAnsi="Cambria"/>
          <w:color w:val="C00000"/>
          <w:sz w:val="24"/>
          <w:szCs w:val="24"/>
        </w:rPr>
        <w:t xml:space="preserve">The implemented system enforces the complete rule of Equation (70): access is granted only when VI, VA, VP, VT and VL all hold, with revocation evaluated within VA, and every decision — granted or denied — is logged with the full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40" w:before="60"/>
      </w:pPr>
      <w:r>
        <w:rPr>
          <w:rFonts w:ascii="Cambria" w:cs="Cambria" w:eastAsia="Cambria" w:hAnsi="Cambria"/>
          <w:b/>
          <w:bCs/>
          <w:color w:val="C00000"/>
          <w:sz w:val="18"/>
          <w:szCs w:val="18"/>
        </w:rPr>
        <w:t xml:space="preserve">[EDIT 65 — place at: Page 88, §7.2–7.3 (RO2, RO3)] </w:t>
      </w:r>
    </w:p>
    <w:p>
      <w:pPr>
        <w:spacing w:after="140" w:line="300"/>
        <w:jc w:val="both"/>
      </w:pPr>
      <w:r>
        <w:rPr>
          <w:rFonts w:ascii="Cambria" w:cs="Cambria" w:eastAsia="Cambria" w:hAnsi="Cambria"/>
          <w:color w:val="C00000"/>
          <w:sz w:val="24"/>
          <w:szCs w:val="24"/>
        </w:rPr>
        <w:t xml:space="preserve">(Append to §7.3) In the current prototype the threshold is fixed at N-of-N: every listed guardian must approve, each through an EIP-712 typed-data signature verified by cryptographic recovery, with the two-guardian case evaluated end-to-end. Configurable k-of-n thresholds remain future work. (Append to §7.2) In the prototype, VI performs identifier- and credential-format validation; cryptographic DID resolution against a registry and requester authentication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highlight w:val="yellow"/>
        </w:rPr>
        <w:t xml:space="preserve">For example, if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{Observation, Medication}, and the requester asks for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{Observation, Medic the request should be rejected because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spacing w:after="100" w:before="40"/>
        <w:ind w:left="240"/>
      </w:pPr>
      <w:r>
        <w:rPr>
          <w:rFonts w:ascii="Cambria" w:cs="Cambria" w:eastAsia="Cambria" w:hAnsi="Cambria"/>
          <w:b/>
          <w:bCs/>
          <w:sz w:val="19"/>
          <w:szCs w:val="19"/>
          <w:highlight w:val="yellow"/>
        </w:rPr>
        <w:t xml:space="preserve">⚠ REVIEW: Source defect: the set is clipped at the page margin in the original PDF (RO4 example, page 89) - complete it, e.g. {Observation, Medication}.</w:t>
      </w:r>
    </w:p>
    <w:p>
      <w:pPr>
        <w:spacing w:after="40" w:before="60"/>
      </w:pPr>
      <w:r>
        <w:rPr>
          <w:rFonts w:ascii="Cambria" w:cs="Cambria" w:eastAsia="Cambria" w:hAnsi="Cambria"/>
          <w:b/>
          <w:bCs/>
          <w:color w:val="C00000"/>
          <w:sz w:val="18"/>
          <w:szCs w:val="18"/>
        </w:rPr>
        <w:t xml:space="preserve">[EDIT 66] </w:t>
      </w:r>
    </w:p>
    <w:p>
      <w:pPr>
        <w:spacing w:after="140" w:line="300"/>
        <w:jc w:val="both"/>
      </w:pPr>
      <w:r>
        <w:rPr>
          <w:rFonts w:ascii="Cambria" w:cs="Cambria" w:eastAsia="Cambria" w:hAnsi="Cambria"/>
          <w:color w:val="C00000"/>
          <w:sz w:val="24"/>
          <w:szCs w:val="24"/>
        </w:rPr>
        <w:t xml:space="preserve">Status: Completed at the prototype level. The policy predicate VP is implemented: each access request declares a purpose and a requested data scope S_R, and the request is rejected whenever S_R is not a subset of the authorised scope S_C. The predicate is evaluated as one term of the complete decision matrix VI ∧ VA ∧ VP ∧ VT ∧ VL, and every denial names the failed checks explicitly in both the interface and the audit ledger. Input validation on consent creation and access requests prevents malformed identifiers, scopes and jurisdictions from reaching the decision logic. Policy-aware access control is therefore an enforced property of the running system rather than an expected outcome.</w:t>
      </w:r>
    </w:p>
    <w:p>
      <w:pPr>
        <w:pStyle w:val="Heading2"/>
        <w:spacing w:after="160" w:before="280"/>
      </w:pPr>
      <w:r>
        <w:t xml:space="preserve">7.5  Progress of RO5: Temporal and Lifecycle Trust</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RO5 is reserved primarily for next stage. The objective is to introduce temporal and lifecycle trust so that consent is not considered permanently valid after creation or approval. A future consent validity interval will be represented as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with temporal validity defined as</w:t>
      </w:r>
    </w:p>
    <w:p>
      <w:pPr>
        <w:spacing w:after="40" w:before="60"/>
      </w:pPr>
      <w:r>
        <w:rPr>
          <w:rFonts w:ascii="Cambria" w:cs="Cambria" w:eastAsia="Cambria" w:hAnsi="Cambria"/>
          <w:b/>
          <w:bCs/>
          <w:color w:val="C00000"/>
          <w:sz w:val="18"/>
          <w:szCs w:val="18"/>
        </w:rPr>
        <w:t xml:space="preserve">[EDIT 67] </w:t>
      </w:r>
    </w:p>
    <w:p>
      <w:pPr>
        <w:spacing w:after="140" w:line="300"/>
        <w:jc w:val="both"/>
      </w:pPr>
      <w:r>
        <w:rPr>
          <w:rFonts w:ascii="Cambria" w:cs="Cambria" w:eastAsia="Cambria" w:hAnsi="Cambria"/>
          <w:color w:val="C00000"/>
          <w:sz w:val="24"/>
          <w:szCs w:val="24"/>
        </w:rPr>
        <w:t xml:space="preserve">Status: Largely Completed. RO5 has moved from planned work to implemented capability. The consent validity interval [t_s, t_e] is now enforced by the temporal predicate VT at every access request and is additionally stored on-chain in the SBT as the notBefore and expiry fields, so temporal validity can be verified independently of the application. The consent lifecycle is implemented as an explicit state machine (PENDING_SIGNATURE, PENDING_TOKEN, NOT_STARTED, ACTIVE, EXPIRED,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spacing w:after="40" w:before="60"/>
      </w:pPr>
      <w:r>
        <w:rPr>
          <w:rFonts w:ascii="Cambria" w:cs="Cambria" w:eastAsia="Cambria" w:hAnsi="Cambria"/>
          <w:b/>
          <w:bCs/>
          <w:color w:val="C00000"/>
          <w:sz w:val="18"/>
          <w:szCs w:val="18"/>
        </w:rPr>
        <w:t xml:space="preserve">[EDIT 68] </w:t>
      </w:r>
    </w:p>
    <w:p>
      <w:pPr>
        <w:spacing w:after="140" w:line="300"/>
        <w:jc w:val="both"/>
      </w:pPr>
      <w:r>
        <w:rPr>
          <w:rFonts w:ascii="Cambria" w:cs="Cambria" w:eastAsia="Cambria" w:hAnsi="Cambria"/>
          <w:color w:val="C00000"/>
          <w:sz w:val="24"/>
          <w:szCs w:val="24"/>
        </w:rPr>
        <w:t xml:space="preserve">Status: Partially Completed. Empirical validation now covers all six trust dimensions. A suite of 23 automated tests exercises per-dimension failures of the decision matrix, rejection of invalid EIP-712 guardian signatures, and tampered or expired zero-knowledge proofs. Live validation on Sepolia includes a negative demonstration in which a request declaring jurisdiction SA against a consent issued for AU is denied with VL named as the failed check, and a revocation scenario in which the same consent, once revoked on-chain, is subsequently denied through VA. An independent verification tool re-checks every ledger transaction hash against Sepolia receipts and reads each token back from the contract, reporting that all checks passed, and every granted access is accompanied by a real Groth16 proof generated and verified at request time. The implemented decision rule is Decision(C, R, t) = ALLOW iff VI ∧ VA ∧ VP ∧ VT ∧ VL. Formal security analysis and a systematic performance study remain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strike/>
          <w:color w:val="808080"/>
          <w:sz w:val="24"/>
          <w:szCs w:val="24"/>
        </w:rP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p>
      <w:pPr>
        <w:spacing w:after="40" w:before="60"/>
      </w:pPr>
      <w:r>
        <w:rPr>
          <w:rFonts w:ascii="Cambria" w:cs="Cambria" w:eastAsia="Cambria" w:hAnsi="Cambria"/>
          <w:b/>
          <w:bCs/>
          <w:color w:val="C00000"/>
          <w:sz w:val="18"/>
          <w:szCs w:val="18"/>
        </w:rPr>
        <w:t xml:space="preserve">[EDIT 69] </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narrower: formal definition and verification of the security properties, a systematic performance and overhead study, and the removal of prototype limitations such as N-of-N approval,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40" w:before="60"/>
      </w:pPr>
      <w:r>
        <w:rPr>
          <w:rFonts w:ascii="Cambria" w:cs="Cambria" w:eastAsia="Cambria" w:hAnsi="Cambria"/>
          <w:b/>
          <w:bCs/>
          <w:color w:val="C00000"/>
          <w:sz w:val="18"/>
          <w:szCs w:val="18"/>
        </w:rPr>
        <w:t xml:space="preserve">[EDIT 70 — place at: Page 90, §8, Table 7] </w:t>
      </w:r>
    </w:p>
    <w:p>
      <w:pPr>
        <w:spacing w:after="140" w:line="300"/>
        <w:jc w:val="both"/>
      </w:pPr>
      <w:r>
        <w:rPr>
          <w:rFonts w:ascii="Cambria" w:cs="Cambria" w:eastAsia="Cambria" w:hAnsi="Cambria"/>
          <w:color w:val="C00000"/>
          <w:sz w:val="24"/>
          <w:szCs w:val="24"/>
        </w:rPr>
        <w:t xml:space="preserve">TABLE EDIT — status: “Decentralised implementation and scenario-based validation complete on the Sepolia public testnet; performance evaluation outstanding.” The paper’s empirical section can now draw 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The progression is RO1, RO2, RO3 and then RO4, in which RO1, RO2, and RO3 have been implemented and initially validated through the HALAH prototype. RO4 represents the current transition towards policy-aware access control.</w:t>
      </w:r>
    </w:p>
    <w:p>
      <w:pPr>
        <w:spacing w:after="40" w:before="60"/>
      </w:pPr>
      <w:r>
        <w:rPr>
          <w:rFonts w:ascii="Cambria" w:cs="Cambria" w:eastAsia="Cambria" w:hAnsi="Cambria"/>
          <w:b/>
          <w:bCs/>
          <w:color w:val="C00000"/>
          <w:sz w:val="18"/>
          <w:szCs w:val="18"/>
        </w:rPr>
        <w:t xml:space="preserve">[EDIT 71] </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publicly inspectable on Etherscan.</w:t>
      </w:r>
    </w:p>
    <w:p>
      <w:pPr>
        <w:pStyle w:val="Heading2"/>
        <w:spacing w:after="160" w:before="280"/>
      </w:pPr>
      <w:r>
        <w:t xml:space="preserve">9.2  Next Stage: Planned Work</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highlight w:val="yellow"/>
        </w:rPr>
        <w:t xml:space="preserve">The first major focus of next stageis the introduction of temporal and lifecycle trust.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spacing w:after="100" w:before="40"/>
        <w:ind w:left="240"/>
      </w:pPr>
      <w:r>
        <w:rPr>
          <w:rFonts w:ascii="Cambria" w:cs="Cambria" w:eastAsia="Cambria" w:hAnsi="Cambria"/>
          <w:b/>
          <w:bCs/>
          <w:sz w:val="19"/>
          <w:szCs w:val="19"/>
          <w:highlight w:val="yellow"/>
        </w:rPr>
        <w:t xml:space="preserve">⚠ REVIEW: Source typo: 'next stageis' should read 'next stage is'.</w:t>
      </w:r>
    </w:p>
    <w:p>
      <w:pPr>
        <w:spacing w:after="40" w:before="60"/>
      </w:pPr>
      <w:r>
        <w:rPr>
          <w:rFonts w:ascii="Cambria" w:cs="Cambria" w:eastAsia="Cambria" w:hAnsi="Cambria"/>
          <w:b/>
          <w:bCs/>
          <w:color w:val="C00000"/>
          <w:sz w:val="18"/>
          <w:szCs w:val="18"/>
        </w:rPr>
        <w:t xml:space="preserve">[EDIT 72] </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The next stage accordingly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40" w:before="60"/>
      </w:pPr>
      <w:r>
        <w:rPr>
          <w:rFonts w:ascii="Cambria" w:cs="Cambria" w:eastAsia="Cambria" w:hAnsi="Cambria"/>
          <w:b/>
          <w:bCs/>
          <w:color w:val="C00000"/>
          <w:sz w:val="18"/>
          <w:szCs w:val="18"/>
        </w:rPr>
        <w:t xml:space="preserve">[EDIT 73 — place at: Page 92, Table 8] </w:t>
      </w:r>
    </w:p>
    <w:p>
      <w:pPr>
        <w:spacing w:after="140" w:line="300"/>
        <w:jc w:val="both"/>
      </w:pPr>
      <w:r>
        <w:rPr>
          <w:rFonts w:ascii="Cambria" w:cs="Cambria" w:eastAsia="Cambria" w:hAnsi="Cambria"/>
          <w:color w:val="C00000"/>
          <w:sz w:val="24"/>
          <w:szCs w:val="24"/>
        </w:rPr>
        <w:t xml:space="preserve">TABLE EDIT — mark Temporal and Lifecycle Trust as Completed (evidence: on-chain notBefore/expiry; revoke transaction in block 11,771,307; state machine); annotate Comprehensive Empirical Validation as partially delivered (23 automated tests; live jurisdiction denial and revocation-then-denial on Sepolia; independent chain verification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60"/>
      </w:pPr>
      <w:r>
        <w:rPr>
          <w:rFonts w:ascii="Cambria" w:cs="Cambria" w:eastAsia="Cambria" w:hAnsi="Cambria"/>
          <w:b/>
          <w:bCs/>
          <w:sz w:val="19"/>
          <w:szCs w:val="19"/>
          <w:highlight w:val="green"/>
        </w:rPr>
        <w:t xml:space="preserve">✔ CITATION AUDIT (six-agent review): all 33 references are present and numbered sequentially; every reference is cited at least once in the body (158 in-text citations; none outside [1]–[33]); the PRISMA counts (125 → 83 → 43 → 40 → 33) are arithmetically consistent with the 33 listed studies.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highlight w:val="green"/>
        </w:rPr>
        <w:t xml:space="preserve">[3] Mohammad Salar Arbabi, Chhagan Lal, Narasimha Raghavan Veeraragavan, Dusica Marijan, Jan F Nygård, and Roman Vitenberg. A survey on blockchain for healthcare: Challenges, benefits, and future directions. IEEE communications surveys &amp; tutorials, 25(1):386–424, 2022.</w:t>
      </w:r>
    </w:p>
    <w:p>
      <w:pPr>
        <w:spacing w:after="100" w:before="40"/>
        <w:ind w:left="240"/>
      </w:pPr>
      <w:r>
        <w:rPr>
          <w:rFonts w:ascii="Cambria" w:cs="Cambria" w:eastAsia="Cambria" w:hAnsi="Cambria"/>
          <w:b/>
          <w:bCs/>
          <w:sz w:val="19"/>
          <w:szCs w:val="19"/>
          <w:highlight w:val="green"/>
        </w:rPr>
        <w:t xml:space="preserve">✔ REF/SLR REVIEW: Reference [3]: venue in lowercase ('IEEE communications surveys &amp; tutorials') while reference [20] uses the correctly capitalised 'IEEE Communications Surveys &amp; Tutorials' - inconsistent.</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highlight w:val="green"/>
        </w:rPr>
        <w:t xml:space="preserve">[8] Remy Hellstern, Daniel C Park, Victoria Lemieux, and Guldana Salimjan. Leveraging blockchain-based archival solutions for sensitive documentation: A xinjiang case study. Digital Society, 1(1):4, 2022.</w:t>
      </w:r>
    </w:p>
    <w:p>
      <w:pPr>
        <w:spacing w:after="100" w:before="40"/>
        <w:ind w:left="240"/>
      </w:pPr>
      <w:r>
        <w:rPr>
          <w:rFonts w:ascii="Cambria" w:cs="Cambria" w:eastAsia="Cambria" w:hAnsi="Cambria"/>
          <w:b/>
          <w:bCs/>
          <w:sz w:val="19"/>
          <w:szCs w:val="19"/>
          <w:highlight w:val="green"/>
        </w:rPr>
        <w:t xml:space="preserve">✔ REF/SLR REVIEW: Reference [8]: proper noun 'Xinjiang' in lowercase in the title ('A xinjiang case study').</w:t>
      </w:r>
    </w:p>
    <w:p>
      <w:pPr>
        <w:spacing w:after="140" w:line="300"/>
        <w:jc w:val="both"/>
      </w:pPr>
      <w:r>
        <w:rPr>
          <w:rFonts w:ascii="Cambria" w:cs="Cambria" w:eastAsia="Cambria" w:hAnsi="Cambria"/>
          <w:sz w:val="24"/>
          <w:szCs w:val="24"/>
          <w:highlight w:val="green"/>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spacing w:after="100" w:before="40"/>
        <w:ind w:left="240"/>
      </w:pPr>
      <w:r>
        <w:rPr>
          <w:rFonts w:ascii="Cambria" w:cs="Cambria" w:eastAsia="Cambria" w:hAnsi="Cambria"/>
          <w:b/>
          <w:bCs/>
          <w:sz w:val="19"/>
          <w:szCs w:val="19"/>
          <w:highlight w:val="green"/>
        </w:rPr>
        <w:t xml:space="preserve">✔ REF/SLR REVIEW: Reference [9]: journal name partly lowercase ('BMC nursing' should be 'BMC Nursing').</w:t>
      </w:r>
    </w:p>
    <w:p>
      <w:pPr>
        <w:spacing w:after="140" w:line="300"/>
        <w:jc w:val="both"/>
      </w:pPr>
      <w:r>
        <w:rPr>
          <w:rFonts w:ascii="Cambria" w:cs="Cambria" w:eastAsia="Cambria" w:hAnsi="Cambria"/>
          <w:sz w:val="24"/>
          <w:szCs w:val="24"/>
          <w:highlight w:val="green"/>
        </w:rPr>
        <w:t xml:space="preserve">[10] Vitor Jesus and Harshvardhan J Pandit. Consent receipts for a usable and auditable web of personal data. IEEe Access, 10:28545–28563, 2022.</w:t>
      </w:r>
    </w:p>
    <w:p>
      <w:pPr>
        <w:spacing w:after="100" w:before="40"/>
        <w:ind w:left="240"/>
      </w:pPr>
      <w:r>
        <w:rPr>
          <w:rFonts w:ascii="Cambria" w:cs="Cambria" w:eastAsia="Cambria" w:hAnsi="Cambria"/>
          <w:b/>
          <w:bCs/>
          <w:sz w:val="19"/>
          <w:szCs w:val="19"/>
          <w:highlight w:val="green"/>
        </w:rPr>
        <w:t xml:space="preserve">✔ REF/SLR REVIEW: Reference [10]: venue misspelled 'IEEe Access' - should be 'IEEE Access'.</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highlight w:val="green"/>
        </w:rPr>
        <w:t xml:space="preserve">[15] Behnam Khayer, Siamak Mirzaei, Hooman Alavizadeh, and Ahmad Salehi Shahraki. Blockchain for secure iot: A review of identity management, access control, and trust mechanisms. IoT, 6(4):65, 2025.</w:t>
      </w:r>
    </w:p>
    <w:p>
      <w:pPr>
        <w:spacing w:after="100" w:before="40"/>
        <w:ind w:left="240"/>
      </w:pPr>
      <w:r>
        <w:rPr>
          <w:rFonts w:ascii="Cambria" w:cs="Cambria" w:eastAsia="Cambria" w:hAnsi="Cambria"/>
          <w:b/>
          <w:bCs/>
          <w:sz w:val="19"/>
          <w:szCs w:val="19"/>
          <w:highlight w:val="green"/>
        </w:rPr>
        <w:t xml:space="preserve">✔ REF/SLR REVIEW: Reference [15]: acronym 'IoT' in lowercase in the title ('secure iot').</w:t>
      </w:r>
    </w:p>
    <w:p>
      <w:pPr>
        <w:spacing w:after="140" w:line="300"/>
        <w:jc w:val="both"/>
      </w:pPr>
      <w:r>
        <w:rPr>
          <w:rFonts w:ascii="Cambria" w:cs="Cambria" w:eastAsia="Cambria" w:hAnsi="Cambria"/>
          <w:sz w:val="24"/>
          <w:szCs w:val="24"/>
          <w:highlight w:val="green"/>
        </w:rPr>
        <w:t xml:space="preserve">[16] Chalima Dimitra Nassar Kyriakidou, Athanasia Maria Papathanasiou, and George C Polyzos. Decentralized identity with applications to security and privacy for the internet of things. Computer Networks and Communications, pages 244–271, 2023.</w:t>
      </w:r>
    </w:p>
    <w:p>
      <w:pPr>
        <w:spacing w:after="100" w:before="40"/>
        <w:ind w:left="240"/>
      </w:pPr>
      <w:r>
        <w:rPr>
          <w:rFonts w:ascii="Cambria" w:cs="Cambria" w:eastAsia="Cambria" w:hAnsi="Cambria"/>
          <w:b/>
          <w:bCs/>
          <w:sz w:val="19"/>
          <w:szCs w:val="19"/>
          <w:highlight w:val="green"/>
        </w:rPr>
        <w:t xml:space="preserve">✔ REF/SLR REVIEW: Reference [16]: incomplete entry - page range given but no volume or issue number.</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highlight w:val="green"/>
        </w:rPr>
        <w:t xml:space="preserve">[20] Carlo Mazzocca, Abbas Acar, Selcuk Uluagac, Rebecca Montanari, Paolo Bellavista, and Mauro Conti. A survey on decentralized identifiers and verifiable credentials. IEEE Communications Surveys &amp; Tutorials, 2025.</w:t>
      </w:r>
    </w:p>
    <w:p>
      <w:pPr>
        <w:spacing w:after="100" w:before="40"/>
        <w:ind w:left="240"/>
      </w:pPr>
      <w:r>
        <w:rPr>
          <w:rFonts w:ascii="Cambria" w:cs="Cambria" w:eastAsia="Cambria" w:hAnsi="Cambria"/>
          <w:b/>
          <w:bCs/>
          <w:sz w:val="19"/>
          <w:szCs w:val="19"/>
          <w:highlight w:val="green"/>
        </w:rPr>
        <w:t xml:space="preserve">✔ REF/SLR REVIEW: Reference [20]: incomplete entry - no volume, issue, or page numbers, only the year.</w:t>
      </w:r>
    </w:p>
    <w:p>
      <w:pPr>
        <w:spacing w:after="140" w:line="300"/>
        <w:jc w:val="both"/>
      </w:pPr>
      <w:r>
        <w:rPr>
          <w:rFonts w:ascii="Cambria" w:cs="Cambria" w:eastAsia="Cambria" w:hAnsi="Cambria"/>
          <w:sz w:val="24"/>
          <w:szCs w:val="24"/>
          <w:highlight w:val="green"/>
        </w:rPr>
        <w:t xml:space="preserve">[21] Andrei McCall. Privacy-preserving interoperability in healthcare data ecosystems: balancing data sharing with individual autonomy. IEEE J. Biomed. Health Inform, 28(3):1234–1245, 2024.</w:t>
      </w:r>
    </w:p>
    <w:p>
      <w:pPr>
        <w:spacing w:after="100" w:before="40"/>
        <w:ind w:left="240"/>
      </w:pPr>
      <w:r>
        <w:rPr>
          <w:rFonts w:ascii="Cambria" w:cs="Cambria" w:eastAsia="Cambria" w:hAnsi="Cambria"/>
          <w:b/>
          <w:bCs/>
          <w:sz w:val="19"/>
          <w:szCs w:val="19"/>
          <w:highlight w:val="green"/>
        </w:rPr>
        <w:t xml:space="preserve">✔ REF/SLR REVIEW: Reference [21]: journal name abbreviated ('IEEE J. Biomed. Health Inform') and missing final period, inconsistent with the full journal names used in every other entry.</w:t>
      </w:r>
    </w:p>
    <w:p>
      <w:pPr>
        <w:spacing w:after="140" w:line="300"/>
        <w:jc w:val="both"/>
      </w:pPr>
      <w:r>
        <w:rPr>
          <w:rFonts w:ascii="Cambria" w:cs="Cambria" w:eastAsia="Cambria" w:hAnsi="Cambria"/>
          <w:sz w:val="24"/>
          <w:szCs w:val="24"/>
          <w:highlight w:val="green"/>
        </w:rPr>
        <w:t xml:space="preserve">[22] Roy McClelland and Colin M Harper. Information privacy in healthcare—the vital role of informed consent. European journal of health law, 30(4):469–480, 2022.</w:t>
      </w:r>
    </w:p>
    <w:p>
      <w:pPr>
        <w:spacing w:after="100" w:before="40"/>
        <w:ind w:left="240"/>
      </w:pPr>
      <w:r>
        <w:rPr>
          <w:rFonts w:ascii="Cambria" w:cs="Cambria" w:eastAsia="Cambria" w:hAnsi="Cambria"/>
          <w:b/>
          <w:bCs/>
          <w:sz w:val="19"/>
          <w:szCs w:val="19"/>
          <w:highlight w:val="green"/>
        </w:rPr>
        <w:t xml:space="preserve">✔ REF/SLR REVIEW: Reference [22]: journal name in lowercase ('European journal of health law' should be 'European Journal of Health Law').</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highlight w:val="green"/>
        </w:rPr>
        <w:t xml:space="preserve">[24] Minal R Narkhede, Nilesh I Wankhede, and Akanksha M Kamble. Enhancing patient autonomy in data ownership: privacy models and consent frameworks for healthcare. Journal of Digital Health, pages 1–23, 2025.</w:t>
      </w:r>
    </w:p>
    <w:p>
      <w:pPr>
        <w:spacing w:after="100" w:before="40"/>
        <w:ind w:left="240"/>
      </w:pPr>
      <w:r>
        <w:rPr>
          <w:rFonts w:ascii="Cambria" w:cs="Cambria" w:eastAsia="Cambria" w:hAnsi="Cambria"/>
          <w:b/>
          <w:bCs/>
          <w:sz w:val="19"/>
          <w:szCs w:val="19"/>
          <w:highlight w:val="green"/>
        </w:rPr>
        <w:t xml:space="preserve">✔ REF/SLR REVIEW: Reference [24]: incomplete entry - page range given but no volume or issue number.</w:t>
      </w:r>
    </w:p>
    <w:p>
      <w:pPr>
        <w:spacing w:after="140" w:line="300"/>
        <w:jc w:val="both"/>
      </w:pPr>
      <w:r>
        <w:rPr>
          <w:rFonts w:ascii="Cambria" w:cs="Cambria" w:eastAsia="Cambria" w:hAnsi="Cambria"/>
          <w:sz w:val="24"/>
          <w:szCs w:val="24"/>
          <w:highlight w:val="green"/>
        </w:rPr>
        <w:t xml:space="preserve">[25] Aleena Nazir, Mubashir Husain Rehmani, Bernard Butler, and Donna O’Shea. Access control in healthcare iot: A comprehensive survey. Engineering Reports, 8(4):e70766, 2026.</w:t>
      </w:r>
    </w:p>
    <w:p>
      <w:pPr>
        <w:spacing w:after="100" w:before="40"/>
        <w:ind w:left="240"/>
      </w:pPr>
      <w:r>
        <w:rPr>
          <w:rFonts w:ascii="Cambria" w:cs="Cambria" w:eastAsia="Cambria" w:hAnsi="Cambria"/>
          <w:b/>
          <w:bCs/>
          <w:sz w:val="19"/>
          <w:szCs w:val="19"/>
          <w:highlight w:val="green"/>
        </w:rPr>
        <w:t xml:space="preserve">✔ REF/SLR REVIEW: Reference [25]: acronym 'IoT' in lowercase in the title ('healthcare iot').</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highlight w:val="green"/>
        </w:rPr>
        <w:t xml:space="preserve">[31] Emily C Webber, David Brick, James P Scibilia, Peter Dehnel, Council on Clinical Information Technology, et al. Electronic communication of the health record and information with pediatric patients and their guardians. 2022.</w:t>
      </w:r>
    </w:p>
    <w:p>
      <w:pPr>
        <w:spacing w:after="100" w:before="40"/>
        <w:ind w:left="240"/>
      </w:pPr>
      <w:r>
        <w:rPr>
          <w:rFonts w:ascii="Cambria" w:cs="Cambria" w:eastAsia="Cambria" w:hAnsi="Cambria"/>
          <w:b/>
          <w:bCs/>
          <w:sz w:val="19"/>
          <w:szCs w:val="19"/>
          <w:highlight w:val="green"/>
        </w:rPr>
        <w:t xml:space="preserve">✔ REF/SLR REVIEW: Reference [31]: missing venue entirely - no journal, volume, or pages, only the year (the article appeared in Pediatrics).</w:t>
      </w:r>
    </w:p>
    <w:p>
      <w:pPr>
        <w:spacing w:after="140" w:line="300"/>
        <w:jc w:val="both"/>
      </w:pPr>
      <w:r>
        <w:rPr>
          <w:rFonts w:ascii="Cambria" w:cs="Cambria" w:eastAsia="Cambria" w:hAnsi="Cambria"/>
          <w:sz w:val="24"/>
          <w:szCs w:val="24"/>
          <w:highlight w:val="green"/>
        </w:rPr>
        <w:t xml:space="preserve">[32] Hongjian Yin, Yiming Zhao, Lei Zhang, Baojun Qiao, Wenbo Chen, and Huaqing Wang. Attribute-based searchable encryption with decentralized key management for healthcare data sharing. Journal of systems architecture, 148:103081, 2024.</w:t>
      </w:r>
    </w:p>
    <w:p>
      <w:pPr>
        <w:spacing w:after="100" w:before="40"/>
        <w:ind w:left="240"/>
      </w:pPr>
      <w:r>
        <w:rPr>
          <w:rFonts w:ascii="Cambria" w:cs="Cambria" w:eastAsia="Cambria" w:hAnsi="Cambria"/>
          <w:b/>
          <w:bCs/>
          <w:sz w:val="19"/>
          <w:szCs w:val="19"/>
          <w:highlight w:val="green"/>
        </w:rPr>
        <w:t xml:space="preserve">✔ REF/SLR REVIEW: Reference [32]: journal name in lowercase ('Journal of systems architecture' should be 'Journal of Systems Architecture').</w:t>
      </w:r>
    </w:p>
    <w:p>
      <w:pPr>
        <w:spacing w:after="140" w:line="300"/>
        <w:jc w:val="both"/>
      </w:pPr>
      <w:r>
        <w:rPr>
          <w:rFonts w:ascii="Cambria" w:cs="Cambria" w:eastAsia="Cambria" w:hAnsi="Cambria"/>
          <w:sz w:val="24"/>
          <w:szCs w:val="24"/>
          <w:highlight w:val="green"/>
        </w:rPr>
        <w:t xml:space="preserve">[33] Jie Yin, Yang Xiao, Qian Chen, Xuefeng Liu, Qingqi Pei, Jianying Zhou, et al. Dp-did: A dynamic and proactive decentralized identity system. IEEE Transactions on Information Forensics and Security, pages 4999–5014, 2025.</w:t>
      </w:r>
    </w:p>
    <w:p>
      <w:pPr>
        <w:spacing w:after="100" w:before="40"/>
        <w:ind w:left="240"/>
      </w:pPr>
      <w:r>
        <w:rPr>
          <w:rFonts w:ascii="Cambria" w:cs="Cambria" w:eastAsia="Cambria" w:hAnsi="Cambria"/>
          <w:b/>
          <w:bCs/>
          <w:sz w:val="19"/>
          <w:szCs w:val="19"/>
          <w:highlight w:val="green"/>
        </w:rPr>
        <w:t xml:space="preserve">✔ REF/SLR REVIEW: Reference [33]: incomplete entry - page range given but no volume number for IEEE Transactions on Information Forensics and Security.</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2026-09-24T22:00:22.285Z</dcterms:created>
  <dcterms:modified xsi:type="dcterms:W3CDTF">2026-09-24T22:00:22.286Z</dcterms:modified>
</cp:coreProperties>
</file>

<file path=docProps/custom.xml><?xml version="1.0" encoding="utf-8"?>
<Properties xmlns="http://schemas.openxmlformats.org/officeDocument/2006/custom-properties" xmlns:vt="http://schemas.openxmlformats.org/officeDocument/2006/docPropsVTypes"/>
</file>