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Authorization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13</w:t>
      </w:r>
    </w:p>
    <w:p>
      <w:pPr>
        <w:tabs>
          <w:tab w:val="right" w:pos="9128" w:leader="dot"/>
        </w:tabs>
        <w:spacing w:after="100"/>
      </w:pPr>
      <w:r>
        <w:rPr>
          <w:rFonts w:ascii="Times New Roman" w:cs="Times New Roman" w:eastAsia="Times New Roman" w:hAnsi="Times New Roman"/>
          <w:sz w:val="22"/>
          <w:szCs w:val="22"/>
        </w:rPr>
        <w:t xml:space="preserve">4. Research Objectives	16</w:t>
      </w:r>
    </w:p>
    <w:p>
      <w:pPr>
        <w:tabs>
          <w:tab w:val="right" w:pos="9128" w:leader="dot"/>
        </w:tabs>
        <w:spacing w:after="100"/>
      </w:pPr>
      <w:r>
        <w:rPr>
          <w:rFonts w:ascii="Times New Roman" w:cs="Times New Roman" w:eastAsia="Times New Roman" w:hAnsi="Times New Roman"/>
          <w:sz w:val="22"/>
          <w:szCs w:val="22"/>
        </w:rPr>
        <w:t xml:space="preserve">5. Research Architecture: MVC	18</w:t>
      </w:r>
    </w:p>
    <w:p>
      <w:pPr>
        <w:tabs>
          <w:tab w:val="right" w:pos="9128" w:leader="dot"/>
        </w:tabs>
        <w:spacing w:after="100"/>
      </w:pPr>
      <w:r>
        <w:rPr>
          <w:rFonts w:ascii="Times New Roman" w:cs="Times New Roman" w:eastAsia="Times New Roman" w:hAnsi="Times New Roman"/>
          <w:sz w:val="22"/>
          <w:szCs w:val="22"/>
        </w:rPr>
        <w:t xml:space="preserve">6. The Proposed Solution for RO1	24</w:t>
      </w:r>
    </w:p>
    <w:p>
      <w:pPr>
        <w:tabs>
          <w:tab w:val="right" w:pos="9128" w:leader="dot"/>
        </w:tabs>
        <w:spacing w:after="100"/>
      </w:pPr>
      <w:r>
        <w:rPr>
          <w:rFonts w:ascii="Times New Roman" w:cs="Times New Roman" w:eastAsia="Times New Roman" w:hAnsi="Times New Roman"/>
          <w:sz w:val="22"/>
          <w:szCs w:val="22"/>
        </w:rPr>
        <w:t xml:space="preserve">7. The Proposed Solution for RO2	28</w:t>
      </w:r>
    </w:p>
    <w:p>
      <w:pPr>
        <w:tabs>
          <w:tab w:val="right" w:pos="9128" w:leader="dot"/>
        </w:tabs>
        <w:spacing w:after="100"/>
      </w:pPr>
      <w:r>
        <w:rPr>
          <w:rFonts w:ascii="Times New Roman" w:cs="Times New Roman" w:eastAsia="Times New Roman" w:hAnsi="Times New Roman"/>
          <w:sz w:val="22"/>
          <w:szCs w:val="22"/>
        </w:rPr>
        <w:t xml:space="preserve">8. The Proposed Solution for RO3	31</w:t>
      </w:r>
    </w:p>
    <w:p>
      <w:pPr>
        <w:tabs>
          <w:tab w:val="right" w:pos="9128" w:leader="dot"/>
        </w:tabs>
        <w:spacing w:after="100"/>
      </w:pPr>
      <w:r>
        <w:rPr>
          <w:rFonts w:ascii="Times New Roman" w:cs="Times New Roman" w:eastAsia="Times New Roman" w:hAnsi="Times New Roman"/>
          <w:sz w:val="22"/>
          <w:szCs w:val="22"/>
        </w:rPr>
        <w:t xml:space="preserve">9. The Proposed Solution for RO4	36</w:t>
      </w:r>
    </w:p>
    <w:p>
      <w:pPr>
        <w:tabs>
          <w:tab w:val="right" w:pos="9128" w:leader="dot"/>
        </w:tabs>
        <w:spacing w:after="100"/>
      </w:pPr>
      <w:r>
        <w:rPr>
          <w:rFonts w:ascii="Times New Roman" w:cs="Times New Roman" w:eastAsia="Times New Roman" w:hAnsi="Times New Roman"/>
          <w:sz w:val="22"/>
          <w:szCs w:val="22"/>
        </w:rPr>
        <w:t xml:space="preserve">10. The Proposed Solution for RO5	40</w:t>
      </w:r>
    </w:p>
    <w:p>
      <w:pPr>
        <w:tabs>
          <w:tab w:val="right" w:pos="9128" w:leader="dot"/>
        </w:tabs>
        <w:spacing w:after="100"/>
      </w:pPr>
      <w:r>
        <w:rPr>
          <w:rFonts w:ascii="Times New Roman" w:cs="Times New Roman" w:eastAsia="Times New Roman" w:hAnsi="Times New Roman"/>
          <w:sz w:val="22"/>
          <w:szCs w:val="22"/>
        </w:rPr>
        <w:t xml:space="preserve">11. The Proposed Solution for RO6	43</w:t>
      </w:r>
    </w:p>
    <w:p>
      <w:pPr>
        <w:tabs>
          <w:tab w:val="right" w:pos="9128" w:leader="dot"/>
        </w:tabs>
        <w:spacing w:after="100"/>
      </w:pPr>
      <w:r>
        <w:rPr>
          <w:rFonts w:ascii="Times New Roman" w:cs="Times New Roman" w:eastAsia="Times New Roman" w:hAnsi="Times New Roman"/>
          <w:sz w:val="22"/>
          <w:szCs w:val="22"/>
        </w:rPr>
        <w:t xml:space="preserve">12. Publications Summary	56</w:t>
      </w:r>
    </w:p>
    <w:p>
      <w:pPr>
        <w:tabs>
          <w:tab w:val="right" w:pos="9128" w:leader="dot"/>
        </w:tabs>
        <w:spacing w:after="100"/>
      </w:pPr>
      <w:r>
        <w:rPr>
          <w:rFonts w:ascii="Times New Roman" w:cs="Times New Roman" w:eastAsia="Times New Roman" w:hAnsi="Times New Roman"/>
          <w:sz w:val="22"/>
          <w:szCs w:val="22"/>
        </w:rPr>
        <w:t xml:space="preserve">13. Research Plan	57</w:t>
      </w:r>
    </w:p>
    <w:p>
      <w:pPr>
        <w:tabs>
          <w:tab w:val="right" w:pos="9128" w:leader="dot"/>
        </w:tabs>
        <w:spacing w:after="100"/>
      </w:pPr>
      <w:r>
        <w:rPr>
          <w:rFonts w:ascii="Times New Roman" w:cs="Times New Roman" w:eastAsia="Times New Roman" w:hAnsi="Times New Roman"/>
          <w:sz w:val="22"/>
          <w:szCs w:val="22"/>
        </w:rPr>
        <w:t xml:space="preserve">References	59</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Research Context</w:t>
      </w:r>
    </w:p>
    <w:p>
      <w:pPr>
        <w:spacing w:after="110" w:line="264"/>
        <w:jc w:val="both"/>
      </w:pPr>
      <w:r>
        <w:rPr>
          <w:rFonts w:ascii="Times New Roman" w:cs="Times New Roman" w:eastAsia="Times New Roman" w:hAnsi="Times New Roman"/>
          <w:sz w:val="22"/>
          <w:szCs w:val="22"/>
        </w:rPr>
        <w:t xml:space="preserve">The digitalisation of society has created an increasing demand for secure and trustworthy data sharing across organisational boundaries. Modern digital ecosystems involve multiple independent stakeholders, including individuals, healthcare providers, regulatory authorities, researchers, and third-party data processors [1–3].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 Healthcare represents a particularly important and challenging example of this broader problem. The increasing digitisation of healthcare information enables patients, healthcare professionals, guardians, researchers, and healthcare organisations to participate in data-sharing processes [4, 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[6–9].</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[9, 10].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[4, 11]. These scenarios demonstrate that authorisation is increasingly a distributed governance problem rather than simply a process of authenticating a user and checking a static permission [12].</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[3, 13–15], while decentralised identifiers can support the identification of participants without relying exclusively on a central identity provider. Verifiable credentials can provide cryptographically verifiable evidence concerning roles or authority [16, 17], and policy-based access-control mechanisms can restrict access to authorised resources [9, 10, 18]. However, an immutable record does not necessarily demonstrate that the participating entities were legitimate, that they possessed the required authority, or that a subsequent data-access request remains consistent with the conditions originally authorised. This requires a transition from viewing consent as a static record of permission towards understanding consent as an active and evaluable component of a broader authorisation process, extending the dynamic consent perspective [6, 19].</w:t>
      </w:r>
    </w:p>
    <w:p>
      <w:pPr>
        <w:pStyle w:val="Heading2"/>
        <w:keepNext/>
        <w:spacing w:after="120" w:before="240"/>
      </w:pPr>
      <w:r>
        <w:rPr>
          <w:rFonts w:ascii="Times New Roman" w:cs="Times New Roman" w:eastAsia="Times New Roman" w:hAnsi="Times New Roman"/>
          <w:b/>
          <w:bCs/>
          <w:sz w:val="26"/>
          <w:szCs w:val="26"/>
        </w:rPr>
        <w:t xml:space="preserve">1.2  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[19, 20].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Section 2 shows that existing approaches provide important technological components, including decentralised identity and verifiable credentials [21, 22], blockchain-based records [23, 24], multi-party approval mechanisms [23, 25–27], and policy-based access control [28–31], as well as several partial combinations [21, 25, 32].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p>
    <w:p>
      <w:pPr>
        <w:pStyle w:val="Heading2"/>
        <w:keepNext/>
        <w:spacing w:after="120" w:before="240"/>
      </w:pPr>
      <w:r>
        <w:rPr>
          <w:rFonts w:ascii="Times New Roman" w:cs="Times New Roman" w:eastAsia="Times New Roman" w:hAnsi="Times New Roman"/>
          <w:b/>
          <w:bCs/>
          <w:sz w:val="26"/>
          <w:szCs w:val="26"/>
        </w:rPr>
        <w:t xml:space="preserve">1.3  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[33, 34].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[35]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denotes work delivered at the CA2 milestone, while temporal and lifecycle trust, formal security assurance, and comprehensive empirical validation will be developed further in CA3.</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 Healthcare research has emphasised the importance of patient autonomy, privacy, informed consent, and controlled data sharing [4, 6–8, 36]. Multi-party trust research has investigated immutable data governance, distributed auditability, and decentralised consent management [3, 18, 37–39]. Research on decentralised identity and verifiable credentials has developed mechanisms for self-controlled identity representation, credential verification, selective disclosure, and privacy-preserving authentication [16, 17, 40–43]. Access-control research has further investigated role-based, attribute-based, risk-aware, and usage-control approaches for protecting sensitive healthcare information [9, 10, 44, 45]. 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w:t>
      </w:r>
    </w:p>
    <w:p>
      <w:pPr>
        <w:pStyle w:val="Heading2"/>
        <w:keepNext/>
        <w:spacing w:after="120" w:before="240"/>
      </w:pPr>
      <w:r>
        <w:rPr>
          <w:rFonts w:ascii="Times New Roman" w:cs="Times New Roman" w:eastAsia="Times New Roman" w:hAnsi="Times New Roman"/>
          <w:b/>
          <w:bCs/>
          <w:sz w:val="26"/>
          <w:szCs w:val="26"/>
        </w:rPr>
        <w:t xml:space="preserve">2.1  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Identity (DID)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Every request should be evaluated against contextual constraints such as jurisdiction, because many unauthorised disclosures are caused by legitimate requesters who exceed their scope [45].</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[46].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Six review roles covered five perspectives and a chair who decided each record, and all counts are those of the decision-log checkpoint of 10 September 2026 (decision D-166). This systematic literature review (SLR) is guided by seven review questions. Questions 1 to 5 correspond to Req 1 to Req 5, and Questions 6 and 7 together to Req 6. These questions were formulated to ensure that the review remained directly aligned with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sz w:val="22"/>
          <w:szCs w:val="22"/>
        </w:rPr>
        <w:t xml:space="preserve">The searches ran on 24 and 25 August 2026, and the ACM Digital Library on 5 September 2026 as a late arm, a declared limitation. A sentinel test of twelve predefined papers checked the recall of the master query, and all four healthcare-scoped sentinels [23, 24, 47, 48]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The inclusion and exclusion criteria were applied consistently throughout the screening process.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1,800 records advanced to full text and were read in a prioritised order under a dimension-level saturation rule. Records that were clearly unrelated to the review scope were excluded at that stage. Saturation is declared when eight consecutively coded studies with a positive signal for a dimension yield no new mechanism class. At the checkpoint, 44 reports had been fully coded and passed the quality gate, whereas 1,735 of the 1,800 records had not been assessed, so corpus completeness is bounded by the saturation rule rather than by exhaustive reading.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Under decision D-166, a study is core if its gap-impact verdict is contradicts, weakens, or narrows, or if its T3 coding is Yes or Partial, which gives 23 core studies of the 44. With the two supporting studies of highest quality score 7.0 [48, 49], they form the 25 primary studies, S1 to S25.</w:t>
      </w:r>
    </w:p>
    <w:p>
      <w:pPr>
        <w:keepNext/>
        <w:spacing w:after="60" w:before="160"/>
        <w:jc w:val="center"/>
      </w:pPr>
      <w:r>
        <w:drawing>
          <wp:inline distT="0" distB="0" distL="0" distR="0">
            <wp:extent cx="460057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005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p>
    <w:p>
      <w:pPr>
        <w:pStyle w:val="Heading2"/>
        <w:keepNext/>
        <w:spacing w:after="120" w:before="240"/>
      </w:pPr>
      <w:r>
        <w:rPr>
          <w:rFonts w:ascii="Times New Roman" w:cs="Times New Roman" w:eastAsia="Times New Roman" w:hAnsi="Times New Roman"/>
          <w:b/>
          <w:bCs/>
          <w:sz w:val="26"/>
          <w:szCs w:val="26"/>
        </w:rPr>
        <w:t xml:space="preserve">2.3  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Each included study was assigned to the stream on which it is coded most strongly.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Both studies of this stream are deployed platforms graded Partial. Soohoo et al. [50] describe the iAgree portal across three United States health systems with a permissioned Ethereum audit contract, but consent enforcement is outside its scope. Tremper et al. [51] report ten years of the Mainzelliste service with FHIR consent directives, but specify no check semantics and no demonstrated enforcement of withdrawal. Both are single-party systems. The supporting references represent consent as a permission indicating whether a particular party is allowed to perform a specified operation [52, 53], or as conditions fixed at encryption time [54, 55]. The existence of a consent record does not necessarily explain whether the conditions required for a subsequent access request are still satisfied.</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T2 was graded Yes in only 10 of the 25 studies and Partial in 15. Phuyal et al. [21]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the strongest Req 2 evidence in the corpus. However, a single patient grants consent, the stored expiry is not checked, there is no threat model, and the companion architecture [56] is design-only. Tseng et al. [57]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[23] require a regulator and a guardian threshold on the incapacitated path, but a single patient key suffices on the normal path. Wu et al. [58] apply a (t, n) investigator threshold to record admission and revocation, and Abbasi et al. [59] use a Shamir (5, 3) threshold for key custody. Punia et al. [25] conjoin an M-of-N multi-signature with an attribute and role policy, but a single emergency officer can bypass the threshold. Tan et al. [26] use patient-appointed verifiers as a contingency, and [27, 60] report guardian co-consent at registration time. No reviewed study evaluates a threshold predicate over a patient-designated guardian set on every request, and none does so together with the policy, temporal, and jurisdictional conditions. This represents an important area addressed by the proposed framework.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Access control becomes more complex when policies must be connected directly to a decentralised consent process. Tith et al. [24] match a purpose tree in chaincode, and Jaiman and Urovi [47] match ontology terms against the patient's consent. Albalwy et al. [48] evaluate a hashed policy tree of data type, role, and purpose, and Román-Martínez et al. [30] evaluate the FHIR purpose-of-use through XACML. T4 is coded Yes in 11 studies, Partial in 10, and No in 4. However, purpose-of-use enters the decision in only six studies [24, 28–30, 47, 48],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[28] present EdgeConsent, the first study to enforce temporal validity inside the decision predicate, although its lifecycle is only an active flag. Temporal validity must also be evaluated together with the lifecycle state of the consent. Hema et al. [61] bind the expiry into key derivation, and Panagoulias et al. [29] enforce revocation at decision time across 43,500 simulated attempts in a single-node ledger. Li et al. [49] enforce time on a credential rather than on the consent. T5 is coded Yes in 8 studies and T6 in 7, a post-revocation denial is demonstrated only by [21], [29], and [28], and the three stream-5 systems that enforce time inside the decision are all single-party.</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[22] present HealthDID, with three game-based definitions and three theorems proved by reduction, the first complete formal assurance in the corpus, although only for the identity and authority fragment. Zhao and Su [62] and Maruthi and Singh [63] prove threshold gates in isolation, and Mei et al. [64] prove a static encryption predicate. Formal assurance is coded Yes in only 4 of the 25 studies, and empirical validation Yes in 5, Partial in 19, and No in 1. The panel records an inverse relation between predicate breadth and assurance strength. No study executes adversarial scenarios that examine whether security controls can resist deliberate attempts to circumvent the authorisation process.</w:t>
      </w:r>
    </w:p>
    <w:p>
      <w:pPr>
        <w:pStyle w:val="Heading2"/>
        <w:keepNext/>
        <w:spacing w:after="120" w:before="240"/>
      </w:pPr>
      <w:r>
        <w:rPr>
          <w:rFonts w:ascii="Times New Roman" w:cs="Times New Roman" w:eastAsia="Times New Roman" w:hAnsi="Times New Roman"/>
          <w:b/>
          <w:bCs/>
          <w:sz w:val="26"/>
          <w:szCs w:val="26"/>
        </w:rPr>
        <w:t xml:space="preserve">2.4  Comparative Analysis of Existing Approaches</w:t>
      </w:r>
    </w:p>
    <w:p>
      <w:pPr>
        <w:spacing w:after="110" w:line="264"/>
        <w:jc w:val="both"/>
      </w:pPr>
      <w:r>
        <w:rPr>
          <w:rFonts w:ascii="Times New Roman" w:cs="Times New Roman" w:eastAsia="Times New Roman" w:hAnsi="Times New Roman"/>
          <w:sz w:val="22"/>
          <w:szCs w:val="22"/>
        </w:rPr>
        <w:t xml:space="preserve">The reviewed literature demonstrates that existing approaches provide strong solutions for individual dimensions of trustworthy data sharing. These contributions address different layers of the security problem. No individual mechanism can independently establish that a healthcare data-access decision is trustworthy. The systems that enforce purpose and time are authored by a single patient and lack a formal argument. The multi-party systems carry no purpose or data-scope condition, whereas the proved schemes omit policy, temporal validity, and lifecycle. Table 1 summarises the 25 studies against the six requirements, where Yes denotes satisfied, Partial partially satisfied, and No not satisfied. For the proposed framework, Yes denotes a requirement that is addressed and validated at the current stage, and Partial denotes a requirement that is partially completed and will be completed in CA3.</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sz w:val="18"/>
          <w:szCs w:val="18"/>
        </w:rPr>
        <w:t xml:space="preserve">Comparison of the included studies and the proposed framework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 [59]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 [48]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S3 [65]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S4 [27]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S5 [28]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S6 [60]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S7 [47]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S8 [62]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S9 [49]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S10 [23]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S11 [63]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S12 [64]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S13 [29]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S14 [21]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S15 [56]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S16 [25]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S17 [30]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S18 [61]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S19 [50] Soohoo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S20 [26]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S21 [24]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S22 [51]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S23 [57]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S24 [58] Wu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S25 [22]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Proposed framework (HALAH)</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[23] and [29], and five studies fully satisfy none. Third, Req 1 with Req 4 is the most frequent pair, in seven studies, whereas Req 2 and Req 4 never co-occur in full. Req 3 co-occurs with Req 4 only in [25], whose threshold lies outside the policy predicate and whose policy carries no purpose term. Similarly, Req 3 co-occurs with Req 6 only in [62, 63]. Fourth, the two quadruples are complementary, since [23] lacks policy and assurance, whereas [29] lacks multi-party approval and identity depth.</w:t>
      </w:r>
    </w:p>
    <w:p>
      <w:pPr>
        <w:spacing w:after="110" w:line="264"/>
        <w:jc w:val="both"/>
      </w:pPr>
      <w:r>
        <w:rPr>
          <w:rFonts w:ascii="Times New Roman" w:cs="Times New Roman" w:eastAsia="Times New Roman" w:hAnsi="Times New Roman"/>
          <w:sz w:val="22"/>
          <w:szCs w:val="22"/>
        </w:rPr>
        <w:t xml:space="preserve">The comparison indicates that the principal contribution of the proposed research is not the replacement of existing technologies. Rather, it lies in establishing an explicit conceptual relationship among them. The consent object C carries the identity, authority, threshold, policy, temporal, and lifecycle conditions together, so that their relationship is verifiable. The final row of Table 1 positions the proposed framework relative to the existing literature. The conjunction is formally specified and validated through allow-and-deny test cases and attack cases, whereas its formal verification and the remaining lifecycle extensions of RQ5 are reserved for CA3 (Sections 10 and 11).</w:t>
      </w:r>
    </w:p>
    <w:p>
      <w:pPr>
        <w:pStyle w:val="Heading2"/>
        <w:keepNext/>
        <w:spacing w:after="120" w:before="240"/>
      </w:pPr>
      <w:r>
        <w:rPr>
          <w:rFonts w:ascii="Times New Roman" w:cs="Times New Roman" w:eastAsia="Times New Roman" w:hAnsi="Times New Roman"/>
          <w:b/>
          <w:bCs/>
          <w:sz w:val="26"/>
          <w:szCs w:val="26"/>
        </w:rPr>
        <w:t xml:space="preserve">2.5  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while for Req 6, formal assurance is provided by 4 studies, argued informally by 9, and absent in 12. These proportions match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sz w:val="22"/>
          <w:szCs w:val="22"/>
        </w:rPr>
        <w:t xml:space="preserve">The review corrects one framing. Read on their own, the background surveys cited in Sections 1 and 2 suggest that multi-party authorisation of patient consent does not exist, although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Existing literature provides useful foundations for collaborative governance and multi-party verification.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38450"/>
            <wp:effectExtent t="0" r="0" b="0" l="0"/>
            <wp:docPr id="1" name="F5.png" descr="Synthesis of the review: the conjunction gap and the assurance gap addressed by the proposed framework, with the number of the 25 analysed studies graded Yes for each requirement in Table 1" title="Synthesis of the review: the conjunction gap and the assurance gap addressed by the proposed framework, with the number of the 25 analysed studies graded Yes for each requirement in Tabl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384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graded Yes for each requirement in Table 1.</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The saturation rule and a single coding panel mean that a small number of relevant studies may have been missed. The consistency between the coding of the included studies and the signal prevalence of the wider pool limits, but does not remove, this risk.</w:t>
      </w: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Research Gap</w:t>
      </w:r>
    </w:p>
    <w:p>
      <w:pPr>
        <w:spacing w:after="110" w:line="264"/>
        <w:jc w:val="both"/>
      </w:pPr>
      <w:r>
        <w:rPr>
          <w:rFonts w:ascii="Times New Roman" w:cs="Times New Roman" w:eastAsia="Times New Roman" w:hAnsi="Times New Roman"/>
          <w:sz w:val="22"/>
          <w:szCs w:val="22"/>
        </w:rPr>
        <w:t xml:space="preserve">The systematic literature review indicates that substantial research has been conducted on individual mechanisms for securing healthcare data sharing. However, the literature also reveals a significant conceptual and architectural fragmentation among these mechanisms. They are commonly investigated as independent technical solutions rather than as coordinated components of a unified trust-oriented authorisation model. The few studies that coordinate several of them in one decision [21, 25, 29, 32, 66] do not make multi-party approval a standing condition of that decision, and they do not assure the conjunction formally or empirically.</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Existing consent-oriented approaches tend to treat consent primarily as a record of a patient’s permission [52, 53, 67]. Once the permission has been created and stored, subsequent access control may depend predominantly on the existence of the consent record and the successful authentication of the requester. Even the evaluable consent objects reported since 2020 [21, 24, 28, 48, 66]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represent fundamentally different security problems. A blockchain may provide an immutable representation of a consent event [10, 18], but immutability does not establish the legitimacy of the entities involved in that event. Similarly, a valid decentralised identity can establish who a participant is [16],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multi-party approval is never conjoined with a purpose or data-scope condition [23, 25, 26]. Consequently, trust cannot be attributed to any individual mechanism in isolation. From a Trust Computing perspective, trustworthy access should be understood as an outcome of the coordinated satisfaction of multiple independently verifiable conditions. The research therefore conceptualises trust not as a static attribute possessed by a particular entity or technology, but as an emergent property of a verifiable authorisation process.</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[25, 58, 62], or appointed by the patient [26, 63]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1 (consent representation).</w:t>
      </w:r>
      <w:r>
        <w:rPr>
          <w:rFonts w:ascii="Times New Roman" w:cs="Times New Roman" w:eastAsia="Times New Roman" w:hAnsi="Times New Roman"/>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and authority is rarely verified separately from authentication.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3 (multi-party authorisation).</w:t>
      </w:r>
      <w:r>
        <w:rPr>
          <w:rFonts w:ascii="Times New Roman" w:cs="Times New Roman" w:eastAsia="Times New Roman" w:hAnsi="Times New Roman"/>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4 (policy and context).</w:t>
      </w:r>
      <w:r>
        <w:rPr>
          <w:rFonts w:ascii="Times New Roman" w:cs="Times New Roman" w:eastAsia="Times New Roman" w:hAnsi="Times New Roman"/>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5 (temporal and lifecycle trust).</w:t>
      </w:r>
      <w:r>
        <w:rPr>
          <w:rFonts w:ascii="Times New Roman" w:cs="Times New Roman" w:eastAsia="Times New Roman" w:hAnsi="Times New Roman"/>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6 (security assurance).</w:t>
      </w:r>
      <w:r>
        <w:rPr>
          <w:rFonts w:ascii="Times New Roman" w:cs="Times New Roman" w:eastAsia="Times New Roman" w:hAnsi="Times New Roman"/>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Each guardian is checked to determine whether the individual or entity possesses the required authority to participate in consent-related decisions. The threshold N is the number of valid guardian approvals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The six questions collectively establish a progression from consent modelling to formal security assurance and empirical validation. For brevity, SRQ1 to SRQ6 are referred to as RQ1 to RQ6 in the remaining sections.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L is the jurisdictional constraint, and E also records whether the consent remains active or has been revoked.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while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In the prototype, an ALLOW decision additionally requires the Groth16 ZK proof to verify, so a request that satisfies the five predicates is still denied when the proof fails, as in attack A9 (Section 11.4).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research gap into concrete research and development activities. Each objective represents a research contribution that can be examined conceptually, technically, and, where appropriate, empirically.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objective is to establish not only that the prototype can execute valid consent workflows, but also that it behaves correctly when one or more trust conditions are violated.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This correspondence ensures that every research question is addressed by a clearly defined research activity and that each objective contributes to the overall development of the proposed trust-oriented authorisation framework. RO1 to RO4 are delivered in CA2,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must emerge from the coordinated evaluation of independently verifiable security conditions.</w:t>
      </w:r>
    </w:p>
    <w:p>
      <w:pPr>
        <w:pStyle w:val="Heading2"/>
        <w:keepNext/>
        <w:spacing w:after="120" w:before="240"/>
      </w:pPr>
      <w:r>
        <w:rPr>
          <w:rFonts w:ascii="Times New Roman" w:cs="Times New Roman" w:eastAsia="Times New Roman" w:hAnsi="Times New Roman"/>
          <w:b/>
          <w:bCs/>
          <w:sz w:val="26"/>
          <w:szCs w:val="26"/>
        </w:rPr>
        <w:t xml:space="preserve">5.1  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3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476625"/>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4766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R), determines whether the jurisdiction of the request satisfies the recorded jurisdictional constraint of the consent.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title="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[16]. Importantly, the framework explicitly separates identity authentication from authorisation. A successfully verified DID or VC does not, by itself, grant permission to access patient data. The framework then collects their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successfully verified approvals and let N denote the required authorisation threshold, as in Equation (3). Here, Token(C) ≠ ∅ means that C has been assigned a token identifier, and Revoked(C) = 0 means that the consent has not been revoked.</w:t>
      </w:r>
    </w:p>
    <w:p>
      <w:pPr>
        <w:keepNext/>
        <w:spacing w:after="60" w:before="160"/>
        <w:jc w:val="center"/>
      </w:pPr>
      <w:r>
        <w:drawing>
          <wp:inline distT="0" distB="0" distL="0" distR="0">
            <wp:extent cx="2638425"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384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sz w:val="22"/>
          <w:szCs w:val="22"/>
        </w:rPr>
        <w:t xml:space="preserve">Only independently verified participants can contribute to the authorisation evidence set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(4), where A</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denotes the set of approvals submitted for C. For a guardian approval, the authority in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(a</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is membership of G, and each member of G is counted once.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[23], a witness or notary threshold [26], a registration-time co-consent [27, 60], an institution-side admission gate [58], a custodial M-of-N signature [25], or a key-share reconstruction [59, 63].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1}.</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The flow continues through patient-initiated revocation and the corresponding on-chain revoke transaction, after which the auditor reviews the record and the verification tool performs an independent verification. If the required threshold is not satisfied, the authorisation process terminates with a denial decision.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requested purpose must be consistent with the purpose specified in the consent.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2.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evaluates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principal contribution of the proposed architecture is not the use of MVC itself, but the way in which MVC is employed to operationalise a trust-oriented authorisation model. This design transforms multi-party consent management from a conventional record-management problem into a distributed security-governance problem. The evaluable consent object as such is already present in the literature [21, 24, 28, 48]. The key innovation is that consent effectiveness depends on the joint satisfaction of identity, authority, collective approval, policy, temporal, and jurisdictional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[10, 18]. The detailed solutions for RQ1 to RQ6 are presented in Sections 6 to 11, and the formal assurance of the complete decision model remains for CA3.</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 T represents the temporal validity window, and L represents the jurisdiction in which the consent may be exercised.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419350"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4193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 The resulting object therefore captures not only the patient's preference but also the evidence required to support subsequent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 Unlike the consent objects reported in the literature [21, 24, 28, 48, 66],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If a guardian or proxy is specified, the system validates the guardian set G.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requested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This sequence ensures that consent is created only after the relevant identity, authority, purpose, scope, and temporal constraints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Validate guardian set G</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sz w:val="19"/>
          <w:szCs w:val="19"/>
        </w:rPr>
        <w:t xml:space="preserve">Validate purpose P</w:t>
      </w:r>
      <w:r>
        <w:rPr>
          <w:rFonts w:ascii="Times New Roman" w:cs="Times New Roman" w:eastAsia="Times New Roman" w:hAnsi="Times New Roman"/>
          <w:sz w:val="19"/>
          <w:szCs w:val="19"/>
          <w:vertAlign w:val="subscript"/>
        </w:rPr>
        <w:t xml:space="preserve">u</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Validate data scope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consent is placed in the PENDING_SIGNATURE state,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The main contribution of RO1 is the transformation of consent from a static permission record into a structured authorisation object. The current result demonstrates that consent can be represented as an evaluable authorisation object rather than as a binary permission.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[16]. Neither mechanism should automatically grant access to patient data. Instead, the verified identity and authority information become inputs to the subsequent authorisation process. The identity and authority verification condition can be expressed as Equation (7), where u is the requesting participant and Authority(u, C) establishes whether the verified authority matches the role required by the consent.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9,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itle="RO2 workflow for decentralised identity and authority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w:t>
      </w:r>
    </w:p>
    <w:p>
      <w:pPr>
        <w:pStyle w:val="Heading2"/>
        <w:keepNext/>
        <w:spacing w:after="120" w:before="240"/>
      </w:pPr>
      <w:r>
        <w:rPr>
          <w:rFonts w:ascii="Times New Roman" w:cs="Times New Roman" w:eastAsia="Times New Roman" w:hAnsi="Times New Roman"/>
          <w:b/>
          <w:bCs/>
          <w:sz w:val="26"/>
          <w:szCs w:val="26"/>
        </w:rPr>
        <w:t xml:space="preserve">7.3  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The purpose of this comparison is to ensure that possession of a valid identity or credential is not automatically interpreted as permission to access healthcare information. The system establishes the binding between the verified participant identity and the corresponding authority, thereby reducing the possibility of an unrelated credential being used to obtain access. Consequently, the procedure can be interpreted as a two-layer verification mechanism Identity(u) ∧ CredentialValidity(u)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2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authorisation participants and N represent the required approval threshold.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Decentralised identity systems with multi-party verification have demonstrated the potential to strengthen the process through which identity claims are established or validated [40, 41].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10, the Guardian workflow verifies the guardian VC,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300037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0003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2.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belongs to the required participant set G (u ∈ G).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included in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 threshold N =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is not in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 shown in the interface in the prototype</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approval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For example, where two approvals are required and the consent has not been revoked, Equation (12), whereas Equation (13).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non-empty and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(14)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Importantly, both successful and denied decisions should be recorded because a trustworthy authorisation framework requires accountability not only for data that were released but also for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requested purpose and data scope. The HALAH implementation provides a concrete basis for this objective. As shown in Figure 11, the Doctor interface retrieves a consent, evaluates its state, allows a requested scope to be selected from the consent scope, generates a proof, checks the requested scope, and invokes the authorisation function before returning data. Suppose that a consent permits access to the following healthcare data categories Equation (17), and a healthcare professional subsequently requests Equation (18).</w:t>
      </w:r>
    </w:p>
    <w:p>
      <w:pPr>
        <w:keepNext/>
        <w:spacing w:after="60" w:before="160"/>
        <w:jc w:val="center"/>
      </w:pPr>
      <w:r>
        <w:drawing>
          <wp:inline distT="0" distB="0" distL="0" distR="0">
            <wp:extent cx="2352675" cy="428625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3526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This step is particularly important for fine-grained healthcare data access because authorisation to access one category of healthcare information does not imply authorisation to access all categories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 If any mandatory condition fails during the evaluation process, the system records the corresponding denial evidence and returns DENY.</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record proof_mode = groth16</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Record granted decision</w:t>
      </w:r>
    </w:p>
    <w:p>
      <w:pPr>
        <w:keepNext w:val="false"/>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This ordering is important because it prevents the system from treating identity validity or collective approval as unrestricted permission.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temporal validity, and jurisdictional match.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generates and verifies the evidence supporting the access decision as a Groth16 zero-knowledge proof. The proof shows that the prover knows the secret and the expiry time behind a Poseidon commitment held in the application's consent record, and that the consent has not expired at time t. The proof mode is recorded with the decision in the audit ledger, and the proof constitutes the access evidence required by Algorithm 4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 The system verifies whether the multi-party authorisation requirement associated with consent object C has been satisfied, under the N-of-N approval rule described in Section 8.</w:t>
      </w:r>
    </w:p>
    <w:p>
      <w:pPr>
        <w:pStyle w:val="Heading2"/>
        <w:keepNext/>
        <w:spacing w:after="120" w:before="240"/>
      </w:pPr>
      <w:r>
        <w:rPr>
          <w:rFonts w:ascii="Times New Roman" w:cs="Times New Roman" w:eastAsia="Times New Roman" w:hAnsi="Times New Roman"/>
          <w:b/>
          <w:bCs/>
          <w:sz w:val="26"/>
          <w:szCs w:val="26"/>
        </w:rPr>
        <w:t xml:space="preserve">9.5  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The adversarial test set is particularly important because a framework should not only demonstrate that legitimate requests succeed, but also demonstrate resilience against foreseeable attempts to bypass its security controls.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Malformed identifiers, scopes, and jurisdictions therefore do not reach the decision logic.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was originally planned for CA3 because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Temporal and Jurisdictional Trust Conditions</w:t>
      </w:r>
    </w:p>
    <w:p>
      <w:pPr>
        <w:spacing w:after="110" w:line="264"/>
        <w:jc w:val="both"/>
      </w:pPr>
      <w:r>
        <w:rPr>
          <w:rFonts w:ascii="Times New Roman" w:cs="Times New Roman" w:eastAsia="Times New Roman" w:hAnsi="Times New Roman"/>
          <w:sz w:val="22"/>
          <w:szCs w:val="22"/>
        </w:rPr>
        <w:t xml:space="preserve">Trustworthy authorisation is inherently dynamic. A consent that is valid at one point in time cannot necessarily be assumed to remain valid indefinitely.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sz w:val="22"/>
          <w:szCs w:val="22"/>
        </w:rPr>
        <w:t xml:space="preserve">Equation (21) defines the jurisdictional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which compares the jurisdiction of request R with the consent jurisdiction L, where Jur(·) is the on-chain two-letter ISO code.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 The disjunct Jur(C) = ∅ is therefore not reached for any consent created through the current interface, and the predicate reduces to strict equality. As in Section 5.2, lifecycle state and revocation remain part of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 authorisation decision consequently requires both temporal and lifecycle validity. The extended authorisation decision is therefore given by Equation (22). A valid authorisation decision requires the simultaneous satisfaction of all relevant trust conditions. Consequently, failure of any individual condition results in denial. Temporal and lifecycle controls contribute dynamic validity.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Authorisation is not necessarily permanent. A consent that was valid when initially approved may subsequently become invalid due to expiration or revocation. This establishes that consent validity is not a static property. 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 Each evaluation derives the state from the distinct approvals of members of G, the token identifier, the revocation flag, and the current time. In particular, the system verifies that the consent has not expired, been revoked, or otherwise transitioned into an inactive state. The current state is used to determine whether the requested operation can legally and logically be performed.</w:t>
      </w:r>
    </w:p>
    <w:p>
      <w:pPr>
        <w:spacing w:after="110" w:line="264"/>
        <w:jc w:val="both"/>
      </w:pPr>
      <w:r>
        <w:rPr>
          <w:rFonts w:ascii="Times New Roman" w:cs="Times New Roman" w:eastAsia="Times New Roman" w:hAnsi="Times New Roman"/>
          <w:sz w:val="22"/>
          <w:szCs w:val="22"/>
        </w:rPr>
        <w:t xml:space="preserve">Figure 13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Rather than treating authorisation as a one-time event, this approach enables the system to determine whether authorisation remains valid at the precise time an operation is requested.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609725"/>
            <wp:effectExtent t="0" r="0" b="0" l="0"/>
            <wp:docPr id="1" name="F35.png" descr="Implemented consent lifecycle: solid transitions are recorded in the audit ledger, red transitions are anchored as Sepolia transactions and dashed transitions show revocation from any state that is not already REVOKED" title="Implemented consent lifecycle: solid transitions are recorded in the audit ledger, red transitions are anchored as Sepolia transactions and dashed transitions show revocation from any state that is not already REVO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6097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solid transitions are recorded in the audit ledger, red transitions are anchored as Sepolia transactions and dashed transitions show revocation from any state that is not already REVOKED.</w:t>
      </w:r>
    </w:p>
    <w:p>
      <w:pPr>
        <w:pStyle w:val="Heading2"/>
        <w:keepNext/>
        <w:spacing w:after="120" w:before="240"/>
      </w:pPr>
      <w:r>
        <w:rPr>
          <w:rFonts w:ascii="Times New Roman" w:cs="Times New Roman" w:eastAsia="Times New Roman" w:hAnsi="Times New Roman"/>
          <w:b/>
          <w:bCs/>
          <w:sz w:val="26"/>
          <w:szCs w:val="26"/>
        </w:rPr>
        <w:t xml:space="preserve">10.3  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Five elements remain for CA3.</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CA3 will therefore extend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records an unauthorised state-transition event and returns INVALID, but this is the only step not yet implemented. It therefore ensures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This work will constitute a major component of CA3. The major CA3 activities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will be conducted as part of CA3.</w:t>
      </w:r>
    </w:p>
    <w:p>
      <w:pPr>
        <w:pStyle w:val="Heading2"/>
        <w:keepNext/>
        <w:spacing w:after="120" w:before="240"/>
      </w:pPr>
      <w:r>
        <w:rPr>
          <w:rFonts w:ascii="Times New Roman" w:cs="Times New Roman" w:eastAsia="Times New Roman" w:hAnsi="Times New Roman"/>
          <w:b/>
          <w:bCs/>
          <w:sz w:val="26"/>
          <w:szCs w:val="26"/>
        </w:rPr>
        <w:t xml:space="preserve">11.1  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 The formal and empirical components are complementary.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This procedure establishes a distinction between functional correctness and security correctness.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sz w:val="22"/>
          <w:szCs w:val="22"/>
        </w:rPr>
        <w:t xml:space="preserve">Equivalently, Equation (24), the contrapositive of Equation (23), states that if any mandatory condition is violated, the request must be denied. Equation (23) is therefore examined through the granted requests and Equation (24) through the negative scenarios, while the valid scenarios examine the opposite direction, namely that a request satisfying all conditions is granted. A valid authorisation decision requires the simultaneous satisfaction of all relevant trust conditions. Each predicate of Section 10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Its 23 functional and regression tests examine whether access is denied when identity verification fails, when the required authorisation threshold is not satisfied, or when the requested purpose or data scope violates the consent policy.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role-based consent management platform. The current system includes separate patient, guardian, doctor, and auditor interfaces. It also records consent creation, guardian approval, token minting, state checks, and data-access events. Following successful threshold satisfaction, the system generates activation or token evidence associated with the authorisation decision through ConsentSBTv3, compiled in Remix and deployed via MetaMask. Each token stores the pseudonymous patient and requester addresses, a hash of the purpose, the validity window, a two-letter jurisdiction code, and a revocation flag. The SBT, a soulbound ERC-721 token whose transfer between accounts is blocked,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 Synthetic healthcare records derived from the Synthea dataset are used to construct representative consent workflows.</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The creation, approval, and granted-access screens were captured from a second lifecycle, 04da25f5, which used the same code, contract, and configuration and was anchored as token #2.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15,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This process ensures that the consent object contains sufficient information for subsequent identity verification, multi-party authorisation, policy evaluation, and auditability. Consequently, the resulting consent object serves not merely as a record of patient preference, but as a structured authorisation artefact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16. The public anchoring of the evaluated consent in block 11,771,243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17,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18,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457575"/>
            <wp:effectExtent t="0" r="0" b="0" l="0"/>
            <wp:docPr id="1" name="F27.png" descr="Doctor subsystem with requester jurisdiction AU: all five checks pass" title="Doctor subsystem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4575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with requester jurisdiction AU: all five checks pass.</w:t>
      </w:r>
    </w:p>
    <w:p>
      <w:pPr>
        <w:keepNext/>
        <w:spacing w:after="60" w:before="160"/>
        <w:jc w:val="center"/>
      </w:pPr>
      <w:r>
        <w:drawing>
          <wp:inline distT="0" distB="0" distL="0" distR="0">
            <wp:extent cx="3352800" cy="3810000"/>
            <wp:effectExtent t="0" r="0" b="0" l="0"/>
            <wp:docPr id="1" name="F29.png" descr="Doctor subsystem after verification: access granted and records displayed per EMR module" title="Doctor subsystem after verification: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352800" cy="3810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access granted and records displayed per EMR module.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passed.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19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fails at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because the system verifies that the consent has not been revoked or otherwise transitioned into an inactive state.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20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4476750" cy="2266950"/>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476750" cy="22669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 As shown in Figure 21,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compares the on-chain revocation state of each token with the local state, with the result shown in Figure 22.</w:t>
      </w:r>
    </w:p>
    <w:p>
      <w:pPr>
        <w:keepNext/>
        <w:spacing w:after="60" w:before="160"/>
        <w:jc w:val="center"/>
      </w:pPr>
      <w:r>
        <w:drawing>
          <wp:inline distT="0" distB="0" distL="0" distR="0">
            <wp:extent cx="4476750" cy="2400300"/>
            <wp:effectExtent t="0" r="0" b="0" l="0"/>
            <wp:docPr id="1" name="F39.png" descr="Auditor subsystem: aggregate indicators and the audit ledger rows of the evaluated consent" title="Auditor subsystem: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476750" cy="2400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aggregate indicators and the audit ledger rows of the evaluated consent.</w:t>
      </w:r>
    </w:p>
    <w:p>
      <w:pPr>
        <w:keepNext/>
        <w:spacing w:after="60" w:before="160"/>
        <w:jc w:val="center"/>
      </w:pPr>
      <w:r>
        <w:drawing>
          <wp:inline distT="0" distB="0" distL="0" distR="0">
            <wp:extent cx="4476750" cy="2581275"/>
            <wp:effectExtent t="0" r="0" b="0" l="0"/>
            <wp:docPr id="1" name="F40.png" descr="Independent verification against Sepolia: RESULT: ALL CHECKS PASSED" title="Independent verification against Sepolia: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476750" cy="25812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RESULT: ALL CHECKS PASSED.</w:t>
      </w:r>
    </w:p>
    <w:p>
      <w:pPr>
        <w:spacing w:after="110" w:line="264"/>
        <w:jc w:val="both"/>
      </w:pPr>
      <w:r>
        <w:rPr>
          <w:rFonts w:ascii="Times New Roman" w:cs="Times New Roman" w:eastAsia="Times New Roman" w:hAnsi="Times New Roman"/>
          <w:sz w:val="22"/>
          <w:szCs w:val="22"/>
        </w:rPr>
        <w:t xml:space="preserve">Table 3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The subsystems represent different interaction responsibilities but share the same architectural principle: none of them independently determines whether access should be granted.</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guardian identities and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4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23,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5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 In each of the six logged evaluations, the recorded audit evidence is consistent with the actual authorisation decision. Consequently, validation does not merely determine whether the final output is ALLOW or DENY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it also determines whether the underlying evidence is consistent with the decision.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6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Processing time of the decision components, measured in the development container used for the demonstration, with the anchoring confirmation taken from Table 4</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24,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itle="Processing time of the decision components on a logarithmic axis (median and minimum to maxim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w:t>
      </w:r>
    </w:p>
    <w:p>
      <w:pPr>
        <w:pStyle w:val="Heading2"/>
        <w:keepNext/>
        <w:spacing w:after="120" w:before="240"/>
      </w:pPr>
      <w:r>
        <w:rPr>
          <w:rFonts w:ascii="Times New Roman" w:cs="Times New Roman" w:eastAsia="Times New Roman" w:hAnsi="Times New Roman"/>
          <w:b/>
          <w:bCs/>
          <w:sz w:val="26"/>
          <w:szCs w:val="26"/>
        </w:rPr>
        <w:t xml:space="preserve">11.4  Unit-Level Adversarial Tests</w:t>
      </w:r>
    </w:p>
    <w:p>
      <w:pPr>
        <w:spacing w:after="110" w:line="264"/>
        <w:jc w:val="both"/>
      </w:pPr>
      <w:r>
        <w:rPr>
          <w:rFonts w:ascii="Times New Roman" w:cs="Times New Roman" w:eastAsia="Times New Roman" w:hAnsi="Times New Roman"/>
          <w:sz w:val="22"/>
          <w:szCs w:val="22"/>
        </w:rPr>
        <w:t xml:space="preserve">The adversarial test set is particularly important because a framework should not only demonstrate that legitimate requests succeed, but also demonstrate resilience against foreseeable attempts to bypass its security controls.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the security properties that it is intended to evaluate.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7 and Figure 25 record whether each scenario has passed or failed. Before the hardening, three attacks, A1, A3, and A5, were accepted when the service functions were called directly. This confirms that a system may be conceptually correct but incorrectly implemented, or may pass functional tests while failing under invalid or adversarial conditions. Any failed scenario is analysed to determine the source and significance of the failure. The purpose of this analysis is not to conceal unsuccessful cases but to determine whether observed failures represent violations of the intended security properties or limitations that should be addressed in future work.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Unit-level adversarial tests A1 to A12, their targeted component and their outcome before the hardening (commit b1468b7)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distinguishes between implementation defects, policy-definition errors, integration problems, incomplete security controls, and limitations of the experimental environment.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Remaining Work for CA3</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will be conducted in CA3 and consist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CA3 will extend the current prototype-based evaluation to include both successful and adversarial access requests. The twelve attack scenarios will be extended to larger sets of positive, negative, and adversarial scenarios, and enforcement accuracy will be reported over this extended set. Particular attention will be given to the relationship between the formal security model and the observed behaviour of the implemented system.</w:t>
      </w:r>
    </w:p>
    <w:p>
      <w:pPr>
        <w:spacing w:after="110" w:line="264"/>
        <w:jc w:val="both"/>
      </w:pPr>
      <w:r>
        <w:rPr>
          <w:rFonts w:ascii="Times New Roman" w:cs="Times New Roman" w:eastAsia="Times New Roman" w:hAnsi="Times New Roman"/>
          <w:sz w:val="22"/>
          <w:szCs w:val="22"/>
        </w:rPr>
        <w:t xml:space="preserve">CA3 will address the prototype limitations that the evaluation has exposed, which include the N-of-N approval rule, the server-derived guardian keys, the unauthenticated requester role, the absence of cryptographic DID resolution and VC validation, the missing lifecycle transition check, and the unkeyed and unchained audit digest.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8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identify as remaining for CA3. RO5 and RO6 constitute the principal research agenda for CA3.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9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Research plan: previous and coming tasks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Jul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CA3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will build upon the foundational trust-oriented authorisation framework established during current stage and extend the research towards dynamic consent governance, formal security assurance, and comprehensive empirical validation. Consent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10.</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Next Stage Research Activities, Methodological Focus, and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Abdul Ghafoor, Iraklis Symeonidis, Anna Rydberg, Cecilia Lindahl, and Abdul Qadus Abbasi. Towards empowering stakeholders through decentralized trust and secure livestock data sharing. Cryptography, 9(3):52, 2025.</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Richard K. Lomotey, Sandra Kumi, and Ralph Deters. Data trusts as a service: Providing a platform for multi-party data sharing. International Journal of Information Management Data Insights, 2(1):100075, 2022.</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sz w:val="18"/>
          <w:szCs w:val="18"/>
        </w:rPr>
        <w:t xml:space="preserve">Thanh Linh Nguyen, Lam Nguyen, Thong Hoang, Dilum Bandara, Qin Wang, Qinghua Lu, Xiwei Xu, Liming Zhu, and Shiping Chen. Blockchain-empowered trustworthy data sharing: Fundamentals, applications, and challenges. ACM Computing Surveys, 57(8):1–36, 2025.</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Emily C. Webber, David Brick, James P. Scibilia, Peter Dehnel, Council on Clinical Information Technology, et al. Electronic communication of the health record and information with pediatric patients and their guardians. Pediatrics, 144(1):e20191359, 2019.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Cindy Welzel, Max Ostermann, Hannah Louise Smith, Timo Minssen, Toralf Kirsten, and Stephen Gilbert. Enabling secure and self determined health data sharing and consent management. npj Digital Medicine, 8(1):560, 2025.</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Minal R. Narkhede, Nilesh I. Wankhede, and Akanksha M. Kamble. Enhancing patient autonomy in data ownership: Privacy models and consent frameworks for healthcare. Journal of Digital Health, 4(1):1–23, 2025.</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Roy McClelland and Colin M. Harper. Information privacy in healthcare: The vital role of informed consent. European Journal of Health Law, 30(4):469–480, 2023.</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Katya Kaplow, Max Downey, Darren Stewart, Allan B. Massie, Jennifer D. Motter, Lauren Taylor, John Massarelli, Taylor Matalon, Carolyn Sidoti, Macey L. Levan, et al. Data professionals’ attitudes on data privacy, sharing, and consent in healthcare and research. Digital Health, 10:20552076241290964, 2024.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Aleena Nazir, Mubashir Husain Rehmani, Bernard Butler, and Donna O’Shea. Access control in healthcare IoT: A comprehensive survey. Engineering Reports, 8(4):e70766, 2026.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sz w:val="18"/>
          <w:szCs w:val="18"/>
        </w:rPr>
        <w:t xml:space="preserve">Ahmed M. Tawfik, Ayman Al-Ahwal, Adly S. Tag Eldien, and Hala H. Zayed. Blockchain-based access control and privacy preservation in healthcare: A comprehensive survey. Cluster Computing, 28(8):529, 2025.</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sz w:val="18"/>
          <w:szCs w:val="18"/>
        </w:rPr>
        <w:t xml:space="preserve">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 BMC Nursing, 23(1):564, 2024.</w:t>
      </w:r>
    </w:p>
    <w:p>
      <w:pPr>
        <w:tabs>
          <w:tab w:val="left" w:pos="560"/>
        </w:tabs>
        <w:spacing w:after="50" w:line="240"/>
        <w:ind w:left="560" w:hanging="560"/>
        <w:jc w:val="left"/>
      </w:pPr>
      <w:r>
        <w:rPr>
          <w:rFonts w:ascii="Times New Roman" w:cs="Times New Roman" w:eastAsia="Times New Roman" w:hAnsi="Times New Roman"/>
          <w:sz w:val="18"/>
          <w:szCs w:val="18"/>
        </w:rPr>
        <w:t xml:space="preserve">[12]	</w:t>
      </w:r>
      <w:r>
        <w:rPr>
          <w:rFonts w:ascii="Times New Roman" w:cs="Times New Roman" w:eastAsia="Times New Roman" w:hAnsi="Times New Roman"/>
          <w:sz w:val="18"/>
          <w:szCs w:val="18"/>
        </w:rPr>
        <w:t xml:space="preserve">Leonidas Theodorakopoulos, Alexandra Theodoropoulou, and Constantinos Halkiopoulos. Enhancing decentralized decision-making with big data and blockchain technology: A comprehensive review. Applied Sciences, 14(16):7007, 2024.</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Abdullah Al Mamun, Sami Azam, and Clementine Gritti. Blockchain-based electronic health records management: A comprehensive review and future research direction. IEEE Access, 10:5768–5789, 2022.</w:t>
      </w:r>
    </w:p>
    <w:p>
      <w:pPr>
        <w:tabs>
          <w:tab w:val="left" w:pos="560"/>
        </w:tabs>
        <w:spacing w:after="50" w:line="240"/>
        <w:ind w:left="560" w:hanging="560"/>
        <w:jc w:val="left"/>
      </w:pPr>
      <w:r>
        <w:rPr>
          <w:rFonts w:ascii="Times New Roman" w:cs="Times New Roman" w:eastAsia="Times New Roman" w:hAnsi="Times New Roman"/>
          <w:sz w:val="18"/>
          <w:szCs w:val="18"/>
        </w:rPr>
        <w:t xml:space="preserve">[14]	</w:t>
      </w:r>
      <w:r>
        <w:rPr>
          <w:rFonts w:ascii="Times New Roman" w:cs="Times New Roman" w:eastAsia="Times New Roman" w:hAnsi="Times New Roman"/>
          <w:sz w:val="18"/>
          <w:szCs w:val="18"/>
        </w:rPr>
        <w:t xml:space="preserve">Remy Hellstern, Daniel C. Park, Victoria Lemieux, and Guldana Salimjan. Leveraging blockchain-based archival solutions for sensitive documentation: A Xinjiang case study. Digital Society, 1(1):4, 2022.</w:t>
      </w:r>
    </w:p>
    <w:p>
      <w:pPr>
        <w:tabs>
          <w:tab w:val="left" w:pos="560"/>
        </w:tabs>
        <w:spacing w:after="50" w:line="240"/>
        <w:ind w:left="560" w:hanging="560"/>
        <w:jc w:val="left"/>
      </w:pPr>
      <w:r>
        <w:rPr>
          <w:rFonts w:ascii="Times New Roman" w:cs="Times New Roman" w:eastAsia="Times New Roman" w:hAnsi="Times New Roman"/>
          <w:sz w:val="18"/>
          <w:szCs w:val="18"/>
        </w:rPr>
        <w:t xml:space="preserve">[15]	</w:t>
      </w:r>
      <w:r>
        <w:rPr>
          <w:rFonts w:ascii="Times New Roman" w:cs="Times New Roman" w:eastAsia="Times New Roman" w:hAnsi="Times New Roman"/>
          <w:sz w:val="18"/>
          <w:szCs w:val="18"/>
        </w:rPr>
        <w:t xml:space="preserve">Lanlan Li, Charles Z. Liu, and Sanjeeb Shrestha. Analytical entropy approach for measuring blockchain immutability and tamper-resilient trust. Entropy, 28(6):690, 2026.</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Carlo Mazzocca, Abbas Acar, Selcuk Uluagac, Rebecca Montanari, Paolo Bellavista, and Mauro Conti. A survey on decentralized identifiers and verifiable credentials. IEEE Communications Surveys &amp; Tutorials, 27:3641–3671, 2025.</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Andrea Flamini, Giada Sciarretta, Mario Scuro, Amir Sharif, Alessandro Tomasi, and Silvio Ranise. On cryptographic mechanisms for the selective disclosure of verifiable credentials. Journal of Information Security and Applications, 83:103789, 2024.</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J. Andrew, Deva Priya Isravel, K. Martin Sagayam, Bharat Bhushan, Yuichi Sei, and Jennifer Eunice. Blockchain for healthcare systems: Architecture, security challenges, trends and future directions. Journal of Network and Computer Applications, 215:103633, 2023.</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sz w:val="18"/>
          <w:szCs w:val="18"/>
        </w:rPr>
        <w:t xml:space="preserve">Muhammad Irfan Khalid, Mansoor Ahmed, Markus Helfert, and Jungsuk Kim. Privacy-first paradigm for dynamic consent management systems: empowering data subjects through decentralized data controllers and privacy-preserving techniques. Electronics, 12(24):4973, 2023.</w:t>
      </w:r>
    </w:p>
    <w:p>
      <w:pPr>
        <w:tabs>
          <w:tab w:val="left" w:pos="560"/>
        </w:tabs>
        <w:spacing w:after="50" w:line="240"/>
        <w:ind w:left="560" w:hanging="560"/>
        <w:jc w:val="left"/>
      </w:pPr>
      <w:r>
        <w:rPr>
          <w:rFonts w:ascii="Times New Roman" w:cs="Times New Roman" w:eastAsia="Times New Roman" w:hAnsi="Times New Roman"/>
          <w:sz w:val="18"/>
          <w:szCs w:val="18"/>
        </w:rPr>
        <w:t xml:space="preserve">[20]	</w:t>
      </w:r>
      <w:r>
        <w:rPr>
          <w:rFonts w:ascii="Times New Roman" w:cs="Times New Roman" w:eastAsia="Times New Roman" w:hAnsi="Times New Roman"/>
          <w:sz w:val="18"/>
          <w:szCs w:val="18"/>
        </w:rPr>
        <w:t xml:space="preserve">Vitor Jesus and Harshvardhan J. Pandit. Consent receipts for a usable and auditable web of personal data. IEEE Access, 10:28545–28563, 2022.</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sz w:val="18"/>
          <w:szCs w:val="18"/>
        </w:rPr>
        <w:t xml:space="preserve">A. Punia, P. Gulia, N.S. Gill, D. Kaushik, N. Alduaiji, P.K. Shukla, et al. An access control system for cloud-based healthcare systems driven by blockchain. Journal of Cloud Computing,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sz w:val="18"/>
          <w:szCs w:val="18"/>
        </w:rPr>
        <w:t xml:space="preserve">K. Ekholm, A. Augustinsson, J. Sundström, C. Johansen, M. Storgärds, L. Ljöstad, et al. Implementing electronic informed consent in rare disease genomics. Scientific Reports,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2026 IEEE International Conference on Blockchain and Cryptocurrency (ICBC), 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D.P. Panagoulias, A.I. Damian, C. Stamate, V. Toderian, P. Butusina, A. De Franceschi, et al. Blockchain-Enabled Trust and Compliance for Clinical AI: Decentralized Governance Without Decentralized Data Storage. Electronics,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Behnam Khayer, Siamak Mirzaei, Hooman Alavizadeh, and Ahmad Salehi Shahraki. Blockchain for secure IoT: A review of identity management, access control, and trust mechanisms. IoT, 6(4):65, 2025.</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2025 IEEE International Conference on Distributed Ledger Technologies (ICDLT),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sz w:val="18"/>
          <w:szCs w:val="18"/>
        </w:rPr>
        <w:t xml:space="preserve">Jämes Ménétrey, Christian Göttel, Anum Khurshid, Marcelo Pasin, Pascal Felber, Valerio Schiavoni, and Shahid Raza. Attestation mechanisms for trusted execution environments demystified. In IFIP International Conference on Distributed Applications and Interoperable Systems, pages 95–113. Springer, 2022.</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Lanlan Li, Charles Z. Liu, Kejia Huang, Ruiyi Deng, Majed Abdullah Alrowaily, Mansoor Alghamdi, Ibrahim S. Alkhazi, and Malek Alrashidi. Trust-aware environmental state consensus for smart agriculture with TEE-enabled sensing and Byzantine-resilient blockchain coordination. Sensors, 26(14):4577, 2026.</w:t>
      </w:r>
    </w:p>
    <w:p>
      <w:pPr>
        <w:tabs>
          <w:tab w:val="left" w:pos="560"/>
        </w:tabs>
        <w:spacing w:after="50" w:line="240"/>
        <w:ind w:left="560" w:hanging="560"/>
        <w:jc w:val="left"/>
      </w:pPr>
      <w:r>
        <w:rPr>
          <w:rFonts w:ascii="Times New Roman" w:cs="Times New Roman" w:eastAsia="Times New Roman" w:hAnsi="Times New Roman"/>
          <w:sz w:val="18"/>
          <w:szCs w:val="18"/>
        </w:rPr>
        <w:t xml:space="preserve">[35]	</w:t>
      </w:r>
      <w:r>
        <w:rPr>
          <w:rFonts w:ascii="Times New Roman" w:cs="Times New Roman" w:eastAsia="Times New Roman" w:hAnsi="Times New Roman"/>
          <w:sz w:val="18"/>
          <w:szCs w:val="18"/>
        </w:rPr>
        <w:t xml:space="preserve">Jason Walonoski, Mark Kramer, Joseph Nichols, Andre Quina, Chris Moesel, Dylan Hall, Carlton Duffett, Kudakwashe Dube, Thomas Gallagher, and Scott McLachlan.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sz w:val="18"/>
          <w:szCs w:val="18"/>
        </w:rPr>
        <w:t xml:space="preserve">Alexander Kharlamov, Roland Hohmann, and Glenn Parry. Data sharing decisions: perceptions and intentions in healthcare. Strategic Change, 32(6):223–237,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Pranto Kumar Ghosh, Arindom Chakraborty, Mehedi Hasan, Khalid Rashid, and Abdul Hasib Siddique. Blockchain application in healthcare systems: A review. Systems, 11(1):38,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Mohammad Salar Arbabi, Chhagan Lal, Narasimha Raghavan Veeraragavan, Dusica Marijan, Jan F. Nygård, and Roman Vitenberg. A survey on blockchain for healthcare: Challenges, benefits, and future directions. IEEE Communications Surveys &amp; Tutorials, 25(1):386–424,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Mohammad Nawab Turan, Irshad Ahmed Hashimzai, and Mohammad Qaseem Qiam. A blockchain-based framework for secure and transparent environmental data sharing in smart cities: Enhancing trust, integrity, and interoperability in urban sustainability systems. Nata Palemahan: Journal of Environmental Engineering Innovations, 2(2):70–79, 2025.</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Jie Yin, Yang Xiao, Qian Chen, Xuefeng Liu, Qingqi Pei, Jianying Zhou, et al. DP-DID: A dynamic and proactive decentralized identity system. IEEE Transactions on Information Forensics and Security, 20:4999–5014, 2025.</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Haotian Deng, Jinwen Liang, Chuan Zhang, Ximeng Liu, Liehuang Zhu, and Song Guo. FutureDID: A fully decentralized identity system with multi-party verification. IEEE Transactions on Computers, 73(8):2051–2065, 2024.</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Chalima Dimitra Nassar Kyriakidou, Athanasia Maria Papathanasiou, and George C. Polyzos. Decentralized identity with applications to security and privacy for the internet of things. Computer Networks and Communications, 1(2):244–271, 2023.</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Rohini Poolat Parameswarath, Prosanta Gope, and Biplab Sikdar. User-empowered privacy-preserving authentication protocol for electric vehicle charging based on decentralized identity and verifiable credential. ACM Transactions on Management Information Systems, 13(4):1–21, 2022.</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sz w:val="18"/>
          <w:szCs w:val="18"/>
        </w:rPr>
        <w:t xml:space="preserve">Hongjian Yin, Yiming Zhao, Lei Zhang, Baojun Qiao, Wenbo Chen, and Huaqing Wang. Attribute-based searchable encryption with decentralized key management for healthcare data sharing. Journal of Systems Architecture, 148:103081, 2024.</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rPr>
        <w:t xml:space="preserve">Rong Jiang, Xue Chen, Yimin Yu, Ying Zhang, and Weiping Ding. Risk and UCON-based access control model for healthcare big data. Journal of Big Data, 10(1):104, 2023.</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sz w:val="18"/>
          <w:szCs w:val="18"/>
        </w:rPr>
        <w:t xml:space="preserve">Matthew J. Page, Joanne E. McKenzie, Patrick M. Bossuyt, Isabelle Boutron, Tammy C. Hoffmann, Cynthia D. Mulrow, et al. The PRISMA 2020 statement: an updated guideline for reporting systematic reviews. BMJ, 372:n71, 2021.</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V. Jaiman and V. Urovi. A Consent Model for Blockchain-Based Health Data Sharing Platforms. IEEE Access,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rPr>
        <w:t xml:space="preserve">S. L. Soohoo, M. S. Keller, Y. Chen, D. Hu, S.-C. Huang, T.-T. Kuo, et al. Development of the authentication and authorization processes for the iAgree portal, a platform for patient-controlled data sharing across health systems. JAMIA Open,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2025 International Conference on Electrical, Computer and Communication Engineering (ECCE),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M.S. Prashanth, R. Karnati, M.S. Velpuru, and H. Venkateshwara Reddy. Enhancing Health Record Security and Privacy with Blockchain-Based Access Management. Lecture Notes of the Institute for Computer Sciences, Social-Informatics and Telecommunications Engineering, LNICST,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A. Teeda and Y.V. Subba Rao. A Patient-Centric Blockchain Based Electronic Health Records for Data Privacy and Confidentiality. Lecture Notes in Networks and Systems,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ACM International Conference Proceeding Series,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sz w:val="18"/>
          <w:szCs w:val="18"/>
        </w:rPr>
        <w:t xml:space="preserve">S. Phuyal, M. Bhandari, R. Bista, and J.C. Ferreira. A Blockchain-Based Architecture for Dynamic and Auditable Patient Consent in Secondary Use of Health Data. Blockchain in Healthcare Today,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C.-H. Tseng, Y.-H. Hsieh, H.-Y. Lin, and S.-M. Yuan. EMR-Chain: Decentralized Electronic Medical Record Exchange System. Technologies,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Lecture Notes in Networks and Systems, vol. 541, pages 3–14. Springer, 2023.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sz w:val="18"/>
          <w:szCs w:val="18"/>
        </w:rPr>
        <w:t xml:space="preserve">Hema S., Goli Bulli Sai Reddy, and Shalini R. Patient Centric Cryptographic Protection of Cloud Electronic Health Records. 2026 6th International Conference on Expert Clouds and Applications (ICOECA),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Proceedings of the International Conference on Security and Cryptography,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sz w:val="18"/>
          <w:szCs w:val="18"/>
        </w:rPr>
        <w:t xml:space="preserve">M. Shanmugham and C. Senthilkumar. Blockchain Enabled Self-Sovereign Identity and Consent Framework for Secure Healthcare Data Access. 2026 3rd International Conference on Emerging Trends in Engineering and Medical Sciences (ICETEMS),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sz w:val="18"/>
          <w:szCs w:val="18"/>
        </w:rPr>
        <w:t xml:space="preserve">N.M. Sawant and J. Gomes. A Decentralized Solution for Smarter and Safer Healthcare Systems with FabricMedChain. Iranian Journal of Science and Technology, Transactions of Electrical Engineering, 2026. doi:10.1007/s40998-025-00994-0</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22df1687083c1aa86c90931669619b25666899b.png"/><Relationship Id="rId9" Type="http://schemas.openxmlformats.org/officeDocument/2006/relationships/image" Target="media/a6d5cbc4c29a5ba7ae40e4643094327da1a45063.png"/><Relationship Id="rId10" Type="http://schemas.openxmlformats.org/officeDocument/2006/relationships/image" Target="media/7f691d763dba86ee49b25518e490fe406bd1e793.png"/><Relationship Id="rId11" Type="http://schemas.openxmlformats.org/officeDocument/2006/relationships/image" Target="media/0fc1020c5f2d577fb45977f6ee9d775a5b66ce0a.png"/><Relationship Id="rId12" Type="http://schemas.openxmlformats.org/officeDocument/2006/relationships/image" Target="media/39225f74fe21ad7e7b7c1673918fe98415414719.png"/><Relationship Id="rId13" Type="http://schemas.openxmlformats.org/officeDocument/2006/relationships/image" Target="media/9becb05c4a6101f5d421517f324e978051b8cf09.png"/><Relationship Id="rId14" Type="http://schemas.openxmlformats.org/officeDocument/2006/relationships/image" Target="media/6f692c439de61f2c2064c85f12b2c7408b6da610.png"/><Relationship Id="rId15" Type="http://schemas.openxmlformats.org/officeDocument/2006/relationships/image" Target="media/efcb745b76bd75b54bf53f1c859df350299a2c6a.png"/><Relationship Id="rId16" Type="http://schemas.openxmlformats.org/officeDocument/2006/relationships/image" Target="media/11081a2422bebced6d030d22f0ebf13798832173.png"/><Relationship Id="rId17" Type="http://schemas.openxmlformats.org/officeDocument/2006/relationships/image" Target="media/cb3ff9df210f6ca37563bb96441f27f5987b686b.png"/><Relationship Id="rId18" Type="http://schemas.openxmlformats.org/officeDocument/2006/relationships/image" Target="media/70806ca075a018d1832052673cf0a8a54f10cc25.png"/><Relationship Id="rId19" Type="http://schemas.openxmlformats.org/officeDocument/2006/relationships/image" Target="media/4eba5d9267467f413da1872413e65d2897ea5f8d.png"/><Relationship Id="rId20" Type="http://schemas.openxmlformats.org/officeDocument/2006/relationships/image" Target="media/1a88f385ea18ee24f3143e2be805b94b95340d8c.png"/><Relationship Id="rId21" Type="http://schemas.openxmlformats.org/officeDocument/2006/relationships/image" Target="media/9d7e95eb43f6e9e653dbde9cb6afb2c4db7f0f36.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a5b9b3ccbbdd73d6bbf6c105cedc858a5966b7f9.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437d3b5dafb646c4afc365beb5e51e2de16280e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8d37ec6dfd7b5ada41ed458b574790aaa33c10b0.png"/><Relationship Id="rId33" Type="http://schemas.openxmlformats.org/officeDocument/2006/relationships/image" Target="media/5d3d88fec89ad26a975f334cd92619aa2ce50806.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CA2 Report: A Trusted Authorization Framework for Multi-Party Patient Consent in Healthcare Data Sharing</dc:title>
  <dc:creator>Yasir Dhaifallah O Alyoubi</dc:creator>
  <cp:lastModifiedBy>Un-named</cp:lastModifiedBy>
  <cp:revision>1</cp:revision>
  <dcterms:created xsi:type="dcterms:W3CDTF">2026-10-03T11:05:24.478Z</dcterms:created>
  <dcterms:modified xsi:type="dcterms:W3CDTF">2026-10-03T11:05:24.478Z</dcterms:modified>
</cp:coreProperties>
</file>

<file path=docProps/custom.xml><?xml version="1.0" encoding="utf-8"?>
<Properties xmlns="http://schemas.openxmlformats.org/officeDocument/2006/custom-properties" xmlns:vt="http://schemas.openxmlformats.org/officeDocument/2006/docPropsVTypes"/>
</file>