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13</w:t>
      </w:r>
    </w:p>
    <w:p>
      <w:pPr>
        <w:tabs>
          <w:tab w:val="right" w:pos="9128" w:leader="dot"/>
        </w:tabs>
        <w:spacing w:after="100"/>
      </w:pPr>
      <w:r>
        <w:rPr>
          <w:rFonts w:ascii="Times New Roman" w:cs="Times New Roman" w:eastAsia="Times New Roman" w:hAnsi="Times New Roman"/>
          <w:sz w:val="22"/>
          <w:szCs w:val="22"/>
        </w:rPr>
        <w:t xml:space="preserve">4. Research Objectives	16</w:t>
      </w:r>
    </w:p>
    <w:p>
      <w:pPr>
        <w:tabs>
          <w:tab w:val="right" w:pos="9128" w:leader="dot"/>
        </w:tabs>
        <w:spacing w:after="100"/>
      </w:pPr>
      <w:r>
        <w:rPr>
          <w:rFonts w:ascii="Times New Roman" w:cs="Times New Roman" w:eastAsia="Times New Roman" w:hAnsi="Times New Roman"/>
          <w:sz w:val="22"/>
          <w:szCs w:val="22"/>
        </w:rPr>
        <w:t xml:space="preserve">5. Research Architecture: MVC	18</w:t>
      </w:r>
    </w:p>
    <w:p>
      <w:pPr>
        <w:tabs>
          <w:tab w:val="right" w:pos="9128" w:leader="dot"/>
        </w:tabs>
        <w:spacing w:after="100"/>
      </w:pPr>
      <w:r>
        <w:rPr>
          <w:rFonts w:ascii="Times New Roman" w:cs="Times New Roman" w:eastAsia="Times New Roman" w:hAnsi="Times New Roman"/>
          <w:sz w:val="22"/>
          <w:szCs w:val="22"/>
        </w:rPr>
        <w:t xml:space="preserve">6. The Proposed Solution for RO1	24</w:t>
      </w:r>
    </w:p>
    <w:p>
      <w:pPr>
        <w:tabs>
          <w:tab w:val="right" w:pos="9128" w:leader="dot"/>
        </w:tabs>
        <w:spacing w:after="100"/>
      </w:pPr>
      <w:r>
        <w:rPr>
          <w:rFonts w:ascii="Times New Roman" w:cs="Times New Roman" w:eastAsia="Times New Roman" w:hAnsi="Times New Roman"/>
          <w:sz w:val="22"/>
          <w:szCs w:val="22"/>
        </w:rPr>
        <w:t xml:space="preserve">7. The Proposed Solution for RO2	28</w:t>
      </w:r>
    </w:p>
    <w:p>
      <w:pPr>
        <w:tabs>
          <w:tab w:val="right" w:pos="9128" w:leader="dot"/>
        </w:tabs>
        <w:spacing w:after="100"/>
      </w:pPr>
      <w:r>
        <w:rPr>
          <w:rFonts w:ascii="Times New Roman" w:cs="Times New Roman" w:eastAsia="Times New Roman" w:hAnsi="Times New Roman"/>
          <w:sz w:val="22"/>
          <w:szCs w:val="22"/>
        </w:rPr>
        <w:t xml:space="preserve">8. The Proposed Solution for RO3	31</w:t>
      </w:r>
    </w:p>
    <w:p>
      <w:pPr>
        <w:tabs>
          <w:tab w:val="right" w:pos="9128" w:leader="dot"/>
        </w:tabs>
        <w:spacing w:after="100"/>
      </w:pPr>
      <w:r>
        <w:rPr>
          <w:rFonts w:ascii="Times New Roman" w:cs="Times New Roman" w:eastAsia="Times New Roman" w:hAnsi="Times New Roman"/>
          <w:sz w:val="22"/>
          <w:szCs w:val="22"/>
        </w:rPr>
        <w:t xml:space="preserve">9. The Proposed Solution for RO4	36</w:t>
      </w:r>
    </w:p>
    <w:p>
      <w:pPr>
        <w:tabs>
          <w:tab w:val="right" w:pos="9128" w:leader="dot"/>
        </w:tabs>
        <w:spacing w:after="100"/>
      </w:pPr>
      <w:r>
        <w:rPr>
          <w:rFonts w:ascii="Times New Roman" w:cs="Times New Roman" w:eastAsia="Times New Roman" w:hAnsi="Times New Roman"/>
          <w:sz w:val="22"/>
          <w:szCs w:val="22"/>
        </w:rPr>
        <w:t xml:space="preserve">10. The Proposed Solution for RO5	40</w:t>
      </w:r>
    </w:p>
    <w:p>
      <w:pPr>
        <w:tabs>
          <w:tab w:val="right" w:pos="9128" w:leader="dot"/>
        </w:tabs>
        <w:spacing w:after="100"/>
      </w:pPr>
      <w:r>
        <w:rPr>
          <w:rFonts w:ascii="Times New Roman" w:cs="Times New Roman" w:eastAsia="Times New Roman" w:hAnsi="Times New Roman"/>
          <w:sz w:val="22"/>
          <w:szCs w:val="22"/>
        </w:rPr>
        <w:t xml:space="preserve">11. The Proposed Solution for RO6	43</w:t>
      </w:r>
    </w:p>
    <w:p>
      <w:pPr>
        <w:tabs>
          <w:tab w:val="right" w:pos="9128" w:leader="dot"/>
        </w:tabs>
        <w:spacing w:after="100"/>
      </w:pPr>
      <w:r>
        <w:rPr>
          <w:rFonts w:ascii="Times New Roman" w:cs="Times New Roman" w:eastAsia="Times New Roman" w:hAnsi="Times New Roman"/>
          <w:sz w:val="22"/>
          <w:szCs w:val="22"/>
        </w:rPr>
        <w:t xml:space="preserve">12. Publications Summary	56</w:t>
      </w:r>
    </w:p>
    <w:p>
      <w:pPr>
        <w:tabs>
          <w:tab w:val="right" w:pos="9128" w:leader="dot"/>
        </w:tabs>
        <w:spacing w:after="100"/>
      </w:pPr>
      <w:r>
        <w:rPr>
          <w:rFonts w:ascii="Times New Roman" w:cs="Times New Roman" w:eastAsia="Times New Roman" w:hAnsi="Times New Roman"/>
          <w:sz w:val="22"/>
          <w:szCs w:val="22"/>
        </w:rPr>
        <w:t xml:space="preserve">13. Research Plan	57</w:t>
      </w:r>
    </w:p>
    <w:p>
      <w:pPr>
        <w:tabs>
          <w:tab w:val="right" w:pos="9128" w:leader="dot"/>
        </w:tabs>
        <w:spacing w:after="100"/>
      </w:pPr>
      <w:r>
        <w:rPr>
          <w:rFonts w:ascii="Times New Roman" w:cs="Times New Roman" w:eastAsia="Times New Roman" w:hAnsi="Times New Roman"/>
          <w:sz w:val="22"/>
          <w:szCs w:val="22"/>
        </w:rPr>
        <w:t xml:space="preserve">References	59</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Six review roles covered five perspectives and a chair who decided each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searches ran on 24 and 25 August 2026, and the ACM Digital Library on 5 September 2026 as a late arm, a declared limitation.</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read in a prioritised order under a dimension-level saturation rule.</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44 reports had been fully coded and passed the quality gate, whereas 1,735 of the 1,800 records had not been assessed, so corpus completeness is bounded by the saturation rule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Under decision D-166,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the stream on which it is coded most strongly.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Both studies of this stream are deployed platforms graded Partial.</w:t>
      </w:r>
      <w:r>
        <w:rPr>
          <w:rFonts w:ascii="Times New Roman" w:cs="Times New Roman" w:eastAsia="Times New Roman" w:hAnsi="Times New Roman"/>
          <w:color w:val="00A000"/>
          <w:sz w:val="22"/>
          <w:szCs w:val="22"/>
        </w:rPr>
        <w:t xml:space="preserve"> Soohoo et al. [50]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[51]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Both are single-party systems.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[52, 53], or as conditions fixed at encryption time [54, 55].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T2 was graded Yes in only 10 of the 25 studies and Partial in 15.</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[57]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[58] apply a (t, n) investigator threshold to record admission and revocation, and Abbasi et al. [59]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and [27, 60] report guardian co-consent at registration time.</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T4 is coded Yes in 11 studies, Partial in 10,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the first study to enforce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[61]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the first complete formal assurance in the corpus, although only for the identity and authority fragment.</w:t>
      </w:r>
      <w:r>
        <w:rPr>
          <w:rFonts w:ascii="Times New Roman" w:cs="Times New Roman" w:eastAsia="Times New Roman" w:hAnsi="Times New Roman"/>
          <w:color w:val="00A000"/>
          <w:sz w:val="22"/>
          <w:szCs w:val="22"/>
        </w:rPr>
        <w:t xml:space="preserve"> Zhao and Su [62] and Maruthi and Singh [63] prove threshold gates in isolation, and Mei et al. [64]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The panel records an inverse relation between predicate breadth and assurance strength.</w:t>
      </w:r>
      <w:r>
        <w:rPr>
          <w:rFonts w:ascii="Times New Roman" w:cs="Times New Roman" w:eastAsia="Times New Roman" w:hAnsi="Times New Roman"/>
          <w:sz w:val="22"/>
          <w:szCs w:val="22"/>
        </w:rPr>
        <w:t xml:space="preserve"> No study executes adversarial scenarios that examine whether security controls can resist deliberate attempts to circumvent the authorisation process.</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or data-scope condition, whereas the proved schemes omit policy, temporal validity, and lifecycle. Table 1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For the proposed framework, Yes denotes a requirement that is addressed and validated at the current stage, and Partial denotes a requirement that is partially completed and will be completed in CA3.</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[62, 63].</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w:t>
      </w:r>
      <w:r>
        <w:rPr>
          <w:rFonts w:ascii="Times New Roman" w:cs="Times New Roman" w:eastAsia="Times New Roman" w:hAnsi="Times New Roman"/>
          <w:sz w:val="22"/>
          <w:szCs w:val="22"/>
        </w:rPr>
        <w:t xml:space="preserve"> The final row of Table 1 positions the proposed framework relative to the existing literature.</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for Req 6, formal assurance is provided by 4 studies, argued informally by 9, and absent in 12.</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Read on their own, the background surveys cited in Sections 1 and 2 suggest that multi-party authorisation of patient consent does not exist, although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graded Yes for each requirement in Table 1" title="Synthesis of the review: the conjunction gap and the assurance gap addressed by the proposed framework, with the number of the 25 analysed studies graded Yes for each requirement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graded Yes for each requirement in Table 1.</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saturation rule and a single coding panel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[52, 53, 67].</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66]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or data-scope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CA2,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their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authorisation evidence set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For a guardian approval, the authority in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(a</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is membership of G, and each member of G is counted once.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The flow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authorisation process terminates with a denial decision.</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2.</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If a guardian or proxy is specified, the system validates the guardian set G.</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procedures, or other FHIR resources.</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w:t>
      </w:r>
      <w:r>
        <w:rPr>
          <w:rFonts w:ascii="Times New Roman" w:cs="Times New Roman" w:eastAsia="Times New Roman" w:hAnsi="Times New Roman"/>
          <w:color w:val="00A000"/>
          <w:sz w:val="22"/>
          <w:szCs w:val="22"/>
        </w:rPr>
        <w:t xml:space="preserve"> The proof shows that the prover knows the secret and the expiry time behind a Poseidon commitment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CA3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lifecycle state and revocation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In particular,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CA3.</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records an unauthorised state-transition event and returns INVALID, but this is the only step not yet implemented.</w:t>
      </w:r>
      <w:r>
        <w:rPr>
          <w:rFonts w:ascii="Times New Roman" w:cs="Times New Roman" w:eastAsia="Times New Roman" w:hAnsi="Times New Roman"/>
          <w:sz w:val="22"/>
          <w:szCs w:val="22"/>
        </w:rPr>
        <w:t xml:space="preserve">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constitute a major component of CA3.</w:t>
      </w:r>
      <w:r>
        <w:rPr>
          <w:rFonts w:ascii="Times New Roman" w:cs="Times New Roman" w:eastAsia="Times New Roman" w:hAnsi="Times New Roman"/>
          <w:sz w:val="22"/>
          <w:szCs w:val="22"/>
        </w:rPr>
        <w:t xml:space="preserve">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predicate of Section 10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granted-access screens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in block 11,771,243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6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7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8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CA3.</w:t>
      </w:r>
      <w:r>
        <w:rPr>
          <w:rFonts w:ascii="Times New Roman" w:cs="Times New Roman" w:eastAsia="Times New Roman" w:hAnsi="Times New Roman"/>
          <w:sz w:val="22"/>
          <w:szCs w:val="22"/>
        </w:rPr>
        <w:t xml:space="preserve"> RO5 and RO6 constitute the principal research agenda for CA3.</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9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10.</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2026-10-03T11:05:47.120Z</dcterms:created>
  <dcterms:modified xsi:type="dcterms:W3CDTF">2026-10-03T11:05:47.121Z</dcterms:modified>
</cp:coreProperties>
</file>

<file path=docProps/custom.xml><?xml version="1.0" encoding="utf-8"?>
<Properties xmlns="http://schemas.openxmlformats.org/officeDocument/2006/custom-properties" xmlns:vt="http://schemas.openxmlformats.org/officeDocument/2006/docPropsVTypes"/>
</file>