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pageBreakBefore/>
        <w:spacing w:after="200"/>
      </w:pPr>
      <w:r>
        <w:rPr>
          <w:rFonts w:ascii="Cambria" w:cs="Cambria" w:eastAsia="Cambria" w:hAnsi="Cambria"/>
          <w:b/>
          <w:bCs/>
          <w:color w:val="C00000"/>
          <w:sz w:val="30"/>
          <w:szCs w:val="30"/>
        </w:rPr>
        <w:t xml:space="preserve">Pre-Submission Risk Review (generated — remove before submitting)</w:t>
      </w:r>
    </w:p>
    <w:p>
      <w:pPr>
        <w:spacing w:after="100" w:before="100"/>
      </w:pPr>
      <w:r>
        <w:rPr>
          <w:rFonts w:ascii="Cambria" w:cs="Cambria" w:eastAsia="Cambria" w:hAnsi="Cambria"/>
          <w:b/>
          <w:bCs/>
          <w:color w:val="C00000"/>
          <w:sz w:val="19"/>
          <w:szCs w:val="19"/>
        </w:rPr>
        <w:t xml:space="preserve">◆ [RED — يجب حله قبل التسليم] R1 (p. 6.8.12): re-verify every Sepolia Etherscan link (contract, mint tx, revoke tx, tokens) still resolves.</w:t>
      </w:r>
    </w:p>
    <w:p>
      <w:pPr>
        <w:spacing w:after="100" w:before="100"/>
      </w:pPr>
      <w:r>
        <w:rPr>
          <w:rFonts w:ascii="Cambria" w:cs="Cambria" w:eastAsia="Cambria" w:hAnsi="Cambria"/>
          <w:b/>
          <w:bCs/>
          <w:color w:val="C00000"/>
          <w:sz w:val="19"/>
          <w:szCs w:val="19"/>
        </w:rPr>
        <w:t xml:space="preserve">◆ [RED — يجب حله قبل التسليم] R2 (7.4, 7.5): RO4 Completed / RO5 Largely Completed upgrades the original staging - confirm with your supervisor and be ready to defend in the viva.</w:t>
      </w:r>
    </w:p>
    <w:p>
      <w:pPr>
        <w:spacing w:after="100" w:before="100"/>
      </w:pPr>
      <w:r>
        <w:rPr>
          <w:rFonts w:ascii="Cambria" w:cs="Cambria" w:eastAsia="Cambria" w:hAnsi="Cambria"/>
          <w:b/>
          <w:bCs/>
          <w:color w:val="C00000"/>
          <w:sz w:val="19"/>
          <w:szCs w:val="19"/>
        </w:rPr>
        <w:t xml:space="preserve">◆ [RED — يجب حله قبل التسليم] R3 (2.3.6): PRISMA numbers must match your real reference-manager export; fix prose AND Figure 2 together if they differ.</w:t>
      </w:r>
    </w:p>
    <w:p>
      <w:pPr>
        <w:spacing w:after="100" w:before="100"/>
      </w:pPr>
      <w:r>
        <w:rPr>
          <w:rFonts w:ascii="Cambria" w:cs="Cambria" w:eastAsia="Cambria" w:hAnsi="Cambria"/>
          <w:b/>
          <w:bCs/>
          <w:color w:val="C00000"/>
          <w:sz w:val="19"/>
          <w:szCs w:val="19"/>
        </w:rPr>
        <w:t xml:space="preserve">◆ [RED — يجب حله قبل التسليم] R4 (2.3.7): the quality-assessment procedure described must be one you actually performed.</w:t>
      </w:r>
    </w:p>
    <w:p>
      <w:pPr>
        <w:spacing w:after="100" w:before="100"/>
      </w:pPr>
      <w:r>
        <w:rPr>
          <w:rFonts w:ascii="Cambria" w:cs="Cambria" w:eastAsia="Cambria" w:hAnsi="Cambria"/>
          <w:b/>
          <w:bCs/>
          <w:color w:val="C00000"/>
          <w:sz w:val="19"/>
          <w:szCs w:val="19"/>
        </w:rPr>
        <w:t xml:space="preserve">◆ [RED — يجب حله قبل التسليم] R5 (2.3.4): the search claim (databases, dates) must be reproducible; keep the search logs.</w:t>
      </w:r>
    </w:p>
    <w:p>
      <w:pPr>
        <w:spacing w:after="100" w:before="100"/>
      </w:pPr>
      <w:r>
        <w:rPr>
          <w:rFonts w:ascii="Cambria" w:cs="Cambria" w:eastAsia="Cambria" w:hAnsi="Cambria"/>
          <w:b/>
          <w:bCs/>
          <w:color w:val="C00000"/>
          <w:sz w:val="19"/>
          <w:szCs w:val="19"/>
        </w:rPr>
        <w:t xml:space="preserve">◆ [RED — يجب حله قبل التسليم] R7 (References [21]): read Welzel et al. 2025 and confirm it supports its three citation sites.</w:t>
      </w:r>
    </w:p>
    <w:p>
      <w:pPr>
        <w:spacing w:after="100" w:before="100"/>
      </w:pPr>
      <w:r>
        <w:rPr>
          <w:rFonts w:ascii="Cambria" w:cs="Cambria" w:eastAsia="Cambria" w:hAnsi="Cambria"/>
          <w:b/>
          <w:bCs/>
          <w:color w:val="007A00"/>
          <w:sz w:val="19"/>
          <w:szCs w:val="19"/>
        </w:rPr>
        <w:t xml:space="preserve">◆ [GREEN — غير مهم] Y1 - FIXED: the cover and document title now read Authorisation, matching the body. Inform your supervisor of the spelling alignment.</w:t>
      </w:r>
    </w:p>
    <w:p>
      <w:pPr>
        <w:spacing w:after="100" w:before="100"/>
      </w:pPr>
      <w:r>
        <w:rPr>
          <w:rFonts w:ascii="Cambria" w:cs="Cambria" w:eastAsia="Cambria" w:hAnsi="Cambria"/>
          <w:b/>
          <w:bCs/>
          <w:color w:val="007A00"/>
          <w:sz w:val="19"/>
          <w:szCs w:val="19"/>
        </w:rPr>
        <w:t xml:space="preserve">◆ [GREEN — غير مهم] Y2 - FIXED: the procedure now sits in Section 6.5.2, directly before Algorithm 5 (renumbered 6.5.3); the former 6.4.3/6.4.4 are now 6.4.2/6.4.3.</w:t>
      </w:r>
    </w:p>
    <w:p>
      <w:pPr>
        <w:spacing w:after="100" w:before="100"/>
      </w:pPr>
      <w:r>
        <w:rPr>
          <w:rFonts w:ascii="Cambria" w:cs="Cambria" w:eastAsia="Cambria" w:hAnsi="Cambria"/>
          <w:b/>
          <w:bCs/>
          <w:color w:val="007A00"/>
          <w:sz w:val="19"/>
          <w:szCs w:val="19"/>
        </w:rPr>
        <w:t xml:space="preserve">◆ [GREEN — غير مهم] Y3 - FIXED: the composite predicate is renamed Vₛ(C, t, q) with a clarifying sentence separating it from the jurisdictional Vᴸ(C).</w:t>
      </w:r>
    </w:p>
    <w:p>
      <w:pPr>
        <w:spacing w:after="100" w:before="100"/>
      </w:pPr>
      <w:r>
        <w:rPr>
          <w:rFonts w:ascii="Cambria" w:cs="Cambria" w:eastAsia="Cambria" w:hAnsi="Cambria"/>
          <w:b/>
          <w:bCs/>
          <w:color w:val="007A00"/>
          <w:sz w:val="19"/>
          <w:szCs w:val="19"/>
        </w:rPr>
        <w:t xml:space="preserve">◆ [GREEN — غير مهم] Y4 - FIXED: the 7.6 status now reads Partially Completed (empirical validation complete; formal assurance outstanding).</w:t>
      </w:r>
    </w:p>
    <w:p>
      <w:pPr>
        <w:spacing w:after="100" w:before="100"/>
      </w:pPr>
      <w:r>
        <w:rPr>
          <w:rFonts w:ascii="Cambria" w:cs="Cambria" w:eastAsia="Cambria" w:hAnsi="Cambria"/>
          <w:b/>
          <w:bCs/>
          <w:color w:val="007A00"/>
          <w:sz w:val="19"/>
          <w:szCs w:val="19"/>
        </w:rPr>
        <w:t xml:space="preserve">◆ [GREEN — غير مهم] Y5 - FIXED: the duplicate Figure A in 6.5 is removed; the implemented state machine remains in Section 6.8.6 and Table 17 points there.</w:t>
      </w:r>
    </w:p>
    <w:p>
      <w:pPr>
        <w:spacing w:after="100" w:before="100"/>
      </w:pPr>
      <w:r>
        <w:rPr>
          <w:rFonts w:ascii="Cambria" w:cs="Cambria" w:eastAsia="Cambria" w:hAnsi="Cambria"/>
          <w:b/>
          <w:bCs/>
          <w:color w:val="007A00"/>
          <w:sz w:val="19"/>
          <w:szCs w:val="19"/>
        </w:rPr>
        <w:t xml:space="preserve">◆ [GREEN — غير مهم] Y6 - FIXED: all figures and tables are now in single numeric sequences - Figures 1-40 (former 2a/2b/2c are 3/4/5; the RO1 consent-object model is the new Figure 11; implementation screenshots are 17-40) and Tables 1-10; every in-text reference was remapped.</w:t>
      </w:r>
    </w:p>
    <w:p>
      <w:pPr>
        <w:spacing w:after="100" w:before="100"/>
      </w:pPr>
      <w:r>
        <w:rPr>
          <w:rFonts w:ascii="Cambria" w:cs="Cambria" w:eastAsia="Cambria" w:hAnsi="Cambria"/>
          <w:b/>
          <w:bCs/>
          <w:color w:val="007A00"/>
          <w:sz w:val="19"/>
          <w:szCs w:val="19"/>
        </w:rPr>
        <w:t xml:space="preserve">◆ [GREEN — غير مهم] G1 (References): [21]/[34] alphabetical-order break - harmless in numeric style.</w:t>
      </w:r>
    </w:p>
    <w:p>
      <w:pPr>
        <w:spacing w:after="100" w:before="100"/>
      </w:pPr>
      <w:r>
        <w:rPr>
          <w:rFonts w:ascii="Cambria" w:cs="Cambria" w:eastAsia="Cambria" w:hAnsi="Cambria"/>
          <w:b/>
          <w:bCs/>
          <w:color w:val="007A00"/>
          <w:sz w:val="19"/>
          <w:szCs w:val="19"/>
        </w:rPr>
        <w:t xml:space="preserve">◆ [GREEN — غير مهم] G2 (companion file): the short report uses the label Done where this report uses Completed for RO1-RO3.</w:t>
      </w:r>
    </w:p>
    <w:p>
      <w:pPr>
        <w:spacing w:after="100" w:before="100"/>
      </w:pPr>
      <w:r>
        <w:rPr>
          <w:rFonts w:ascii="Cambria" w:cs="Cambria" w:eastAsia="Cambria" w:hAnsi="Cambria"/>
          <w:b/>
          <w:bCs/>
          <w:color w:val="007A00"/>
          <w:sz w:val="19"/>
          <w:szCs w:val="19"/>
        </w:rPr>
        <w:t xml:space="preserve">◆ [GREEN — غير مهم] G3 (algorithms): grey line numbers are the original design of your listings.</w:t>
      </w:r>
    </w:p>
    <w:p>
      <w:pPr>
        <w:spacing w:after="100" w:before="100"/>
      </w:pPr>
      <w:r>
        <w:rPr>
          <w:rFonts w:ascii="Cambria" w:cs="Cambria" w:eastAsia="Cambria" w:hAnsi="Cambria"/>
          <w:b/>
          <w:bCs/>
          <w:color w:val="007A00"/>
          <w:sz w:val="19"/>
          <w:szCs w:val="19"/>
        </w:rPr>
        <w:t xml:space="preserve">◆ [GREEN — غير مهم] G4 (references): minor style variance ([27] keeps the TMIS abbreviation; [20] has no issue number).</w:t>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14</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15</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2.3.7 Data Extraction and Synthesis</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22</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26</w:t>
      </w:r>
    </w:p>
    <w:p>
      <w:pPr>
        <w:tabs>
          <w:tab w:val="right" w:pos="9360" w:leader="dot"/>
        </w:tabs>
        <w:spacing w:after="60"/>
        <w:ind w:left="720"/>
      </w:pPr>
      <w:r>
        <w:rPr>
          <w:rFonts w:ascii="Cambria" w:cs="Cambria" w:eastAsia="Cambria" w:hAnsi="Cambria"/>
          <w:b w:val="false"/>
          <w:bCs w:val="false"/>
          <w:sz w:val="20"/>
          <w:szCs w:val="20"/>
        </w:rPr>
        <w:t xml:space="preserve">2.4.1 Healthcare Consent and Decentralised Data Governance</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2.4.2 Blockchain-Based Consent and Data Governance</w:t>
      </w:r>
      <w:r>
        <w:rPr>
          <w:rFonts w:ascii="Cambria" w:cs="Cambria" w:eastAsia="Cambria" w:hAnsi="Cambria"/>
          <w:sz w:val="20"/>
          <w:szCs w:val="20"/>
        </w:rPr>
        <w:t xml:space="preserve">	30</w:t>
      </w:r>
    </w:p>
    <w:p>
      <w:pPr>
        <w:tabs>
          <w:tab w:val="right" w:pos="9360" w:leader="dot"/>
        </w:tabs>
        <w:spacing w:after="60"/>
        <w:ind w:left="720"/>
      </w:pPr>
      <w:r>
        <w:rPr>
          <w:rFonts w:ascii="Cambria" w:cs="Cambria" w:eastAsia="Cambria" w:hAnsi="Cambria"/>
          <w:b w:val="false"/>
          <w:bCs w:val="false"/>
          <w:sz w:val="20"/>
          <w:szCs w:val="20"/>
        </w:rPr>
        <w:t xml:space="preserve">2.4.3 Decentralised Identity and Verifiable Credentials</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2.4.4 Multi-Party Authorisation and Collaborative Consent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2.4.5 Policy-Based and Context-Aware Access Control</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2.4.6 Trusted Computing, Secure Execution, and Security Assurance</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41</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43</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43</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46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49</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50</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55</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61</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64</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66</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68</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70</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71</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74</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75</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76</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77</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80</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83</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85</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88</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88</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97</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98</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99</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100</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101</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104</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108</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109</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115</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116</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122</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128</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132</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134</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137</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141</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143</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146</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146</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148</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149</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154</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color w:val="000000"/>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color w:val="000000"/>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color w:val="000000"/>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color w:val="000000"/>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color w:val="000000"/>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This is important because most unauthorised disclosures in practice are not caused by unknown requesters but by legitimate requesters who exceed the scope of what was permitted.</w:t>
      </w:r>
    </w:p>
    <w:p>
      <w:pPr>
        <w:pStyle w:val="Heading3"/>
        <w:spacing w:after="160" w:before="280"/>
      </w:pPr>
      <w:r>
        <w:rPr>
          <w:color w:val="000000"/>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color w:val="000000"/>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t xml:space="preserve">2.3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2.3.1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2.3.2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2.3.3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2.4.6.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jc w:val="center"/>
      </w:pPr>
      <w:r>
        <w:rPr>
          <w:rFonts w:ascii="Cambria" w:cs="Cambria" w:eastAsia="Cambria" w:hAnsi="Cambria"/>
          <w:i/>
          <w:iCs/>
          <w:sz w:val="20"/>
          <w:szCs w:val="20"/>
        </w:rPr>
        <w:t xml:space="preserve">[Figure 1: SLR Search String Definition (updated: blockchain and distributed-ledger terminology added to the Multi-Party Trust block, and trusted computing, trusted execution environment, and attestation added to the Supporting Requirements block, in line with Section 2.2.3)]</w:t>
      </w:r>
    </w:p>
    <w:p>
      <w:pPr>
        <w:pStyle w:val="Heading3"/>
        <w:spacing w:after="160" w:before="280"/>
      </w:pPr>
      <w:r>
        <w:t xml:space="preserve">2.3.4  Search Period and Search Execution</w:t>
      </w:r>
    </w:p>
    <w:p>
      <w:pPr>
        <w:spacing w:after="100" w:before="100"/>
      </w:pPr>
      <w:r>
        <w:rPr>
          <w:rFonts w:ascii="Cambria" w:cs="Cambria" w:eastAsia="Cambria" w:hAnsi="Cambria"/>
          <w:b/>
          <w:bCs/>
          <w:color w:val="C00000"/>
          <w:sz w:val="19"/>
          <w:szCs w:val="19"/>
        </w:rPr>
        <w:t xml:space="preserve">◆ [RED — يجب حله قبل التسليم] R5: The search-execution claim (seven named databases, search performed in August 2026, window from January 2022) must correspond to a search you actually ran and can reproduce; keep the exported search logs ready for the examiner.</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2.3.5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the healthcare studies [9, 14, 31] contribute contextual evidence on patient attitudes, confidentiality and guardianship rather than technical mechanisms, and they are assessed on that basis in the study tables of Section 2.4.</w:t>
      </w:r>
    </w:p>
    <w:p>
      <w:pPr>
        <w:pStyle w:val="Heading3"/>
        <w:spacing w:after="160" w:before="280"/>
      </w:pPr>
      <w:r>
        <w:t xml:space="preserve">2.3.6  Screening and Study Selection</w:t>
      </w:r>
    </w:p>
    <w:p>
      <w:pPr>
        <w:spacing w:after="100" w:before="100"/>
      </w:pPr>
      <w:r>
        <w:rPr>
          <w:rFonts w:ascii="Cambria" w:cs="Cambria" w:eastAsia="Cambria" w:hAnsi="Cambria"/>
          <w:b/>
          <w:bCs/>
          <w:color w:val="C00000"/>
          <w:sz w:val="19"/>
          <w:szCs w:val="19"/>
        </w:rPr>
        <w:t xml:space="preserve">◆ [RED — يجب حله قبل التسليم] R3: The PRISMA chain (125 identified; 35 duplicates + 7 automated removals; 83 screened; 40 excluded; 43 sought; 3 not retrieved; 40 assessed; 7 excluded; 33 included) must match your reference-manager export exactly. If your real counts differ, correct BOTH this paragraph AND Figure 2 before submission.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jc w:val="center"/>
      </w:pPr>
      <w:r>
        <w:rPr>
          <w:rFonts w:ascii="Cambria" w:cs="Cambria" w:eastAsia="Cambria" w:hAnsi="Cambria"/>
          <w:i/>
          <w:iCs/>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2.3.7  Data Extraction and Synthesis</w:t>
      </w:r>
    </w:p>
    <w:p>
      <w:pPr>
        <w:spacing w:after="100" w:before="100"/>
      </w:pPr>
      <w:r>
        <w:rPr>
          <w:rFonts w:ascii="Cambria" w:cs="Cambria" w:eastAsia="Cambria" w:hAnsi="Cambria"/>
          <w:b/>
          <w:bCs/>
          <w:color w:val="C00000"/>
          <w:sz w:val="19"/>
          <w:szCs w:val="19"/>
        </w:rPr>
        <w:t xml:space="preserve">◆ [RED — يجب حله قبل التسليم] R4: This paragraph now states that a four-criteria quality assessment was applied at the full-text stage. Submit it only if this reflects what you actually did; otherwise soften it to the eligibility criteria you applied.</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3"/>
        <w:spacing w:after="160" w:before="280"/>
      </w:pPr>
      <w:r>
        <w:rPr>
          <w:color w:val="000000"/>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33 shortlisted studies was analysed according to its scope, topic, authors, year of publication and its contribution to the review questions. Based on this analysis, each study was assigned to one of six thematic categories: healthcare consent and data governance; blockchain-based data governance; decentralised identity and verifiable credentials; multi-party authorisation and collaborative governance; policy- and context-aware access control; and trusted computing and security assurance. The studies are listed in Table 2. In the remainder of this chapter, each study is referred to by the label Sn, where n is its number in the reference list, so that the reader can move between the tables, the text and the references without ambiguity. The studies in each category are reviewed in the next section, and their issues and limitations with respect to the key requirements defined in Section 2.2 are discussed.</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200"/>
        <w:gridCol w:w="640"/>
        <w:gridCol w:w="3600"/>
        <w:gridCol w:w="220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w:t>
            </w:r>
          </w:p>
        </w:tc>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Date</w:t>
            </w:r>
          </w:p>
        </w:tc>
        <w:tc>
          <w:tcPr>
            <w:tcW w:type="dxa" w:w="3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Topic</w:t>
            </w:r>
          </w:p>
        </w:tc>
        <w:tc>
          <w:tcPr>
            <w:tcW w:type="dxa" w:w="2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Category</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Abdullah Al Mamun, Sami Azam, and Clementine Gritti [1]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electronic health records management: a comprehensive review and future research direction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 Andrew, Deva Priya Isravel, K Martin Sagayam, Bharat Bhushan, Yuichi Sei, and Jennifer Eunice [2]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for healthcare systems: Architecture, security challenges, trends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Mohammad Salar Arbabi, Chhagan Lal, Narasimha Raghavan Veeraragavan, Dusica Marijan, Jan F Nygård, and Roman Vitenberg [3]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survey on blockchain for healthcare: Challenges, benefits,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Haotian Deng, Jinwen Liang, Chuan Zhang, Ximeng Liu, Liehuang Zhu, and Song Guo [4]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FutureDID: A fully decentralized identity system with multi-party verification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Andrea Flamini, Giada Sciarretta, Mario Scuro, Amir Sharif, Alessandro Tomasi, and Silvio Ranise [5]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On cryptographic mechanisms for the selective disclosure of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Abdul Ghafoor, Iraklis Symeonidis, Anna Rydberg, Cecilia Lindahl, and Abdul Qadus Abbasi [6]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Towards empowering stakeholders through decentralized trust and secure livestock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Pranto Kumar Ghosh, Arindom Chakraborty, Mehedi Hasan, Khalid Rashid, and Abdul Hasib Siddique [7]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application in healthcare systems: a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Remy Hellstern, Daniel C Park, Victoria Lemieux, and Guldana Salimjan [8]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Leveraging blockchain-based archival solutions for sensitive documentation: A Xinjiang case study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Ateya Megahed Ibrahim, Hassanat Ramadan Abdel-Aziz, Heba Ali Hamed Mohamed, Donia Elsaid Fathi Zaghamir, Nadia Mohamed Ibrahim Wahba, Ghada A Hassan, Mostafa Shaban, Mohammad El-Nablaway, Ohoud Naif Aldughmi, and Taghreed Hussien Aboelola [9]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Balancing confidentiality and care coordination: challenges in patient privacy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Vitor Jesus and Harshvardhan J Pandit [10]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receipts for a usable and auditable web of personal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Rong Jiang, Xue Chen, Yimin Yu, Ying Zhang, and Weiping Ding [11]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Risk and UCON-based access control model for healthcare big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Katya Kaplow, Max Downey, Darren Stewart, Allan B Massie, Jennifer D Motter, Lauren Taylor, John Massarelli, Taylor Matalon, Carolyn Sidoti, Macey L Levan, et al [12]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professionals’ attitudes on data privacy, sharing, and consent in healthcare and research</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Muhammad Irfan Khalid, Mansoor Ahmed, Markus Helfert, and Jungsuk Kim [13]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Privacy-first paradigm for dynamic consent management systems: empowering data subjects through decentralized data controllers and privacy-preserving techniques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Alexander Kharlamov, Roland Hohmann, and Glenn Parry [14]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sharing decisions: perceptions and intentions in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Behnam Khayer, Siamak Mirzaei, Hooman Alavizadeh, and Ahmad Salehi Shahraki [15]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 for secure IoT: A review of identity management, access control, and trust mechanisms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Chalima Dimitra Nassar Kyriakidou, Athanasia Maria Papathanasiou, and George C Polyzos [16]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Decentralized identity with applications to security and privacy for the internet of things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Lanlan Li, Charles Z Liu, Kejia Huang, Ruiyi Deng, Majed Abdullah Alrowaily, Mansoor Alghamdi, Ibrahim S Alkhazi, and Malek Alrashidi [17]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Trust-aware environmental state consensus for smart agriculture with TEE-enabled sensing and Byzantine-resilient blockchain coordination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Lanlan Li, Charles Z Liu, and Sanjeeb Shrestha [18]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Analytical entropy approach for measuring blockchain immutability and tamper-resilient trust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Richard K Lomotey, Sandra Kumi, and Ralph Deters [19]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Data trusts as a service: Providing a platform for multi-party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Carlo Mazzocca, Abbas Acar, Selcuk Uluagac, Rebecca Montanari, Paolo Bellavista, and Mauro Conti [20]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survey on decentralized identifiers and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Cindy Welzel, Max Ostermann, Hannah Louise Smith, Timo Minssen, Toralf Kirsten, and Stephen Gilbert [21]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Enabling secure and self determined health data sharing and consent management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Roy McClelland and Colin M Harper [22]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Information privacy in healthcare—the vital role of informed consent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Jämes Ménétrey, Christian Göttel, Anum Khurshid, Marcelo Pasin, Pascal Felber, Valerio Schiavoni, and Shahid Raza [23]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Attestation mechanisms for trusted execution environments demystified</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Trusted Computing and Security Assurance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Minal R Narkhede, Nilesh I Wankhede, and Akanksha M Kamble [24]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Enhancing patient autonomy in data ownership: privacy models and consent frameworks for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Aleena Nazir, Mubashir Husain Rehmani, Bernard Butler, and Donna O’Shea [25]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control in healthcare IoT: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Thanh Linh Nguyen, Lam Nguyen, Thong Hoang, Dilum Bandara, Qin Wang, Qinghua Lu, Xiwei Xu, Liming Zhu, and Shiping Chen [26]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Blockchain-empowered trustworthy data sharing: Fundamentals, applications, and challenges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Rohini Poolat Parameswarath, Prosanta Gope, and Biplab Sikdar [27]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User-empowered privacy-preserving authentication protocol for electric vehicle charging based on decentralized identity and verifiable credential</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Ahmed M Tawfik, Ayman Al-Ahwal, Adly S Tag Eldien, and Hala H Zayed [28]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access control and privacy preservation in healthcare: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Leonidas Theodorakopoulos, Alexandra Theodoropoulou, and Constantinos Halkiopoulos [29]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Enhancing decentralized decision-making with big data and blockchain technology: A comprehensive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Authorisation and Collaborative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Mohammad Nawab Turan, Irshad Ahmed Hashimzai, and Mohammad Qaseem Qiam [30]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 blockchain-based framework for secure and transparent environmental data sharing in smart cities: Enhancing trust, integrity, and interoperability in urban sustainability systems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Blockchain-Based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Emily C Webber, David Brick, James P Scibilia, Peter Dehnel, Council on Clinical Information Technology, et al [31]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2019</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Electronic communication of the health record and information with pediatric patients and their guardians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Healthcare Consent and Data Governance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Hongjian Yin, Yiming Zhao, Lei Zhang, Baojun Qiao, Wenbo Chen, and Huaqing Wang [32]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Attribute-based searchable encryption with decentralized key management for healthcare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Policy- and Context-Aware Access Control</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Jie Yin, Yang Xiao, Qian Chen, Xuefeng Liu, Qingqi Pei, Jianying Zhou, et al [33]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DP-DID: A dynamic and proactive decentralized identity system</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Decentralised Identity and Verifiable Credentials</w:t>
            </w:r>
          </w:p>
        </w:tc>
      </w:tr>
    </w:tbl>
    <w:p>
      <w:pPr>
        <w:spacing w:after="180"/>
      </w:pP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2.4  Review</w:t>
      </w:r>
    </w:p>
    <w:p>
      <w:pPr>
        <w:spacing w:after="140" w:line="300"/>
        <w:jc w:val="both"/>
      </w:pPr>
      <w:r>
        <w:rPr>
          <w:rFonts w:ascii="Cambria" w:cs="Cambria" w:eastAsia="Cambria" w:hAnsi="Cambria"/>
          <w:color w:val="000000"/>
          <w:sz w:val="24"/>
          <w:szCs w:val="24"/>
        </w:rPr>
        <w:t xml:space="preserve">The thematic sections that follow (Sections 2.4.1–2.4.6), together with the comparative analysis in Section 2.4.7, address the review questions as follows. Review question 1 is addressed principally in Sections 2.4.2 and 2.4.4; review question 2 in Sections 2.4.1 and 2.4.5; review question 3 in Section 2.4.3; review question 4 in Sections 2.4.2 and 2.4.5, with its selective-disclosure dimension addressed in Section 2.4.3; and review question 5 is synthesised in Sections 2.4.7 and 2.5, where it motivates the research gap. The lifecycle and evaluation questions 6 and 7 are addressed in Sections 2.4.1 and 2.4.6 respectively.</w:t>
      </w:r>
      <w:r>
        <w:rPr>
          <w:rFonts w:ascii="Cambria" w:cs="Cambria" w:eastAsia="Cambria" w:hAnsi="Cambria"/>
          <w:sz w:val="24"/>
          <w:szCs w:val="24"/>
        </w:rPr>
        <w:t xml:space="preserve"> </w:t>
      </w:r>
      <w:r>
        <w:rPr>
          <w:rFonts w:ascii="Cambria" w:cs="Cambria" w:eastAsia="Cambria" w:hAnsi="Cambria"/>
          <w:color w:val="000000"/>
          <w:sz w:val="24"/>
          <w:szCs w:val="24"/>
        </w:rPr>
        <w:t xml:space="preserve">At the end of each stream, a table summarises the reviewed studies, their issues and limitations, and their commitment to the six key requirements defined in Section 2.2 (Tables 3 to 8).</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3.2 and the sections of the review in which they are addressed, ending in the research gap carried into Chapter 3." title="Figure 4: Correspondence between the seven review questions of Section 2.3.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research gap carried into Chapter 3.</w:t>
      </w:r>
    </w:p>
    <w:p>
      <w:pPr>
        <w:pStyle w:val="Heading3"/>
        <w:spacing w:after="160" w:before="280"/>
      </w:pPr>
      <w:r>
        <w:t xml:space="preserve">2.4.1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[13]</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w:t>
      </w:r>
      <w:r>
        <w:rPr>
          <w:rFonts w:ascii="Cambria" w:cs="Cambria" w:eastAsia="Cambria" w:hAnsi="Cambria"/>
          <w:color w:val="000000"/>
          <w:sz w:val="24"/>
          <w:szCs w:val="24"/>
        </w:rPr>
        <w:t xml:space="preserve">dynamic-consent research [13] recognises that a patient's preferences change over time, and consent receipts [10] provide evidence of how consent was obtained</w:t>
      </w:r>
      <w:r>
        <w:rPr>
          <w:rFonts w:ascii="Cambria" w:cs="Cambria" w:eastAsia="Cambria" w:hAnsi="Cambria"/>
          <w:color w:val="000000"/>
          <w:sz w:val="24"/>
          <w:szCs w:val="24"/>
        </w:rPr>
        <w:t xml:space="preserv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spacing w:after="140" w:line="300"/>
        <w:jc w:val="both"/>
      </w:pPr>
      <w:r>
        <w:rPr>
          <w:rFonts w:ascii="Cambria" w:cs="Cambria" w:eastAsia="Cambria" w:hAnsi="Cambria"/>
          <w:color w:val="000000"/>
          <w:sz w:val="24"/>
          <w:szCs w:val="24"/>
        </w:rPr>
        <w:t xml:space="preserve">Table 3 presents a summary of the studies that fall under the healthcare consent and data governance category and their commitment to the key requirements defined in Section 2.2.</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healthcare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cross-sectional study surveys 150 nurses in an Egyptian general hospital, using HIPAA, privacy-impact, data-sharing-agreement and EHR security instruments, to identify challenges and strategies in balancing patient confidentiality with care coordination.</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an empirical nursing survey without a technical mechanism; it does not address consent representation, identity verification, multi-party authorisation, access-control policy or verifiable audit.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propose consent receipts, records of consent interactions that individuals and organisations retain and later use as proof, to support legal compliance, usability, transparency and accountability in online consent for personal data.</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is captured as a receipt or record of interaction rather than as an evaluable authorisation object, and the approach is web-focused, without decentralised identity, multi-party approval or access-time policy enforcement.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report a 43-item online survey of United States professionals who work with health data, examining their trust in different sectors and their views on consent, control and privacy standards for health data use.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descriptive and attitudinal; it proposes no consent model, identity mechanism or access-control design, so none of the technical requirements is addressed, although respondents' preference for use-specific consent motivates purpose-bound authorisation.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examines existing blockchain-based dynamic consent management systems, identifies the privacy risk of storing consent in plaintext on-chain, and proposes a model with a decentralised data controller and encrypted consent handled through privacy-preserving techniques.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Consent is treated as encrypted data to be protected rather than as an evaluable authorisation object; the model does not provide decentralised identity, multi-party approval or purpose-aware policy evaluation, and remains largely conceptual.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develop and apply a measurement scale to explain individuals' intention to share healthcare data in the UK National Health Service context, using survey data from 129 respondents.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models behavioural intention (perceived information risk and societal benefit) and offers no technical mechanism for consent representation, identity, authorisation or auditability; its small survey measures intention rather than actual behaviour.</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present an early-stage conceptual framework that reviews blockchain, self-sovereign identity with decentralised identifiers, and de-identified tokens for integration into a consent management system that tracks consent and the use of personally generated health data.</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framework is conceptual and unevaluated; it tracks consent and data use but does not model consent as an evaluable authorisation object, support multi-party approval, or specify enforcement of validity and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analyse the legal and ethical bases for using and disclosing patient information in Europe, contrasting the GDPR's explicit consent with implied consent under common law and professional ethics for direct care, other healthcare purposes and uses outside healthcare.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 legal-ethical analysis with no technical design; it clarifies purpose-dependent consent requirements but does not provide mechanisms for representing, enforcing or auditing consent.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review examines the ethical, legal and technological aspects of patient data ownership, comparing private, public and hybrid privacy models and dynamic and granular consent frameworks, with reference to My Health Record and Estonia's e-Health system.</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is a narrative review that discusses dynamic consent conceptually but proposes no formal consent model, decentralised identity mechanism, multi-party approval or verifiable audit design.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American Academy of Pediatrics policy statement examines electronic access to health records by paediatric and adolescent patients and their guardians, identifying inconsistent age thresholds, limited proxy and filtering support in EHRs, and conflicting laws.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statement offers policy recommendations, not a technical mechanism. It identifies the need to filter proxy access and to balance adolescent and guardian rights but proposes no system for doing so.</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spacing w:after="140" w:line="300"/>
        <w:jc w:val="both"/>
      </w:pPr>
      <w:r>
        <w:rPr>
          <w:rFonts w:ascii="Cambria" w:cs="Cambria" w:eastAsia="Cambria" w:hAnsi="Cambria"/>
          <w:color w:val="000000"/>
          <w:sz w:val="24"/>
          <w:szCs w:val="24"/>
        </w:rPr>
        <w:t xml:space="preserve">Table 4 presents a summary of the studies that come under the blockchain category and their commitment to the key requirements.</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blockchain-based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systematic review examines blockchain-based electronic health record management, comparing prior studies on privacy, security, scalability, accessibility, cost, consensus algorithms and blockchain type, and outlines directions for future EHR systems.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As a review centred on EHR storage and platform choice, it does not model consent as an evaluable authorisation object, nor address decentralised identity, multi-party approval, purpose-bound access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blockchain technology for healthcare from application and technical perspectives, discussing architecture, regulatory constraints such as HIPAA, authentication, interoperability and record-sharing requirements, and open challenges in scalability, security and privacy.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treats blockchain as a general integrity and trust layer; it does not define structured consent, threshold approval, consent-bound policy evaluation or post-grant revocation mechanisms.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reviews blockchain-based healthcare solutions and proposes a classification framework covering interactions between healthcare entities, functional components of health data storage systems, domain challenges that blockchain can address, and benefits derived from its features.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classifies existing systems rather than proposing a mechanism; consent representation, credential-based authority, multi-party authorisation and consent lifecycle enforcement are not examined as distinct requirements.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review 144 articles on blockchain applications in healthcare, discussing the potential and limits of the technology for electronic health record systems and healthcare operations, and identifying difficulties and areas for future research.</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offers a broad overview of blockchain uses and challenges but does not examine consent structure, decentralised identity, multi-party authorisation, purpose-aware access control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exploratory study surveys literature on decentralised storage and archival science and examines how NGOs and academic groups use distributed ledger tools, such as Starling Lab, to preserve sensitive human-rights documentation relating to Xinjiang.</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concerns archival integrity for human-rights records; it does not address consent, identity, access authorisation or healthcare data, and offers no security evaluation of the systems discussed.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examines blockchain-based data-sharing architectures, discusses provenance, privacy and consent-management issues in existing platforms, proposes a reference architecture, and reviews applications in healthcare, smart grid, transportation and decarbonisation.</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is domain-general and architectural. Consent management is named as an open issue rather than modelled, and multi-party threshold approval and identity-authority separation are not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systematic literature review analyses 23 papers published between 2019 and 2025 on how blockchain frameworks support secure, transparent and interoperable sharing of environmental data in smart cities.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concerns urban environmental data rather than personal health data, and considers blockchain integrity and transparency only; consent, identity, multi-party authorisation and access policy are outside its scope.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w:t>
      </w:r>
      <w:r>
        <w:rPr>
          <w:rFonts w:ascii="Cambria" w:cs="Cambria" w:eastAsia="Cambria" w:hAnsi="Cambria"/>
          <w:color w:val="000000"/>
          <w:sz w:val="24"/>
          <w:szCs w:val="24"/>
        </w:rPr>
        <w:t xml:space="preserve">[5]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w:t>
      </w:r>
      <w:r>
        <w:rPr>
          <w:rFonts w:ascii="Cambria" w:cs="Cambria" w:eastAsia="Cambria" w:hAnsi="Cambria"/>
          <w:b w:val="false"/>
          <w:bCs w:val="false"/>
          <w:color w:val="000000"/>
          <w:sz w:val="24"/>
          <w:szCs w:val="24"/>
        </w:rPr>
        <w:t xml:space="preserve">identifying the open challenges that remain for DID- and VC-based designs</w:t>
      </w:r>
      <w:r>
        <w:rPr>
          <w:rFonts w:ascii="Cambria" w:cs="Cambria" w:eastAsia="Cambria" w:hAnsi="Cambria"/>
          <w:b w:val="false"/>
          <w:bCs w:val="false"/>
          <w:sz w:val="24"/>
          <w:szCs w:val="24"/>
        </w:rPr>
        <w:t xml:space="preserve"> [15].</w:t>
      </w:r>
    </w:p>
    <w:p>
      <w:pPr>
        <w:spacing w:after="140" w:line="300"/>
        <w:jc w:val="both"/>
      </w:pPr>
      <w:r>
        <w:rPr>
          <w:rFonts w:ascii="Cambria" w:cs="Cambria" w:eastAsia="Cambria" w:hAnsi="Cambria"/>
          <w:color w:val="000000"/>
          <w:sz w:val="24"/>
          <w:szCs w:val="24"/>
        </w:rPr>
        <w:t xml:space="preserve">Table 5 presents a summary of the decentralised identity and verifiable credential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decentralised identity and verifiable credentials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FutureDID, a decentralised identity system in which committees jointly issue credentials using distributed key generation, removing single points of failure, and which supports efficient revocation of DID identities.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Multi-party verification applies to credential issuance rather than to authorising data access, and the system does not represent consent, evaluate purpose or data scope, or target healthcare settings.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compare cryptographic mechanisms for selective disclosure of verifiable credential attributes, grouping them into hash-commitment and zero-knowledge-proof approaches, and assess standardisation maturity, cryptographic agility, quantum safety, and credential size and performance.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concentrates on privacy-preserving credential presentation; it does not link credentials to consent, access policy, multi-party approval or healthcare authorisation decisions.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narrative review surveys blockchain-based decentralised identity management, smart-contract access control, trust and reputation mechanisms, and privacy-preserving cryptographic tools for large-scale Internet of Things deployments, and outlines open challenges.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is oriented to device-level IoT identity and trust rather than patient consent; it does not address consent representation, multi-party approval or consent lifecycle, and reports unresolved scalability, regulatory and interoperability issues.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examine self-sovereign identity, decentralised identifiers and verifiable credentials, review systems that apply these components to authentication, authorisation and access control in IoT environments, and discuss the associated benefits and challenges.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addresses identity and credential management for IoT devices and users; it does not model consent, collective approval or context-aware policy evaluation, and lifecycle concerns are limited to credential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survey provides background on W3C decentralised identifiers and verifiable credentials, analyses available implementations, reviews their use across application domains beyond self-sovereign identity, and discusses regulations, adoption challenges and research directions.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As a general survey of identity technologies, it does not address how identity and credentials combine with consent semantics, collective authorisation or purpose-aware policy enforcement in healthcare.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privacy-aware authenticated key exchange protocol for electric vehicle charging in which users hold DIDs and present verifiable credentials, allowing charging providers to authenticate legitimate users while the users remain anonymous.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protocol serves a single-user, single-verifier charging setting outside healthcare. It does not model consent, collective authorisation, purpose-bound policy evaluation or revocation of granted permissions.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DP-DID, a decentralised identity system based on blockchain, DIDs and verifiable credentials that uses dynamic, proactively refreshed threshold committees for identity services so that it resists mobile adversaries who gradually compromise nodes.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threshold committees protect identity infrastructure such as key management and credential issuance, not authorisation of data access. Consent, purpose-bound access policy and healthcare stakeholders are not considered.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w:t>
      </w:r>
      <w:r>
        <w:rPr>
          <w:rFonts w:ascii="Cambria" w:cs="Cambria" w:eastAsia="Cambria" w:hAnsi="Cambria"/>
          <w:color w:val="000000"/>
          <w:sz w:val="24"/>
          <w:szCs w:val="24"/>
        </w:rPr>
        <w:t xml:space="preserve">[21,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w:t>
      </w:r>
      <w:r>
        <w:rPr>
          <w:rFonts w:ascii="Cambria" w:cs="Cambria" w:eastAsia="Cambria" w:hAnsi="Cambria"/>
          <w:b w:val="false"/>
          <w:bCs w:val="false"/>
          <w:color w:val="000000"/>
          <w:sz w:val="24"/>
          <w:szCs w:val="24"/>
        </w:rPr>
        <w:t xml:space="preserve">illustrating that decentralised trust mechanisms for multi-stakeholder data sharing are not specific to healthcare</w:t>
      </w:r>
      <w:r>
        <w:rPr>
          <w:rFonts w:ascii="Cambria" w:cs="Cambria" w:eastAsia="Cambria" w:hAnsi="Cambria"/>
          <w:b w:val="false"/>
          <w:bCs w:val="false"/>
          <w:sz w:val="24"/>
          <w:szCs w:val="24"/>
        </w:rPr>
        <w:t xml:space="preserve"> [6].</w:t>
      </w:r>
    </w:p>
    <w:p>
      <w:pPr>
        <w:spacing w:after="140" w:line="300"/>
        <w:jc w:val="both"/>
      </w:pPr>
      <w:r>
        <w:rPr>
          <w:rFonts w:ascii="Cambria" w:cs="Cambria" w:eastAsia="Cambria" w:hAnsi="Cambria"/>
          <w:color w:val="000000"/>
          <w:sz w:val="24"/>
          <w:szCs w:val="24"/>
        </w:rPr>
        <w:t xml:space="preserve">Where the reviewed systems support multiple approvers, approval is typically </w:t>
      </w:r>
      <w:r>
        <w:rPr>
          <w:rFonts w:ascii="Cambria" w:cs="Cambria" w:eastAsia="Cambria" w:hAnsi="Cambria"/>
          <w:color w:val="000000"/>
          <w:sz w:val="24"/>
          <w:szCs w:val="24"/>
        </w:rPr>
        <w:t xml:space="preserve">realised through platform governance or data-subject policies [19]</w:t>
      </w:r>
      <w:r>
        <w:rPr>
          <w:rFonts w:ascii="Cambria" w:cs="Cambria" w:eastAsia="Cambria" w:hAnsi="Cambria"/>
          <w:color w:val="000000"/>
          <w:sz w:val="24"/>
          <w:szCs w:val="24"/>
        </w:rPr>
        <w:t xml:space="preserve"> rather than represented as a verifiable threshold condition bound to the consent object itself. It is this representational absence, rather than the absence of multi-party mechanisms as such, that the proposed framework addresses.</w:t>
      </w:r>
    </w:p>
    <w:p>
      <w:pPr>
        <w:spacing w:after="140" w:line="300"/>
        <w:jc w:val="both"/>
      </w:pPr>
      <w:r>
        <w:rPr>
          <w:rFonts w:ascii="Cambria" w:cs="Cambria" w:eastAsia="Cambria" w:hAnsi="Cambria"/>
          <w:color w:val="000000"/>
          <w:sz w:val="24"/>
          <w:szCs w:val="24"/>
        </w:rPr>
        <w:t xml:space="preserve">Table 6 presents a summary of the studies on multi-party authorisation and collaborative governance and their commitment to the key requirements.</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presents FLEX, a framework for secure data exchange among livestock supply-chain stakeholders that combines distributed ledger protocols, cryptographic protection and a web-based digital wallet supporting data sovereignty and consent management.</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framework serves agricultural supply chains; although it involves several stakeholders and consent management, it does not define threshold-based approval, purpose-bound policy evaluation or consent revocation for sensitive health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Data Trusts as a Service, a cloud platform for multi-partner data sharing in which data subjects track where their data are and control who may access them and for what use through policies, with blockchain recording provenance.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Control rests with the data subject and custodians under policies or contracts; the platform does not provide threshold or collective approval, decentralised identity, or consent expiry and revocation, and relies on a cloud service.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review examines how big data, blockchain and distributed systems together support decentralised decision-making across industries, discussing security, transparency and real-time analysis through case studies including Estonia's healthcare system, IBM Food Trust and the Brooklyn Microgrid.</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review addresses organisational decision-making in general. It does not describe multi-party approval of access requests, threshold authorisation, consent representation or healthcare access policy.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w:t>
      </w:r>
      <w:r>
        <w:rPr>
          <w:rFonts w:ascii="Cambria" w:cs="Cambria" w:eastAsia="Cambria" w:hAnsi="Cambria"/>
          <w:color w:val="000000"/>
          <w:sz w:val="24"/>
          <w:szCs w:val="24"/>
        </w:rPr>
        <w:t xml:space="preserve">[32, 11, 28], policy evaluation</w:t>
      </w:r>
      <w:r>
        <w:rPr>
          <w:rFonts w:ascii="Cambria" w:cs="Cambria" w:eastAsia="Cambria" w:hAnsi="Cambria"/>
          <w:color w:val="000000"/>
          <w:sz w:val="24"/>
          <w:szCs w:val="24"/>
        </w:rPr>
        <w:t xml:space="preserve">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spacing w:after="140" w:line="300"/>
        <w:jc w:val="both"/>
      </w:pPr>
      <w:r>
        <w:rPr>
          <w:rFonts w:ascii="Cambria" w:cs="Cambria" w:eastAsia="Cambria" w:hAnsi="Cambria"/>
          <w:color w:val="000000"/>
          <w:sz w:val="24"/>
          <w:szCs w:val="24"/>
        </w:rPr>
        <w:t xml:space="preserve">Table 7 presents a summary of the access-control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policy-based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RQ-UCON, a usage-control model for healthcare big data that adds risk quantification based on physicians' access history and uses hierarchical clustering to derive risk intervals applied as access conditions.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decisions depend on the requester's risk profile rather than on patient-authorised purpose and data scope, and the model does not include consent, decentralised identity, multi-party approval or verifiable audit evidence.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access control in healthcare IoT, analysing RBAC, ABAC, capability-based and context-aware models, emergency access and privacy compliance, and discussing blockchain, artificial intelligence, Zero Trust and edge computing for decentralised enforcement.</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treats access decisions in terms of roles, attributes, capabilities and context; patient consent as an evaluable object, guardian co-approval and decentralised identity verification are not central to its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survey blockchain-based access control frameworks for electronic health records, classifying them as permissioned or permissionless and examining how smart contracts and privacy-preserving techniques support authentication, access control, integrity and availability.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survey centres on access control and privacy of EHRs; consent is not treated as a structured object, and guardian co-approval, decentralised identity and consent lifecycle management receive little attention.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decentralised ciphertext-policy attribute-based searchable encryption scheme for cloud-stored healthcare data, in which the master key is jointly managed by attribute nodes on a blockchain to avoid a single authority.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Access is governed by cryptographic attribute policies over encrypted data; patient consent, purpose limitation, guardian approval and consent revocation are not modelled, and joint key management is not collective access approval.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w:t>
      </w:r>
      <w:r>
        <w:rPr>
          <w:rFonts w:ascii="Cambria" w:cs="Cambria" w:eastAsia="Cambria" w:hAnsi="Cambria"/>
          <w:color w:val="000000"/>
          <w:sz w:val="24"/>
          <w:szCs w:val="24"/>
        </w:rPr>
        <w:t xml:space="preserve">analytical or simulation-based reasoning about security properties is found only in a minority of studies [18]</w:t>
      </w:r>
      <w:r>
        <w:rPr>
          <w:rFonts w:ascii="Cambria" w:cs="Cambria" w:eastAsia="Cambria" w:hAnsi="Cambria"/>
          <w:color w:val="000000"/>
          <w:sz w:val="24"/>
          <w:szCs w:val="24"/>
        </w:rPr>
        <w:t xml:space="preserve">.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spacing w:after="140" w:line="300"/>
        <w:jc w:val="both"/>
      </w:pPr>
      <w:r>
        <w:rPr>
          <w:rFonts w:ascii="Cambria" w:cs="Cambria" w:eastAsia="Cambria" w:hAnsi="Cambria"/>
          <w:color w:val="000000"/>
          <w:sz w:val="24"/>
          <w:szCs w:val="24"/>
        </w:rPr>
        <w:t xml:space="preserve">Table 8 presents a summary of the trusted computing and security assurance studies and their commitment to the key requirements.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trusted computing, secure execution and security assurance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40"/>
        <w:gridCol w:w="2480"/>
        <w:gridCol w:w="620"/>
        <w:gridCol w:w="620"/>
        <w:gridCol w:w="620"/>
        <w:gridCol w:w="620"/>
        <w:gridCol w:w="620"/>
        <w:gridCol w:w="620"/>
      </w:tblGrid>
      <w:tr>
        <w:trPr>
          <w:tblHeader/>
        </w:trPr>
        <w:tc>
          <w:tcPr>
            <w:tcW w:type="dxa" w:w="7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4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proposes a smart-agriculture framework in which TEE-enabled sensors provide authenticated readings, Byzantine-resilient aggregation estimates a consistent environmental state, and a lightweight permissioned blockchain commits validated states, evaluated on a greenhouse IoT platform.</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concerns sensor-data integrity in agriculture; it does not involve consent, identity credentials, authorisation or access policies, and its security evidence is experimental rather than formal.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authors develop an entropy-based framework that models blockchain states as probability distributions to quantify on-chain immutability, off-chain data integrity and computation in blockchain virtual machines, supported by simulations under varying adversarial fractions.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study provides a general analytical measure of ledger immutability and tamper evidence but does not address consent, identity, authorisation or access policy, nor healthcare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r>
        <w:trPr>
          <w:cantSplit/>
        </w:trPr>
        <w:tc>
          <w:tcPr>
            <w:tcW w:type="dxa" w:w="7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4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This study reviews the principles of remote attestation and explains how Intel SGX, Arm TrustZone, AMD SEV and emerging RISC-V trusted execution environments apply these mechanisms to establish trust in the code they execute.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The work concerns hardware-level execution integrity only. It does not consider consent, identity, multi-party authorisation or access policy, and it is not situated in healthcare data sharing.</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7"/>
                <w:szCs w:val="17"/>
              </w:rPr>
              <w:t xml:space="preserve">√</w:t>
            </w:r>
          </w:p>
        </w:tc>
      </w:tr>
    </w:tbl>
    <w:p>
      <w:pPr>
        <w:spacing w:after="180"/>
      </w:pPr>
    </w:p>
    <w:p>
      <w:pPr>
        <w:pStyle w:val="Heading3"/>
        <w:spacing w:after="160" w:before="280"/>
      </w:pPr>
      <w:r>
        <w:t xml:space="preserve">2.4.7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9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2.5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Heading3"/>
        <w:spacing w:after="160" w:before="280"/>
      </w:pPr>
      <w:r>
        <w:rPr>
          <w:color w:val="000000"/>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As presented in Tables 3 to 8, the reviewed studies have concentrated on recording consent, verifying identities and enforcing access policies as separate concerns. From the perspective of the six key requirements defined in Section 2.2, the existing work has the following drawbacks:</w:t>
      </w:r>
    </w:p>
    <w:p>
      <w:pPr>
        <w:spacing w:after="140" w:line="300"/>
        <w:jc w:val="both"/>
      </w:pPr>
      <w:r>
        <w:rPr>
          <w:rFonts w:ascii="Cambria" w:cs="Cambria" w:eastAsia="Cambria" w:hAnsi="Cambria"/>
          <w:b/>
          <w:bCs/>
          <w:color w:val="000000"/>
          <w:sz w:val="24"/>
          <w:szCs w:val="24"/>
        </w:rPr>
        <w:t xml:space="preserve">Representation of consent as an evaluable authorisation object (Req 1):</w:t>
      </w:r>
      <w:r>
        <w:rPr>
          <w:rFonts w:ascii="Cambria" w:cs="Cambria" w:eastAsia="Cambria" w:hAnsi="Cambria"/>
          <w:color w:val="000000"/>
          <w:sz w:val="24"/>
          <w:szCs w:val="24"/>
        </w:rPr>
        <w:t xml:space="preserve"> none of the 33 reviewed studies satisfies this requirement. The studies that come closest treat consent as a receipt (S10), as a dynamic preference that can be updated (S13, S24) or as a record tracked by a conceptual framework (S21), while the blockchain studies (S1, S2, S3, S7) store consent as a transaction on a ledger. In each case the consent establishes that a decision occurred; it does not carry the identity, authority, purpose, temporal and jurisdictional conditions in a form that can be evaluated at the time of a request. This is important because, without such a representation, the trustworthiness of an access decision cannot be traced back to the consent itself.</w:t>
      </w:r>
    </w:p>
    <w:p>
      <w:pPr>
        <w:spacing w:after="140" w:line="300"/>
        <w:jc w:val="both"/>
      </w:pPr>
      <w:r>
        <w:rPr>
          <w:rFonts w:ascii="Cambria" w:cs="Cambria" w:eastAsia="Cambria" w:hAnsi="Cambria"/>
          <w:b/>
          <w:bCs/>
          <w:color w:val="000000"/>
          <w:sz w:val="24"/>
          <w:szCs w:val="24"/>
        </w:rPr>
        <w:t xml:space="preserve">Decentralised verification of identity and authority (Req 2):</w:t>
      </w:r>
      <w:r>
        <w:rPr>
          <w:rFonts w:ascii="Cambria" w:cs="Cambria" w:eastAsia="Cambria" w:hAnsi="Cambria"/>
          <w:color w:val="000000"/>
          <w:sz w:val="24"/>
          <w:szCs w:val="24"/>
        </w:rPr>
        <w:t xml:space="preserve"> this requirement is addressed by S4, S5, S15, S16, S20, S21, S27, S33. These studies provide mature mechanisms for decentralised identifiers, verifiable credentials and privacy-preserving authentication. However, they establish who a participant is rather than what that participant is authorised to do with a particular patient's data. Consequently, the separation between identity verification and authority verification, and the binding of both to the consent object, remains unaddressed.</w:t>
      </w:r>
    </w:p>
    <w:p>
      <w:pPr>
        <w:spacing w:after="140" w:line="300"/>
        <w:jc w:val="both"/>
      </w:pPr>
      <w:r>
        <w:rPr>
          <w:rFonts w:ascii="Cambria" w:cs="Cambria" w:eastAsia="Cambria" w:hAnsi="Cambria"/>
          <w:b/>
          <w:bCs/>
          <w:color w:val="000000"/>
          <w:sz w:val="24"/>
          <w:szCs w:val="24"/>
        </w:rPr>
        <w:t xml:space="preserve">Multi-party authorisation through a verifiable threshold (Req 3):</w:t>
      </w:r>
      <w:r>
        <w:rPr>
          <w:rFonts w:ascii="Cambria" w:cs="Cambria" w:eastAsia="Cambria" w:hAnsi="Cambria"/>
          <w:color w:val="000000"/>
          <w:sz w:val="24"/>
          <w:szCs w:val="24"/>
        </w:rPr>
        <w:t xml:space="preserve"> no reviewed study satisfies this requirement. S6, S19 and S29 investigate data sharing among several stakeholders, but approval is realised through platform governance or the policies of the data subject rather than as a threshold condition that is checkable by any party. The threshold committees of S33 protect the identity infrastructure, and the committee approval of S4 concerns the issuance of credentials; neither applies to the authorisation of a data-access request. The literature therefore provides multi-party mechanisms, but not multi-party authorisation of consent.</w:t>
      </w:r>
    </w:p>
    <w:p>
      <w:pPr>
        <w:spacing w:after="140" w:line="300"/>
        <w:jc w:val="both"/>
      </w:pPr>
      <w:r>
        <w:rPr>
          <w:rFonts w:ascii="Cambria" w:cs="Cambria" w:eastAsia="Cambria" w:hAnsi="Cambria"/>
          <w:b/>
          <w:bCs/>
          <w:color w:val="000000"/>
          <w:sz w:val="24"/>
          <w:szCs w:val="24"/>
        </w:rPr>
        <w:t xml:space="preserve">Policy- and context-aware enforcement at the time of access (Req 4):</w:t>
      </w:r>
      <w:r>
        <w:rPr>
          <w:rFonts w:ascii="Cambria" w:cs="Cambria" w:eastAsia="Cambria" w:hAnsi="Cambria"/>
          <w:color w:val="000000"/>
          <w:sz w:val="24"/>
          <w:szCs w:val="24"/>
        </w:rPr>
        <w:t xml:space="preserve"> this requirement is addressed by S11, S15, S19, S25, S28, S32. These studies evaluate requests against roles, attributes, risk levels or usage conditions. However, the policies are bound to the requester rather than to the purpose and the data scope that the patient authorised, and none of them evaluates the jurisdiction in which the data may be used. As a result, a legitimate requester can exceed the scope of the consent without being refused.</w:t>
      </w:r>
    </w:p>
    <w:p>
      <w:pPr>
        <w:spacing w:after="140" w:line="300"/>
        <w:jc w:val="both"/>
      </w:pPr>
      <w:r>
        <w:rPr>
          <w:rFonts w:ascii="Cambria" w:cs="Cambria" w:eastAsia="Cambria" w:hAnsi="Cambria"/>
          <w:b/>
          <w:bCs/>
          <w:color w:val="000000"/>
          <w:sz w:val="24"/>
          <w:szCs w:val="24"/>
        </w:rPr>
        <w:t xml:space="preserve">Temporal validity and lifecycle control of consent (Req 5):</w:t>
      </w:r>
      <w:r>
        <w:rPr>
          <w:rFonts w:ascii="Cambria" w:cs="Cambria" w:eastAsia="Cambria" w:hAnsi="Cambria"/>
          <w:color w:val="000000"/>
          <w:sz w:val="24"/>
          <w:szCs w:val="24"/>
        </w:rPr>
        <w:t xml:space="preserve"> only S4, S13, S24 address this requirement, and only in part. S4 revokes identities rather than consents, S13 allows consent preferences to evolve, and S24 reviews dynamic consent without enforcing it. None of the studies enforces the validity interval of a consent at every request, makes revocation verifiable at the ledger level, or restricts the transitions between consent states. This is the least developed of the six requirements in the reviewed literature.</w:t>
      </w:r>
    </w:p>
    <w:p>
      <w:pPr>
        <w:spacing w:after="140" w:line="300"/>
        <w:jc w:val="both"/>
      </w:pPr>
      <w:r>
        <w:rPr>
          <w:rFonts w:ascii="Cambria" w:cs="Cambria" w:eastAsia="Cambria" w:hAnsi="Cambria"/>
          <w:b/>
          <w:bCs/>
          <w:color w:val="000000"/>
          <w:sz w:val="24"/>
          <w:szCs w:val="24"/>
        </w:rPr>
        <w:t xml:space="preserve">Verifiable auditability and security assurance (Req 6):</w:t>
      </w:r>
      <w:r>
        <w:rPr>
          <w:rFonts w:ascii="Cambria" w:cs="Cambria" w:eastAsia="Cambria" w:hAnsi="Cambria"/>
          <w:color w:val="000000"/>
          <w:sz w:val="24"/>
          <w:szCs w:val="24"/>
        </w:rPr>
        <w:t xml:space="preserve"> this is the most frequently addressed requirement (18 of the 33 studies), because a blockchain ledger provides tamper-evident evidence of the recorded events by construction. However, the assurance offered by these studies is functional: they demonstrate that valid operations are recorded correctly. Analytical or adversarial validation of the authorisation properties, such as the impossibility of access after revocation or without sufficient approvals, is found only in S18 and, at the level of the execution environment, in S23. None of the studies validates the negative cases of a consent decision.</w:t>
      </w:r>
    </w:p>
    <w:p>
      <w:pPr>
        <w:spacing w:after="140" w:line="300"/>
        <w:jc w:val="both"/>
      </w:pPr>
      <w:r>
        <w:rPr>
          <w:rFonts w:ascii="Cambria" w:cs="Cambria" w:eastAsia="Cambria" w:hAnsi="Cambria"/>
          <w:color w:val="000000"/>
          <w:sz w:val="24"/>
          <w:szCs w:val="24"/>
        </w:rPr>
        <w:t xml:space="preserve">Taken together, these drawbacks show that the existing literature supplies the individual building blocks of trustworthy consent authorisation but does not connect them. The identification of this gap is developed in the remainder of this section, and the next chapter restates it as a set of research questions and objectives.</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2.4.1 and the scarcity of formal security analysis identified in Section 2.4.6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2"/>
        <w:spacing w:after="160" w:before="280"/>
      </w:pPr>
      <w:r>
        <w:rPr>
          <w:color w:val="000000"/>
        </w:rPr>
        <w:t xml:space="preserve">2.6  Conclusion</w:t>
      </w:r>
    </w:p>
    <w:p>
      <w:pPr>
        <w:spacing w:after="140" w:line="300"/>
        <w:jc w:val="both"/>
      </w:pPr>
      <w:r>
        <w:rPr>
          <w:rFonts w:ascii="Cambria" w:cs="Cambria" w:eastAsia="Cambria" w:hAnsi="Cambria"/>
          <w:color w:val="000000"/>
          <w:sz w:val="24"/>
          <w:szCs w:val="24"/>
        </w:rPr>
        <w:t xml:space="preserve">This systematic literature review defined six key requirements that a trustworthy authorisation framework for multi-party patient consent should satisfy: the representation of consent as an evaluable authorisation object, the decentralised verification of identity and authority, multi-party authorisation through a verifiable threshold, policy- and context-aware enforcement at the time of access, temporal validity and lifecycle control, and verifiable auditability and security assurance. Following a PRISMA-based process, 33 studies were shortlisted from 125 records and were reviewed in six thematic streams. Each study was assessed against the six requirements, and the results are summarised in Tables 3 to 8.</w:t>
      </w:r>
    </w:p>
    <w:p>
      <w:pPr>
        <w:spacing w:after="140" w:line="300"/>
        <w:jc w:val="both"/>
      </w:pPr>
      <w:r>
        <w:rPr>
          <w:rFonts w:ascii="Cambria" w:cs="Cambria" w:eastAsia="Cambria" w:hAnsi="Cambria"/>
          <w:color w:val="000000"/>
          <w:sz w:val="24"/>
          <w:szCs w:val="24"/>
        </w:rPr>
        <w:t xml:space="preserve">The review shows that the existing studies provide strong solutions for individual requirements. Blockchain-based systems satisfy the auditability requirement, decentralised identity studies satisfy the identity requirement, and access-control studies satisfy the policy requirement. However, no reviewed study satisfies all six requirements together, and only a small number address the temporal and lifecycle requirement or provide security assurance beyond a functional demonstration. Consequently, the research gap identified in this chapter is not the absence of individual mechanisms but the absence of a framework that connects them into a single, verifiable authorisation decision.</w:t>
      </w:r>
    </w:p>
    <w:p>
      <w:pPr>
        <w:spacing w:after="140" w:line="300"/>
        <w:jc w:val="both"/>
      </w:pPr>
      <w:r>
        <w:rPr>
          <w:rFonts w:ascii="Cambria" w:cs="Cambria" w:eastAsia="Cambria" w:hAnsi="Cambria"/>
          <w:color w:val="000000"/>
          <w:sz w:val="24"/>
          <w:szCs w:val="24"/>
        </w:rPr>
        <w:t xml:space="preserve">The next chapter builds on this gap. It restates the gap in terms of a trust-oriented authorisation problem, defines the key terms used in this study, and presents the main research question, the six sub-research questions and the corresponding research objectives.</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lifecycle validity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This is important because only a consent in the ACTIVE state can satisfy the authorisation condition. Consequently,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jc w:val="center"/>
      </w:pPr>
      <w:r>
        <w:rPr>
          <w:rFonts w:ascii="Cambria" w:cs="Cambria" w:eastAsia="Cambria" w:hAnsi="Cambria"/>
          <w:i/>
          <w:iCs/>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jc w:val="center"/>
      </w:pPr>
      <w:r>
        <w:rPr>
          <w:rFonts w:ascii="Cambria" w:cs="Cambria" w:eastAsia="Cambria" w:hAnsi="Cambria"/>
          <w:i/>
          <w:iCs/>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jc w:val="center"/>
      </w:pPr>
      <w:r>
        <w:rPr>
          <w:rFonts w:ascii="Cambria" w:cs="Cambria" w:eastAsia="Cambria" w:hAnsi="Cambria"/>
          <w:i/>
          <w:iCs/>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jc w:val="center"/>
      </w:pPr>
      <w:r>
        <w:rPr>
          <w:rFonts w:ascii="Cambria" w:cs="Cambria" w:eastAsia="Cambria" w:hAnsi="Cambria"/>
          <w:i/>
          <w:iCs/>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12.</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jc w:val="center"/>
      </w:pPr>
      <w:r>
        <w:rPr>
          <w:rFonts w:ascii="Cambria" w:cs="Cambria" w:eastAsia="Cambria" w:hAnsi="Cambria"/>
          <w:i/>
          <w:iCs/>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jc w:val="center"/>
      </w:pPr>
      <w:r>
        <w:rPr>
          <w:rFonts w:ascii="Cambria" w:cs="Cambria" w:eastAsia="Cambria" w:hAnsi="Cambria"/>
          <w:i/>
          <w:iCs/>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jc w:val="center"/>
      </w:pPr>
      <w:r>
        <w:rPr>
          <w:rFonts w:ascii="Cambria" w:cs="Cambria" w:eastAsia="Cambria" w:hAnsi="Cambria"/>
          <w:i/>
          <w:iCs/>
          <w:sz w:val="20"/>
          <w:szCs w:val="20"/>
        </w:rPr>
        <w:t xml:space="preserve">[Figure 14: RO4 workflow for policy- and context-aware access control]</w:t>
      </w:r>
    </w:p>
    <w:p>
      <w:pPr>
        <w:pStyle w:val="Heading3"/>
        <w:spacing w:after="160" w:before="280"/>
      </w:pPr>
      <w: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Here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denotes the composite temporal–state predicate evaluated by this procedure;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jc w:val="center"/>
      </w:pPr>
      <w:r>
        <w:rPr>
          <w:rFonts w:ascii="Cambria" w:cs="Cambria" w:eastAsia="Cambria" w:hAnsi="Cambria"/>
          <w:i/>
          <w:iCs/>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jc w:val="center"/>
      </w:pPr>
      <w:r>
        <w:rPr>
          <w:rFonts w:ascii="Cambria" w:cs="Cambria" w:eastAsia="Cambria" w:hAnsi="Cambria"/>
          <w:i/>
          <w:iCs/>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as enforced by the implemented Consent Engine." title="Figure 28: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16: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00" w:before="100"/>
      </w:pPr>
      <w:r>
        <w:rPr>
          <w:rFonts w:ascii="Cambria" w:cs="Cambria" w:eastAsia="Cambria" w:hAnsi="Cambria"/>
          <w:b/>
          <w:bCs/>
          <w:color w:val="C00000"/>
          <w:sz w:val="19"/>
          <w:szCs w:val="19"/>
        </w:rPr>
        <w:t xml:space="preserve">◆ [RED — يجب حله قبل التسليم] R1: Before submitting, re-open every link on this page and confirm the contract, both transactions and the token pages still resolve on Sepolia Etherscan exactly as described. The whole evidentiary chain of the report depends on these.</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00" w:before="100"/>
      </w:pPr>
      <w:r>
        <w:rPr>
          <w:rFonts w:ascii="Cambria" w:cs="Cambria" w:eastAsia="Cambria" w:hAnsi="Cambria"/>
          <w:b/>
          <w:bCs/>
          <w:color w:val="C00000"/>
          <w:sz w:val="19"/>
          <w:szCs w:val="19"/>
        </w:rPr>
        <w:t xml:space="preserve">◆ [RED — يجب حله قبل التسليم] R2a: Status upgraded to Completed. Your original CA2 plan placed RO4 in the next stage; be ready to defend the upgrade with the implemented evidence (scope, temporal and jurisdiction checks; the SA denial), and confirm your supervisor agrees with the new staging before submitting.</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00" w:before="100"/>
      </w:pPr>
      <w:r>
        <w:rPr>
          <w:rFonts w:ascii="Cambria" w:cs="Cambria" w:eastAsia="Cambria" w:hAnsi="Cambria"/>
          <w:b/>
          <w:bCs/>
          <w:color w:val="C00000"/>
          <w:sz w:val="19"/>
          <w:szCs w:val="19"/>
        </w:rPr>
        <w:t xml:space="preserve">◆ [RED — يجب حله قبل التسليم] R2b: Status Largely Completed - same as R2a: the original plan said next stage. The on-chain revocation (block 11,771,307) and the state machine support the claim, but the formal lifecycle model is still future work; do not present RO5 as fully done.</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w:t>
      </w:r>
      <w:r>
        <w:rPr>
          <w:rFonts w:ascii="Cambria" w:cs="Cambria" w:eastAsia="Cambria" w:hAnsi="Cambria"/>
          <w:color w:val="000000"/>
          <w:sz w:val="24"/>
          <w:szCs w:val="24"/>
        </w:rPr>
        <w:t xml:space="preserve">(empirical validation complete; formal assurance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15.</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00" w:before="100"/>
      </w:pPr>
      <w:r>
        <w:rPr>
          <w:rFonts w:ascii="Cambria" w:cs="Cambria" w:eastAsia="Cambria" w:hAnsi="Cambria"/>
          <w:b/>
          <w:bCs/>
          <w:color w:val="C00000"/>
          <w:sz w:val="19"/>
          <w:szCs w:val="19"/>
        </w:rPr>
        <w:t xml:space="preserve">◆ [RED — يجب حله قبل التسليم] R7: This reference replaced an unverifiable preprint. Read the Welzel et al. article before the viva and confirm it genuinely supports the three places citing [21] (patient autonomy and privacy-preserving interoperability in 2.3.1; multi-stakeholder authority in 2.3.4; the corpus list in 2.2).</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p>
      <w:pPr>
        <w:spacing w:after="100" w:before="100"/>
      </w:pPr>
      <w:r>
        <w:rPr>
          <w:rFonts w:ascii="Cambria" w:cs="Cambria" w:eastAsia="Cambria" w:hAnsi="Cambria"/>
          <w:b/>
          <w:bCs/>
          <w:color w:val="007A00"/>
          <w:sz w:val="19"/>
          <w:szCs w:val="19"/>
        </w:rPr>
        <w:t xml:space="preserve">◆ [GREEN — غير مهم] G1: [21] and [34] break the alphabetical order of the list. Numeric citation styles do not require alphabetical order; fixing it would force renumbering every in-text citation. Recommended: leave as is.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2026-09-29T06:01:41.076Z</dcterms:created>
  <dcterms:modified xsi:type="dcterms:W3CDTF">2026-09-29T06:01:41.076Z</dcterms:modified>
</cp:coreProperties>
</file>

<file path=docProps/custom.xml><?xml version="1.0" encoding="utf-8"?>
<Properties xmlns="http://schemas.openxmlformats.org/officeDocument/2006/custom-properties" xmlns:vt="http://schemas.openxmlformats.org/officeDocument/2006/docPropsVTypes"/>
</file>