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 patients, healthcare professionals, guardians, researchers, healthcare organisations, and other authorised entities to participate in data-sharing processes [16, 32, 35].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[14, 21, 23].</w:t>
      </w:r>
    </w:p>
    <w:p>
      <w:pPr>
        <w:pStyle w:val="BodyText"/>
      </w:pPr>
      <w:r>
        <w:t xml:space="preserve">Traditional access-control architectures are commonly based on centralised identity providers, institution-specific authentication systems, and relatively static permission-management mechanisms [13, 24, 30].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[11, 32].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[3, 4, 9]. More broadly, blockchain-based approaches have demonstrated the potential to improve the integrity, transparency, and traceability of decentralised data-management processes [2, 25].</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[37].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[38]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[39] governs the national identifiers used for individuals (Individual Healthcare Identifier, IHI), practitioners (Healthcare Provider Identifier – Individual, HPI-I), and organisations (Healthcare Provider Identifier – Organisation, HPI-O). These instruments show, for one jurisdiction, three of the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 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[17, 20].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Access Control</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t xml:space="preserve">1.4 Structure of the Report</w:t>
      </w:r>
    </w:p>
    <w:p>
      <w:pPr>
        <w:pStyle w:val="FirstParagraph"/>
      </w:pPr>
      <w: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Model–View–Controller (MVC) research architecture, and Chapter 6 presents the proposed solution for each objective through its workflow, procedure, and algorithm. Chapter 7 presents the HALAH prototype, its four subsystems, the mapping to the source code, the automated test evidence, and the on-chain evidence. Chapter 8 reports the progress of each objective, Chapter 9 summarises the publication plan and Chapter 10 sets out the research plan for the current and next stages.</w:t>
      </w:r>
    </w:p>
    <w:bookmarkEnd w:id="12"/>
    <w:bookmarkEnd w:id="13"/>
    <w:bookmarkStart w:id="44" w:name="X8d950ebaf958e7860fc944fc7601a3578d63a09"/>
    <w:p>
      <w:pPr>
        <w:pStyle w:val="Heading1"/>
      </w:pPr>
      <w:r>
        <w:t xml:space="preserve">2 A Systematic Literature Review</w:t>
      </w:r>
    </w:p>
    <w:bookmarkStart w:id="14" w:name="overview-introduction"/>
    <w:p>
      <w:pPr>
        <w:pStyle w:val="Heading2"/>
      </w:pPr>
      <w:r>
        <w:t xml:space="preserve">2.1 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[10, 21, 23, 27, 28, 33]. Blockchain-based data-governance research has investigated immutable records, distributed auditability, and decentralised consent management [3, 4, 9, 25]. Research on decentralised identity and verifiable credentials has developed mechanisms for self-controlled identity representation, credential verification, selective disclosure, and privacy-preserving authentication [6, 7, 18, 20, 26, 36]. Access-control research has further investigated role-based, attribute-based, risk-aware, and usage-control approaches for protecting sensitive healthcare information [5, 13, 24, 30, 31, 34, 35].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extracting and categorising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Chapters 3 and 4.</w:t>
      </w:r>
    </w:p>
    <w:bookmarkEnd w:id="14"/>
    <w:bookmarkStart w:id="20"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[37], the</w:t>
      </w:r>
      <w:r>
        <w:t xml:space="preserve"> </w:t>
      </w:r>
      <w:r>
        <w:rPr>
          <w:i/>
          <w:iCs/>
        </w:rPr>
        <w:t xml:space="preserve">My Health Records Act 2012</w:t>
      </w:r>
      <w:r>
        <w:t xml:space="preserve"> </w:t>
      </w:r>
      <w:r>
        <w:t xml:space="preserve">[38] and the</w:t>
      </w:r>
      <w:r>
        <w:t xml:space="preserve"> </w:t>
      </w:r>
      <w:r>
        <w:rPr>
          <w:i/>
          <w:iCs/>
        </w:rPr>
        <w:t xml:space="preserve">Healthcare Identifiers Act 2010</w:t>
      </w:r>
      <w:r>
        <w:t xml:space="preserve"> </w:t>
      </w:r>
      <w:r>
        <w:t xml:space="preserve">[39]. They form the basis on which the shortlisted studies are compared in Section 2.4 and against which the research gaps are stated in Section 2.5.</w:t>
      </w:r>
    </w:p>
    <w:bookmarkStart w:id="15"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[12], dynamic consent models [15, 23] and the legal conditions of valid consent [21] all point in this direction, but they stop at recording consent rather than making it evaluable. Blockchain-backed architectures that execute and audit consents [28] and self-determined consent frameworks [33] add enforcement and tracking, yet they still act on the consent record rather than on an evaluation of the request.</w:t>
      </w:r>
    </w:p>
    <w:bookmarkEnd w:id="15"/>
    <w:bookmarkStart w:id="16"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20], and the</w:t>
      </w:r>
      <w:r>
        <w:t xml:space="preserve"> </w:t>
      </w:r>
      <w:r>
        <w:rPr>
          <w:i/>
          <w:iCs/>
        </w:rPr>
        <w:t xml:space="preserve">Healthcare Identifiers Act 2010</w:t>
      </w:r>
      <w:r>
        <w:t xml:space="preserve"> </w:t>
      </w:r>
      <w:r>
        <w:t xml:space="preserve">already gives every provider and individual a persistent identifier [39]. The second step is frequently overlooked: a valid credential shows that a person is, for example, a registered practitioner or a legal guardian [10],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[10].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[19] and threshold-based pre-authorisation of record access [29] provide building blocks, but none treats the approval threshold as a verifiable condition attached to the consent itself.</w:t>
      </w:r>
    </w:p>
    <w:bookmarkEnd w:id="17"/>
    <w:bookmarkStart w:id="18"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13, 24, 30, 31, 34, 35], and the Australian Privacy Principles require that health information be used only for the primary purpose of collection or a directly related purpose [37].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25, 27, 31], and dynamic identity systems handle revocation at the identity level [36]; the fifth requirement is that the same properties hold for the consent object and for the authorisation decisions made on it.</w:t>
      </w:r>
    </w:p>
    <w:p>
      <w:pPr>
        <w:pStyle w:val="BodyText"/>
      </w:pPr>
      <w:r>
        <w:t xml:space="preserve">Whether each shortlisted study addresses each requirement is recorded in Tables 2.4–2.9, and the gaps are summarised from the requirement perspective in Section 2.5.</w:t>
      </w:r>
    </w:p>
    <w:bookmarkEnd w:id="19"/>
    <w:bookmarkEnd w:id="20"/>
    <w:bookmarkStart w:id="33" w:name="Xc890dc5c16727df01c4dec67a5cc738423fdfed"/>
    <w:p>
      <w:pPr>
        <w:pStyle w:val="Heading2"/>
      </w:pPr>
      <w:r>
        <w:t xml:space="preserve">2.3 Process Adopted for Shortlisting the Papers for the SLR</w:t>
      </w:r>
    </w:p>
    <w:p>
      <w:pPr>
        <w:pStyle w:val="FirstParagraph"/>
      </w:pPr>
      <w:r>
        <w:t xml:space="preserve">This review followed the Preferred Reporting Items for Systematic Reviews and Meta-Analyses (PRISMA 2020) reporting guideline [40].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 The process is reported in four steps: searching the literature (Step 1), applying inclusion and exclusion criteria (Step 2), evaluating quality (Step 3) and extracting and categorising the data (Step 4).</w:t>
      </w:r>
    </w:p>
    <w:bookmarkStart w:id="21" w:name="review-design-and-reporting-framework"/>
    <w:p>
      <w:pPr>
        <w:pStyle w:val="Heading3"/>
      </w:pP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21"/>
    <w:bookmarkStart w:id="22" w:name="questions-for-review"/>
    <w:p>
      <w:pPr>
        <w:pStyle w:val="Heading3"/>
      </w:pPr>
      <w:r>
        <w:t xml:space="preserve">2.3.2 Questions for Review</w:t>
      </w:r>
    </w:p>
    <w:p>
      <w:pPr>
        <w:pStyle w:val="FirstParagraph"/>
      </w:pPr>
      <w:r>
        <w:t xml:space="preserve">This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t xml:space="preserve">2.3.3 Step 1: Criteria for Searching the Literature</w:t>
      </w:r>
    </w:p>
    <w:p>
      <w:pPr>
        <w:pStyle w:val="FirstParagraph"/>
      </w:pPr>
      <w:r>
        <w:t xml:space="preserve">The literature search was conducted using the following academic databases: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w:t>
      </w:r>
    </w:p>
    <w:p>
      <w:pPr>
        <w:pStyle w:val="BodyText"/>
      </w:pPr>
      <w:r>
        <w:t xml:space="preserve">The search results from all databases were exported into a reference management system. Duplicate records were identified using bibliographic metadata, including title, author, digital object identifier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DOI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990"/>
        <w:gridCol w:w="4207"/>
        <w:gridCol w:w="990"/>
        <w:gridCol w:w="173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S7, S10, S30</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S12,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S11</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IEEE Transactions on Network and Service Management</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22</w:t>
            </w:r>
          </w:p>
        </w:tc>
        <w:tc>
          <w:tcPr/>
          <w:p>
            <w:pPr>
              <w:pStyle w:val="Compact"/>
              <w:jc w:val="left"/>
            </w:pPr>
            <w:r>
              <w:t xml:space="preserve">JMIR Medical Informatics</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23</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24</w:t>
            </w:r>
          </w:p>
        </w:tc>
        <w:tc>
          <w:tcPr/>
          <w:p>
            <w:pPr>
              <w:pStyle w:val="Compact"/>
              <w:jc w:val="left"/>
            </w:pPr>
            <w:r>
              <w:t xml:space="preserve">Journal of Medical Internet Research</w:t>
            </w:r>
          </w:p>
        </w:tc>
        <w:tc>
          <w:tcPr/>
          <w:p>
            <w:pPr>
              <w:pStyle w:val="Compact"/>
              <w:jc w:val="left"/>
            </w:pPr>
            <w:r>
              <w:t xml:space="preserve">Journal</w:t>
            </w:r>
          </w:p>
        </w:tc>
        <w:tc>
          <w:tcPr/>
          <w:p>
            <w:pPr>
              <w:pStyle w:val="Compact"/>
              <w:jc w:val="left"/>
            </w:pPr>
            <w:r>
              <w:t xml:space="preserve">S9</w:t>
            </w:r>
          </w:p>
        </w:tc>
      </w:tr>
      <w:tr>
        <w:trPr>
          <w:cantSplit/>
        </w:trPr>
        <w:tc>
          <w:tcPr/>
          <w:p>
            <w:pPr>
              <w:pStyle w:val="Compact"/>
              <w:jc w:val="left"/>
            </w:pPr>
            <w:r>
              <w:t xml:space="preserve">25</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27</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28</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29</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6"/>
    <w:bookmarkStart w:id="27" w:name="X87f2157b1356acc42089dadf522cb794d6b8b71"/>
    <w:p>
      <w:pPr>
        <w:pStyle w:val="Heading3"/>
      </w:pPr>
      <w:r>
        <w:t xml:space="preserve">2.3.4 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(EHRs),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five studies from outside the healthcare domain were retained because the mechanism they contribute transfers directly to healthcare authorisation: decentralised trust in multi-stakeholder data sharing [1], privacy-preserving authentication based on decentralised identifiers and verifiable credentials [26], decentralised identity and access control for constrained devices [17, 18], and remote attestation for trusted execution environments [22]. Studies whose subject matter lies outside healthcare data sharing, consent, identity or access control were excluded at the full-text stage as scope mismatches (Figure 2.2). The 2019 policy statement on guardian and proxy access [32] and two survey studies of stakeholder attitudes and intentions towards health-data sharing [14, 16]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664"/>
        <w:gridCol w:w="2824"/>
        <w:gridCol w:w="2824"/>
        <w:gridCol w:w="160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7"/>
    <w:bookmarkStart w:id="31" w:name="Xd7a82ff4baa7a69a0bd33db9f9a267ef3c07ad5"/>
    <w:p>
      <w:pPr>
        <w:pStyle w:val="Heading3"/>
      </w:pPr>
      <w:r>
        <w:t xml:space="preserve">2.3.5 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46140"/>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46140"/>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 for this review, which summarises 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31"/>
    <w:bookmarkStart w:id="32" w:name="X25280fe26ef60600cfdb60dc4ea4fc7d14be763"/>
    <w:p>
      <w:pPr>
        <w:pStyle w:val="Heading3"/>
      </w:pPr>
      <w:r>
        <w:t xml:space="preserve">2.3.6 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 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642"/>
        <w:gridCol w:w="1872"/>
        <w:gridCol w:w="2729"/>
        <w:gridCol w:w="267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[11]</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[12]</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Khalid et al., 2023 [15]</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McClelland and Harper, 2022 [21]</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Narkhede et al., 2025 [23]</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Phuyal et al., 2026 [27]</w:t>
            </w:r>
          </w:p>
        </w:tc>
        <w:tc>
          <w:tcPr/>
          <w:p>
            <w:pPr>
              <w:pStyle w:val="Compact"/>
              <w:jc w:val="left"/>
            </w:pPr>
            <w:r>
              <w:t xml:space="preserve">Blockchain-based dynamic and revocable consent for secondary health data use: systematic review</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Román et al., 2023 [28]</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Welzel et al., 2025 [33]</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Hagström et al., 2022 [10]</w:t>
            </w:r>
          </w:p>
        </w:tc>
        <w:tc>
          <w:tcPr/>
          <w:p>
            <w:pPr>
              <w:pStyle w:val="Compact"/>
              <w:jc w:val="left"/>
            </w:pPr>
            <w:r>
              <w:t xml:space="preserve">Web-based access to paediatric electronic health records for children, adolescents and parents: scoping review</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Al Mamun et al., 2022 [2]</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Andrew et al., 2023 [3]</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Arbabi et al., 2023 [4]</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Ghosh et al., 2023 [9]</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Nguyen et al., 2025 [25]</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[6]</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[7]</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[17]</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[18]</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[26]</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[36]</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[1]</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Garcia et al., 2022 [8]</w:t>
            </w:r>
          </w:p>
        </w:tc>
        <w:tc>
          <w:tcPr/>
          <w:p>
            <w:pPr>
              <w:pStyle w:val="Compact"/>
              <w:jc w:val="left"/>
            </w:pPr>
            <w:r>
              <w:t xml:space="preserve">Blockchain-aided and privacy-preserving data governance in multi-stakeholder applications</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Tan et al., 2024 [29]</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Jiang et al., 2023 [13]</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Nazir et al., 2026 [24]</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Tawfik et al., 2025 [30]</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Yin et al., 2024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de Oliveira et al., 2022 [5]</w:t>
            </w:r>
          </w:p>
        </w:tc>
        <w:tc>
          <w:tcPr/>
          <w:p>
            <w:pPr>
              <w:pStyle w:val="Compact"/>
              <w:jc w:val="left"/>
            </w:pPr>
            <w:r>
              <w:t xml:space="preserve">SmartAccess: attribute-based access control system for medical records based on smart contracts</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[31]</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[34]</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[22]</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32"/>
    <w:bookmarkEnd w:id="33"/>
    <w:bookmarkStart w:id="41" w:name="X47a7c0cd3439350f5b2bab0a0c72b8d78bf1bcb"/>
    <w:p>
      <w:pPr>
        <w:pStyle w:val="Heading2"/>
      </w:pPr>
      <w:r>
        <w:t xml:space="preserve">2.4 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t xml:space="preserve">2.4.1 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[10, 21].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[23]. At the same time, privacy-preserving interoperability remains difficult because healthcare systems must balance individual autonomy with the operational requirements of clinical care, coordination, and legitimate secondary data use [11].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[15]. Consent receipts and auditable consent records have also been proposed to improve transparency and accountability by providing evidence of how consent was obtained and exercised [12].</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[28], and a self-determined consent framework combines blockchain, self-sovereign identity and de-identified tokens so that consent and data use can be tracked across clinical, app and wearable data [33].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[27].</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 [11]</w:t>
            </w:r>
          </w:p>
        </w:tc>
        <w:tc>
          <w:tcPr/>
          <w:p>
            <w:pPr>
              <w:pStyle w:val="Compact"/>
              <w:jc w:val="left"/>
            </w:pPr>
            <w:r>
              <w:t xml:space="preserve">Cross-sectional study of 150 nurses in a general hospital on how patient confidentiality is balanced against care coordination, measured with Health Insurance Portability and Accountability Act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 [12]</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 [15]</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S4 [21]</w:t>
            </w:r>
          </w:p>
        </w:tc>
        <w:tc>
          <w:tcPr/>
          <w:p>
            <w:pPr>
              <w:pStyle w:val="Compact"/>
              <w:jc w:val="left"/>
            </w:pPr>
            <w:r>
              <w:t xml:space="preserve">Legal analysis of informed consent for the use and disclosure of patient information under the General Data Protection Regulation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S5 [23]</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S6 [27]</w:t>
            </w:r>
          </w:p>
        </w:tc>
        <w:tc>
          <w:tcPr/>
          <w:p>
            <w:pPr>
              <w:pStyle w:val="Compact"/>
              <w:jc w:val="left"/>
            </w:pPr>
            <w: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S7 [28]</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S8 [33]</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S9 [10]</w:t>
            </w:r>
          </w:p>
        </w:tc>
        <w:tc>
          <w:tcPr/>
          <w:p>
            <w:pPr>
              <w:pStyle w:val="Compact"/>
              <w:jc w:val="left"/>
            </w:pPr>
            <w: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4"/>
    <w:bookmarkStart w:id="35" w:name="X2b887499669ea90de256e63d16984e9c6f7f03a"/>
    <w:p>
      <w:pPr>
        <w:pStyle w:val="Heading3"/>
      </w:pPr>
      <w:r>
        <w:t xml:space="preserve">2.4.2 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[2, 3, 4, 9]. More generally, blockchain has been studied as an infrastructure for trustworthy data sharing and decentralised decision-making across organisational boundaries [8, 25].</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[2, 25].</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[3, 4, 9, 30].</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S10 [2]</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S11 [3]</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S12 [4]</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S13 [9]</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S14 [25]</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5"/>
    <w:bookmarkStart w:id="36" w:name="Xce8374abd25737680a0ea224e7b0673254898a7"/>
    <w:p>
      <w:pPr>
        <w:pStyle w:val="Heading3"/>
      </w:pPr>
      <w:r>
        <w:t xml:space="preserve">2.4.3 Decentralised Identity and Verifiable Credentials</w:t>
      </w:r>
    </w:p>
    <w:p>
      <w:pPr>
        <w:pStyle w:val="FirstParagraph"/>
      </w:pPr>
      <w:r>
        <w:t xml:space="preserve">Decentralised Identifiers (DIDs)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[6, 18, 20, 36].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[6, 36]. Other studies have examined privacy-preserving authentication and selective disclosure, allowing participants to prove selected attributes without unnecessarily revealing additional information [7, 26].</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Reviews of blockchain-based identity management for the Internet of Things (IoT) reach the same conclusion for constrained devices [17, 18].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S15 [6]</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S16 [7]</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S17 [17]</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S18 [18]</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S19 [20]</w:t>
            </w:r>
          </w:p>
        </w:tc>
        <w:tc>
          <w:tcPr/>
          <w:p>
            <w:pPr>
              <w:pStyle w:val="Compact"/>
              <w:jc w:val="left"/>
            </w:pPr>
            <w:r>
              <w:t xml:space="preserve">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S20 [26]</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S21 [36]</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6"/>
    <w:bookmarkStart w:id="37" w:name="X836fdb855249812e1f666cb0298115c8e62a77c"/>
    <w:p>
      <w:pPr>
        <w:pStyle w:val="Heading3"/>
      </w:pPr>
      <w:r>
        <w:t xml:space="preserve">2.4.4 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[10, 11].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A decentralised trust framework for multi-stakeholder livestock data sharing shows that controlled exposure to authorised entities can be achieved without a central authority [1]. A blockchain-aided data-governance framework for multi-stakeholder applications lets the data owner manage consent and disclose data selectively while the data consumers verify its provenance, and demonstrates this on an e-prescription case involving patients, doctors and pharmacists [8]. 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[29],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S22 [1]</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S24 [8]</w:t>
            </w:r>
          </w:p>
        </w:tc>
        <w:tc>
          <w:tcPr/>
          <w:p>
            <w:pPr>
              <w:pStyle w:val="Compact"/>
              <w:jc w:val="left"/>
            </w:pPr>
            <w: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t xml:space="preserve">Consent and selective disclosure are controlled by the data owner alone; the requester’s authority and any multi-party approval threshold are not evaluated before the data is released.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S25 [29]</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7"/>
    <w:bookmarkStart w:id="38" w:name="X65ac327857ae873d38ffe426701abf3e34d1162"/>
    <w:p>
      <w:pPr>
        <w:pStyle w:val="Heading3"/>
      </w:pPr>
      <w:r>
        <w:t xml:space="preserve">2.4.5 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[35]. Risk-aware and usage-control models have further investigated how access decisions can incorporate dynamic conditions and constraints beyond traditional role-based permissions [13].</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[24, 30].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[31], and policy-based access control governed by smart contracts allows the subject, controller and requester roles of the GDPR to grant, revoke and inspect access rights [34].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S26 [13]</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S27 [24]</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S28 [30]</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S29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S30 [5]</w:t>
            </w:r>
          </w:p>
        </w:tc>
        <w:tc>
          <w:tcPr/>
          <w:p>
            <w:pPr>
              <w:pStyle w:val="Compact"/>
              <w:jc w:val="left"/>
            </w:pPr>
            <w: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t xml:space="preserve">Policies are agreed jointly by organisations, not by the patient and guardians; the decision follows attributes rather than the purpose and scope of a consent.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S31 [31]</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S32 [34]</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8"/>
    <w:bookmarkStart w:id="39" w:name="X70697d1bf80033494359f9b6207e02cd31d6057"/>
    <w:p>
      <w:pPr>
        <w:pStyle w:val="Heading3"/>
      </w:pP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[22].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S33 [22]</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9"/>
    <w:bookmarkStart w:id="40" w:name="X825064b2f9c6a59f6907e485e5a8e31c4a70bee"/>
    <w:p>
      <w:pPr>
        <w:pStyle w:val="Heading3"/>
      </w:pP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5000"/>
        <w:tblLayout w:type="fixed"/>
        <w:tblLook w:firstRow="1" w:lastRow="0" w:firstColumn="0" w:lastColumn="0" w:noHBand="0" w:noVBand="0" w:val="0020"/>
        <w:tblCaption w:val="Table 2.10: Comparison of the existing research streams and the proposed framework"/>
      </w:tblPr>
      <w:tblGrid>
        <w:gridCol w:w="2117"/>
        <w:gridCol w:w="2160"/>
        <w:gridCol w:w="2160"/>
        <w:gridCol w:w="148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15, 21, 23, 27, 28, 33]</w:t>
            </w:r>
          </w:p>
        </w:tc>
      </w:tr>
      <w:tr>
        <w:trPr>
          <w:cantSplit/>
        </w:trPr>
        <w:tc>
          <w:tcPr/>
          <w:p>
            <w:pPr>
              <w:pStyle w:val="Compact"/>
              <w:jc w:val="left"/>
            </w:pPr>
            <w:r>
              <w:t xml:space="preserve">Blockchain-based healthcare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[2, 3, 4, 9, 25]</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18, 20, 26, 36]</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 6, 8, 11, 19,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[5, 13, 24, 30, 31, 34, 35]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[22]</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t xml:space="preserve">2.5 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4: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Chapters 3 and 4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The review defined five key requirements for a trust-oriented consent authorisation framework (Section 2.2) and assessed each of the 33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w:t>
      </w:r>
      <w:r>
        <w:t xml:space="preserve"> </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[41]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In Eq. (24),</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consent representation, which directly fosters participant trust. This trust then translates into a framework for collective authorisation, providing the necessary foundation for policy enforcement. Consequently, this enables dynamic temporal and lifecycle control over data and processes, culminating in security assurance and validation.</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programme.</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programme. 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SRQ4 current stage; SRQ5–SRQ6 CA3)</w:t>
      </w:r>
    </w:p>
    <w:tbl>
      <w:tblPr>
        <w:tblStyle w:val="Table"/>
        <w:tblW w:type="pct" w:w="5000"/>
        <w:tblLayout w:type="fixed"/>
        <w:tblLook w:firstRow="1" w:lastRow="0" w:firstColumn="0" w:lastColumn="0" w:noHBand="0" w:noVBand="0" w:val="0020"/>
        <w:tblCaption w:val="Table 4.2: Research Questions, Research Objectives, and Thesis Chapters (continued: SRQ4 current stage; SRQ5–S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In Eq. (6),</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In Eq. (24),</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next-stage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 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 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1879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1879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 Engine</w:t>
      </w:r>
      <w:r>
        <w:t xml:space="preserve"> </w:t>
      </w:r>
      <w:r>
        <w:t xml:space="preserve">combines the resulting predicates into the final authorisation decision. Finally,</w:t>
      </w:r>
      <w:r>
        <w:t xml:space="preserve"> </w:t>
      </w:r>
      <w:r>
        <w:rPr>
          <w:i/>
          <w:iCs/>
        </w:rPr>
        <w:t xml:space="preserve">Audit 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trust predicates introduced by SRQ1–SRQ5 and the resulting authorisation decision are 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5486400" cy="5326747"/>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5486400" cy="5326747"/>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p>
    <w:p>
      <w:pPr>
        <w:pStyle w:val="BodyText"/>
      </w:pPr>
      <w:r>
        <w:t xml:space="preserve">In Eq. (6),</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 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p>
    <w:p>
      <w:pPr>
        <w:pStyle w:val="BodyText"/>
      </w:pPr>
      <w:r>
        <w:t xml:space="preserve">In Eq. (8),</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verified approval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decision-making. 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 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multi-party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authorisation evidence</w:t>
      </w:r>
      <w:r>
        <w:t xml:space="preserve">. The system maintains evidence concerning the conditions that produced an authorisation decision, thereby supporting auditing and subsequent verification. These properties can be summarised as shown in Table 5.1.</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This mapping is summarised in Table 5.2, which also lists the next-stage objectives RO5 and RO6 for completeness.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 (Figure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374136" cy="7681329"/>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374136" cy="7681329"/>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 assigns a consent identifier, creates the consent object, 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t xml:space="preserve">&gt;</w:t>
      </w:r>
      <w:r>
        <w:t xml:space="preserve"> </w:t>
      </w:r>
      <w:r>
        <w:rPr>
          <w:i/>
          <w:iCs/>
        </w:rPr>
        <w:t xml:space="preserve">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are not yet enforced at creation: the doctor and guardian DIDs are accepted as entered, a syntactic DID check is applied later at guardian approval and doctor access, and credential-based authority validation is scheduled for Stage 2. Step 6 is implemented: the patient interface rejects an expiry time that is not later than the start time.</w:t>
      </w:r>
    </w:p>
    <w:bookmarkEnd w:id="96"/>
    <w:bookmarkStart w:id="97" w:name="algorithm-1-trust-aware-consent-creation"/>
    <w:p>
      <w:pPr>
        <w:pStyle w:val="Heading3"/>
      </w:pPr>
      <w:r>
        <w:t xml:space="preserve">6.1.3 Algorithm 1: Trust-Aware Consent Creation</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p>
    <w:p>
      <w:pPr>
        <w:pStyle w:val="Algorithm"/>
      </w:pPr>
      <w:r>
        <w:t xml:space="preserve">| 10:</w:t>
      </w:r>
      <w:r>
        <w:t xml:space="preserve"> </w:t>
      </w:r>
      <w:r>
        <w:rPr>
          <w:b/>
          <w:bCs/>
        </w:rPr>
        <w:t xml:space="preserve">if</w:t>
      </w:r>
      <w:r>
        <w:t xml:space="preserve"> </w:t>
      </w:r>
      <m:oMath>
        <m:r>
          <m:t>D</m:t>
        </m:r>
      </m:oMath>
      <w:r>
        <w:t xml:space="preserve">,</w:t>
      </w:r>
      <w:r>
        <w:t xml:space="preserve"> </w:t>
      </w:r>
      <m:oMath>
        <m:r>
          <m:t>G</m:t>
        </m:r>
      </m:oMath>
      <w:r>
        <w:t xml:space="preserve">,</w:t>
      </w:r>
      <w:r>
        <w:t xml:space="preserve"> </w:t>
      </w:r>
      <m:oMath>
        <m:sSub>
          <m:e>
            <m:r>
              <m:t>P</m:t>
            </m:r>
          </m:e>
          <m:sub>
            <m:r>
              <m:t>u</m:t>
            </m:r>
          </m:sub>
        </m:sSub>
      </m:oMath>
      <w:r>
        <w:t xml:space="preserve"> </w:t>
      </w:r>
      <w:r>
        <w:t xml:space="preserve">or</w:t>
      </w:r>
      <w:r>
        <w:t xml:space="preserve"> </w:t>
      </w:r>
      <m:oMath>
        <m:sSub>
          <m:e>
            <m:r>
              <m:t>S</m:t>
            </m:r>
          </m:e>
          <m:sub>
            <m:r>
              <m:t>C</m:t>
            </m:r>
          </m:sub>
        </m:sSub>
      </m:oMath>
      <w:r>
        <w:t xml:space="preserve"> </w:t>
      </w:r>
      <w:r>
        <w:t xml:space="preserve">is invalid</w:t>
      </w:r>
      <w:r>
        <w:t xml:space="preserve"> </w:t>
      </w:r>
      <w:r>
        <w:rPr>
          <w:b/>
          <w:bCs/>
        </w:rPr>
        <w:t xml:space="preserve">or</w:t>
      </w:r>
      <w:r>
        <w:t xml:space="preserve"> </w:t>
      </w:r>
      <m:oMath>
        <m:sSub>
          <m:e>
            <m:r>
              <m:t>t</m:t>
            </m:r>
          </m:e>
          <m:sub>
            <m:r>
              <m:t>e</m:t>
            </m:r>
          </m:sub>
        </m:sSub>
        <m:r>
          <m:rPr>
            <m:sty m:val="p"/>
          </m:rPr>
          <m:t>≤</m:t>
        </m:r>
        <m:sSub>
          <m:e>
            <m:r>
              <m:t>t</m:t>
            </m:r>
          </m:e>
          <m:sub>
            <m:r>
              <m:t>s</m:t>
            </m:r>
          </m:sub>
        </m:sSub>
      </m:oMath>
      <w:r>
        <w:t xml:space="preserve"> </w:t>
      </w:r>
      <w:r>
        <w:rPr>
          <w:b/>
          <w:bCs/>
        </w:rPr>
        <w:t xml:space="preserve">then</w:t>
      </w:r>
      <w:r>
        <w:t xml:space="preserve"> </w:t>
      </w:r>
      <w:r>
        <w:t xml:space="preserve">|     11:</w:t>
      </w:r>
      <w:r>
        <w:t xml:space="preserve"> </w:t>
      </w:r>
      <w:r>
        <w:rPr>
          <w:b/>
          <w:bCs/>
        </w:rPr>
        <w:t xml:space="preserve">return</w:t>
      </w:r>
      <w:r>
        <w:t xml:space="preserve"> </w:t>
      </w:r>
      <w:r>
        <w:t xml:space="preserve">REJECT</w:t>
      </w:r>
      <w:r>
        <w:t xml:space="preserve"> </w:t>
      </w:r>
      <w:r>
        <w:t xml:space="preserve">| 12:</w:t>
      </w:r>
      <w:r>
        <w:t xml:space="preserve"> </w:t>
      </w:r>
      <w:r>
        <w:rPr>
          <w:b/>
          <w:bCs/>
        </w:rPr>
        <w:t xml:space="preserve">end if</w:t>
      </w:r>
      <w:r>
        <w:t xml:space="preserve"> </w:t>
      </w:r>
      <w:r>
        <w:t xml:space="preserve">| 13: Define authorisation requirement</w:t>
      </w:r>
      <w:r>
        <w:t xml:space="preserve"> </w:t>
      </w:r>
      <m:oMath>
        <m:r>
          <m:t>A</m:t>
        </m:r>
      </m:oMath>
      <w:r>
        <w:t xml:space="preserve"> </w:t>
      </w:r>
      <w:r>
        <w:t xml:space="preserve">| 14: Generate consent identifier</w:t>
      </w:r>
      <w:r>
        <w:t xml:space="preserve"> </w:t>
      </w:r>
      <m:oMath>
        <m:r>
          <m:t>i</m:t>
        </m:r>
        <m:sSub>
          <m:e>
            <m:r>
              <m:t>d</m:t>
            </m:r>
          </m:e>
          <m:sub>
            <m:r>
              <m:t>C</m:t>
            </m:r>
          </m:sub>
        </m:sSub>
      </m:oMath>
      <w:r>
        <w:t xml:space="preserve"> </w:t>
      </w:r>
      <w:r>
        <w:t xml:space="preserve">| 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 16: Persist</w:t>
      </w:r>
      <w:r>
        <w:t xml:space="preserve"> </w:t>
      </w:r>
      <m:oMath>
        <m:r>
          <m:t>C</m:t>
        </m:r>
      </m:oMath>
      <w:r>
        <w:t xml:space="preserve"> </w:t>
      </w:r>
      <w:r>
        <w:t xml:space="preserve">| 17: Record consent creation evidence</w:t>
      </w:r>
      <w:r>
        <w:t xml:space="preserve"> </w:t>
      </w:r>
      <w:r>
        <w:t xml:space="preserve">| 18:</w:t>
      </w:r>
      <w:r>
        <w:t xml:space="preserve"> </w:t>
      </w:r>
      <w:r>
        <w:rPr>
          <w:b/>
          <w:bCs/>
        </w:rPr>
        <w:t xml:space="preserve">return</w:t>
      </w:r>
      <w:r>
        <w:t xml:space="preserve"> </w:t>
      </w:r>
      <m:oMath>
        <m:r>
          <m:t>C</m:t>
        </m:r>
      </m:oMath>
    </w:p>
    <w:p>
      <w:pPr>
        <w:pStyle w:val="BodyText"/>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In Eq. (8),</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5486400" cy="3223605"/>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5486400" cy="3223605"/>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[42]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[44, 45],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5486400" cy="5363379"/>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5486400" cy="5363379"/>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[43].</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r>
          <m:rPr>
            <m:sty m:val="p"/>
          </m:rPr>
          <m:t>[</m:t>
        </m:r>
      </m:oMath>
      <w:r>
        <w:t xml:space="preserve"> </w:t>
      </w:r>
      <w:r>
        <w:t xml:space="preserve">(all designated guardians must approve); configurable k-of-n thresholds are Stage 2 work.]{.odel}$, so all designated guardians must approve. Configurable k-of-n thresholds are planned for Stage 2.</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unauthorised,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 The system retrieves the relevant consent object, verifies the requesting participant and evaluates the consent state.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(24).</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 revocation status and requested transition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5486400" cy="4557281"/>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5486400" cy="4557281"/>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temporal and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 ∧</w:t>
      </w:r>
      <w:r>
        <w:t xml:space="preserve"> </w:t>
      </w:r>
      <w:r>
        <w:rPr>
          <w:i/>
          <w:iCs/>
        </w:rPr>
        <w:t xml:space="preserve">StateValid</w:t>
      </w:r>
      <w:r>
        <w:t xml:space="preserve">(</w:t>
      </w:r>
      <w:r>
        <w:rPr>
          <w:i/>
          <w:iCs/>
        </w:rPr>
        <w:t xml:space="preserve">C, q</w:t>
      </w:r>
      <w:r>
        <w:t xml:space="preserve">) ∧ ¬</w:t>
      </w:r>
      <w:r>
        <w:rPr>
          <w:i/>
          <w:iCs/>
        </w:rPr>
        <w:t xml:space="preserve">Revoked</w:t>
      </w:r>
      <w:r>
        <w:t xml:space="preserve">(</w:t>
      </w:r>
      <w:r>
        <w:rPr>
          <w:i/>
          <w:iCs/>
        </w:rPr>
        <w:t xml:space="preserve">C</w:t>
      </w:r>
      <w:r>
        <w:t xml:space="preserve">) ∧</w:t>
      </w:r>
      <w:r>
        <w:t xml:space="preserve"> </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 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3511296" cy="7673247"/>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3511296" cy="7673247"/>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 negative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w:t>
      </w:r>
      <w:r>
        <w:t xml:space="preserve"> </w:t>
      </w:r>
      <w:r>
        <w:rPr>
          <w:i/>
          <w:iCs/>
        </w:rPr>
        <w:t xml:space="preserve">P</w:t>
      </w:r>
      <w:r>
        <w:t xml:space="preserve"> </w:t>
      </w:r>
      <w:r>
        <w:t xml:space="preserve">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w:t>
      </w:r>
      <w:r>
        <w:t xml:space="preserve"> </w:t>
      </w:r>
      <w:r>
        <w:rPr>
          <w:i/>
          <w:iCs/>
        </w:rPr>
        <w:t xml:space="preserve">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w:t>
      </w:r>
      <w:r>
        <w:t xml:space="preserve"> </w:t>
      </w:r>
      <w:r>
        <w:rPr>
          <w:i/>
          <w:iCs/>
        </w:rPr>
        <w:t xml:space="preserve">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w:t>
      </w:r>
      <w:r>
        <w:t xml:space="preserve"> </w:t>
      </w:r>
      <w:r>
        <w:rPr>
          <w:i/>
          <w:iCs/>
        </w:rPr>
        <w:t xml:space="preserve">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w:t>
      </w:r>
      <w:r>
        <w:t xml:space="preserve"> </w:t>
      </w:r>
      <w:r>
        <w:rPr>
          <w:i/>
          <w:iCs/>
        </w:rPr>
        <w:t xml:space="preserve">S</w:t>
      </w:r>
      <w:r>
        <w:t xml:space="preserve"> </w:t>
      </w:r>
      <w:r>
        <w:t xml:space="preserve">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bookmarkEnd w:id="131"/>
    <w:bookmarkStart w:id="132" w:name="Xb697f75e4cb43d67a9074b27c380a0731d6d029"/>
    <w:p>
      <w:pPr>
        <w:pStyle w:val="Heading3"/>
      </w:pPr>
      <w:r>
        <w:t xml:space="preserve">6.6.3 Algorithm 6: Formal and Empirical Authorisation Validation</w:t>
      </w:r>
    </w:p>
    <w:p>
      <w:pPr>
        <w:pStyle w:val="Algorithm"/>
      </w:pPr>
      <w:r>
        <w:rPr>
          <w:b/>
          <w:bCs/>
        </w:rPr>
        <w:t xml:space="preserve">Algorithm 6</w:t>
      </w:r>
      <w:r>
        <w:t xml:space="preserve"> </w:t>
      </w:r>
      <w:r>
        <w:t xml:space="preserve">Formal and Empirical Authorisation Validation</w:t>
      </w:r>
    </w:p>
    <w:p>
      <w:pPr>
        <w:pStyle w:val="Algorithm"/>
      </w:pPr>
      <w:r>
        <w:t xml:space="preserve">|</w:t>
      </w:r>
      <w:r>
        <w:t xml:space="preserve"> </w:t>
      </w:r>
      <w:r>
        <w:rPr>
          <w:b/>
          <w:bCs/>
        </w:rPr>
        <w:t xml:space="preserve">Require:</w:t>
      </w:r>
      <w:r>
        <w:t xml:space="preserve"> </w:t>
      </w:r>
      <w:r>
        <w:t xml:space="preserve">Framework implementation</w:t>
      </w:r>
      <w:r>
        <w:t xml:space="preserve"> </w:t>
      </w:r>
      <m:oMath>
        <m:r>
          <m:t>F</m:t>
        </m:r>
      </m:oMath>
      <w:r>
        <w:t xml:space="preserve"> </w:t>
      </w:r>
      <w:r>
        <w:t xml:space="preserve">|</w:t>
      </w:r>
      <w:r>
        <w:t xml:space="preserve"> </w:t>
      </w:r>
      <w:r>
        <w:rPr>
          <w:b/>
          <w:bCs/>
        </w:rPr>
        <w:t xml:space="preserve">Ensure:</w:t>
      </w:r>
      <w:r>
        <w:t xml:space="preserve"> </w:t>
      </w:r>
      <w:r>
        <w:t xml:space="preserve">Validation evidence and evaluation results</w:t>
      </w:r>
      <w:r>
        <w:t xml:space="preserve"> </w:t>
      </w:r>
      <w:r>
        <w:t xml:space="preserve">| 1: Define expected authorisation properties</w:t>
      </w:r>
      <w:r>
        <w:t xml:space="preserve"> </w:t>
      </w:r>
      <m:oMath>
        <m:r>
          <m:t>P</m:t>
        </m:r>
      </m:oMath>
      <w:r>
        <w:t xml:space="preserve"> </w:t>
      </w:r>
      <w:r>
        <w:t xml:space="preserve">| 2: Define valid scenarios</w:t>
      </w:r>
      <w:r>
        <w:t xml:space="preserve"> </w:t>
      </w:r>
      <m:oMath>
        <m:sSub>
          <m:e>
            <m:r>
              <m:t>S</m:t>
            </m:r>
          </m:e>
          <m:sub>
            <m:r>
              <m:t>v</m:t>
            </m:r>
            <m:r>
              <m:t>a</m:t>
            </m:r>
            <m:r>
              <m:t>l</m:t>
            </m:r>
            <m:r>
              <m:t>i</m:t>
            </m:r>
            <m:r>
              <m:t>d</m:t>
            </m:r>
          </m:sub>
        </m:sSub>
      </m:oMath>
      <w:r>
        <w:t xml:space="preserve"> </w:t>
      </w:r>
      <w:r>
        <w:t xml:space="preserve">| 3: Define negative scenarios</w:t>
      </w:r>
      <w:r>
        <w:t xml:space="preserve"> </w:t>
      </w:r>
      <m:oMath>
        <m:sSub>
          <m:e>
            <m:r>
              <m:t>S</m:t>
            </m:r>
          </m:e>
          <m:sub>
            <m:r>
              <m:t>n</m:t>
            </m:r>
            <m:r>
              <m:t>e</m:t>
            </m:r>
            <m:r>
              <m:t>g</m:t>
            </m:r>
            <m:r>
              <m:t>a</m:t>
            </m:r>
            <m:r>
              <m:t>t</m:t>
            </m:r>
            <m:r>
              <m:t>i</m:t>
            </m:r>
            <m:r>
              <m:t>v</m:t>
            </m:r>
            <m:r>
              <m:t>e</m:t>
            </m:r>
          </m:sub>
        </m:sSub>
      </m:oMath>
      <w:r>
        <w:t xml:space="preserve"> </w:t>
      </w:r>
      <w:r>
        <w:t xml:space="preserve">| 4: Define adversarial scenarios</w:t>
      </w:r>
      <w:r>
        <w:t xml:space="preserve"> </w:t>
      </w:r>
      <m:oMath>
        <m:sSub>
          <m:e>
            <m:r>
              <m:t>S</m:t>
            </m:r>
          </m:e>
          <m:sub>
            <m:r>
              <m:t>a</m:t>
            </m:r>
            <m:r>
              <m:t>d</m:t>
            </m:r>
            <m:r>
              <m:t>v</m:t>
            </m:r>
          </m:sub>
        </m:sSub>
      </m:oMath>
      <w:r>
        <w:t xml:space="preserve"> </w:t>
      </w:r>
      <w:r>
        <w:t xml:space="preserve">| 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t xml:space="preserve"> </w:t>
      </w:r>
      <w:r>
        <w:t xml:space="preserve">|     6: Execute</w:t>
      </w:r>
      <w:r>
        <w:t xml:space="preserve"> </w:t>
      </w:r>
      <m:oMath>
        <m:r>
          <m:t>s</m:t>
        </m:r>
      </m:oMath>
      <w:r>
        <w:t xml:space="preserve"> </w:t>
      </w:r>
      <w:r>
        <w:t xml:space="preserve">using framework</w:t>
      </w:r>
      <w:r>
        <w:t xml:space="preserve"> </w:t>
      </w:r>
      <m:oMath>
        <m:r>
          <m:t>F</m:t>
        </m:r>
      </m:oMath>
      <w:r>
        <w:t xml:space="preserve"> </w:t>
      </w:r>
      <w:r>
        <w:t xml:space="preserve">|     7: Collect authorisation decision</w:t>
      </w:r>
      <w:r>
        <w:t xml:space="preserve"> </w:t>
      </w:r>
      <w:r>
        <w:t xml:space="preserve">|     8: Collect identity, approval, policy, and audit evidence</w:t>
      </w:r>
      <w:r>
        <w:t xml:space="preserve"> </w:t>
      </w:r>
      <w:r>
        <w:t xml:space="preserve">|     9: Compare observed decision with expected decision</w:t>
      </w:r>
      <w:r>
        <w:t xml:space="preserve"> </w:t>
      </w:r>
      <w:r>
        <w:t xml:space="preserve">|     10: Record pass or failure result</w:t>
      </w:r>
      <w:r>
        <w:t xml:space="preserve"> </w:t>
      </w:r>
      <w:r>
        <w:t xml:space="preserve">| 11:</w:t>
      </w:r>
      <w:r>
        <w:t xml:space="preserve"> </w:t>
      </w:r>
      <w:r>
        <w:rPr>
          <w:b/>
          <w:bCs/>
        </w:rPr>
        <w:t xml:space="preserve">end for</w:t>
      </w:r>
      <w:r>
        <w:t xml:space="preserve"> </w:t>
      </w:r>
      <w:r>
        <w:t xml:space="preserve">| 12: Evaluate soundness property</w:t>
      </w:r>
      <w:r>
        <w:t xml:space="preserve"> </w:t>
      </w:r>
      <w:r>
        <w:t xml:space="preserve">| 13: Evaluate denial property</w:t>
      </w:r>
      <w:r>
        <w:t xml:space="preserve"> </w:t>
      </w:r>
      <w:r>
        <w:t xml:space="preserve">| 14: Evaluate threshold correctness</w:t>
      </w:r>
      <w:r>
        <w:t xml:space="preserve"> </w:t>
      </w:r>
      <w:r>
        <w:t xml:space="preserve">| 15: Evaluate policy-scope enforcement</w:t>
      </w:r>
      <w:r>
        <w:t xml:space="preserve"> </w:t>
      </w:r>
      <w:r>
        <w:t xml:space="preserve">| 16: Evaluate audit consistency</w:t>
      </w:r>
      <w:r>
        <w:t xml:space="preserve"> </w:t>
      </w:r>
      <w:r>
        <w:t xml:space="preserve">| 17: Analyse failures and limitations</w:t>
      </w:r>
      <w:r>
        <w:t xml:space="preserve"> </w:t>
      </w:r>
      <w:r>
        <w:t xml:space="preserve">| 18:</w:t>
      </w:r>
      <w:r>
        <w:t xml:space="preserve"> </w:t>
      </w:r>
      <w:r>
        <w:rPr>
          <w:b/>
          <w:bCs/>
        </w:rPr>
        <w:t xml:space="preserve">return</w:t>
      </w:r>
      <w:r>
        <w:t xml:space="preserve"> </w:t>
      </w:r>
      <w:r>
        <w:t xml:space="preserve">Validation results</w:t>
      </w:r>
    </w:p>
    <w:p>
      <w:pPr>
        <w:pStyle w:val="BodyText"/>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the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of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86400" cy="3834534"/>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86400" cy="3834534"/>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it operationalises the multi-party authorisation component of the proposed framework.</w:t>
      </w:r>
    </w:p>
    <w:p>
      <w:pPr>
        <w:pStyle w:val="CaptionedFigure"/>
      </w:pPr>
      <w:r>
        <w:drawing>
          <wp:inline>
            <wp:extent cx="5486400" cy="3843027"/>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86400" cy="3843027"/>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86400" cy="5032030"/>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5486400" cy="5032030"/>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 In version 1 the</w:t>
      </w:r>
      <w:r>
        <w:t xml:space="preserve"> </w:t>
      </w:r>
      <w:r>
        <w:rPr>
          <w:i/>
          <w:iCs/>
        </w:rPr>
        <w:t xml:space="preserve">Execute Zero-Knowledge Access</w:t>
      </w:r>
      <w:r>
        <w:t xml:space="preserve"> </w:t>
      </w:r>
      <w:r>
        <w:t xml:space="preserve">button in Figure 7.4 invokes this verification step; the zero-knowledge proof itself is a placeholder until the circuit is built (Section 7.13).</w:t>
      </w:r>
    </w:p>
    <w:p>
      <w:pPr>
        <w:pStyle w:val="BodyText"/>
      </w:pPr>
      <w:r>
        <w:t xml:space="preserve">The message shows Cryptographic Verification Successful — Access Granted.</w:t>
      </w:r>
    </w:p>
    <w:p>
      <w:pPr>
        <w:pStyle w:val="BodyText"/>
      </w:pPr>
      <w:r>
        <w:t xml:space="preserve">This 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86400" cy="3060627"/>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86400" cy="3060627"/>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the flow goes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4453128" cy="7686126"/>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4453128" cy="7686126"/>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recorded events are</w:t>
      </w:r>
      <w:r>
        <w:t xml:space="preserve"> </w:t>
      </w:r>
      <m:oMath>
        <m:r>
          <m:t>C</m:t>
        </m:r>
        <m:r>
          <m:t>R</m:t>
        </m:r>
        <m:r>
          <m:t>E</m:t>
        </m:r>
        <m:r>
          <m:t>A</m:t>
        </m:r>
        <m:r>
          <m:t>T</m:t>
        </m:r>
        <m:r>
          <m:t>E</m:t>
        </m:r>
        <m:r>
          <m:rPr>
            <m:nor/>
          </m:rPr>
          <m:t>_</m:t>
        </m:r>
        <m:r>
          <m:t>C</m:t>
        </m:r>
        <m:r>
          <m:t>O</m:t>
        </m:r>
        <m:r>
          <m:t>N</m:t>
        </m:r>
        <m:r>
          <m:t>S</m:t>
        </m:r>
        <m:r>
          <m:t>E</m:t>
        </m:r>
        <m:r>
          <m:t>N</m:t>
        </m:r>
        <m:r>
          <m:t>T</m:t>
        </m:r>
      </m:oMath>
      <w:r>
        <w:t xml:space="preserve">, performed by the patient, followed by</w:t>
      </w:r>
      <w:r>
        <w:t xml:space="preserve"> </w:t>
      </w:r>
      <m:oMath>
        <m:r>
          <m:t>S</m:t>
        </m:r>
        <m:r>
          <m:t>I</m:t>
        </m:r>
        <m:r>
          <m:t>G</m:t>
        </m:r>
        <m:r>
          <m:t>N</m:t>
        </m:r>
        <m:r>
          <m:rPr>
            <m:nor/>
          </m:rPr>
          <m:t>_</m:t>
        </m:r>
        <m:r>
          <m:t>C</m:t>
        </m:r>
        <m:r>
          <m:t>O</m:t>
        </m:r>
        <m:r>
          <m:t>N</m:t>
        </m:r>
        <m:r>
          <m:t>S</m:t>
        </m:r>
        <m:r>
          <m:t>E</m:t>
        </m:r>
        <m:r>
          <m:t>N</m:t>
        </m:r>
        <m:r>
          <m:t>T</m:t>
        </m:r>
      </m:oMath>
      <w:r>
        <w:t xml:space="preserve">, performed by each guardian, and</w:t>
      </w:r>
      <w:r>
        <w:t xml:space="preserve"> </w:t>
      </w:r>
      <m:oMath>
        <m:r>
          <m:t>M</m:t>
        </m:r>
        <m:r>
          <m:t>I</m:t>
        </m:r>
        <m:r>
          <m:t>N</m:t>
        </m:r>
        <m:r>
          <m:t>T</m:t>
        </m:r>
        <m:r>
          <m:rPr>
            <m:nor/>
          </m:rPr>
          <m:t>_</m:t>
        </m:r>
        <m:r>
          <m:t>S</m:t>
        </m:r>
        <m:r>
          <m:t>B</m:t>
        </m:r>
        <m:r>
          <m:t>T</m:t>
        </m:r>
      </m:oMath>
      <w:r>
        <w:t xml:space="preserve">, performed by the smart contract. The subsequent system events,</w:t>
      </w:r>
      <w:r>
        <w:t xml:space="preserve"> </w:t>
      </w:r>
      <m:oMath>
        <m:r>
          <m:t>S</m:t>
        </m:r>
        <m:r>
          <m:t>T</m:t>
        </m:r>
        <m:r>
          <m:t>A</m:t>
        </m:r>
        <m:r>
          <m:t>T</m:t>
        </m:r>
        <m:r>
          <m:t>E</m:t>
        </m:r>
        <m:r>
          <m:rPr>
            <m:nor/>
          </m:rPr>
          <m:t>_</m:t>
        </m:r>
        <m:r>
          <m:t>C</m:t>
        </m:r>
        <m:r>
          <m:t>H</m:t>
        </m:r>
        <m:r>
          <m:t>E</m:t>
        </m:r>
        <m:r>
          <m:t>C</m:t>
        </m:r>
        <m:r>
          <m:t>K</m:t>
        </m:r>
      </m:oMath>
      <w:r>
        <w:t xml:space="preserve">, show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r>
        <w:t xml:space="preserve"> </w:t>
      </w:r>
      <w:r>
        <w:t xml:space="preserve">with the result</w:t>
      </w:r>
      <w:r>
        <w:t xml:space="preserve"> </w:t>
      </w:r>
      <m:oMath>
        <m:r>
          <m:t>G</m:t>
        </m:r>
        <m:r>
          <m:t>R</m:t>
        </m:r>
        <m:r>
          <m:t>A</m:t>
        </m:r>
        <m:r>
          <m:t>N</m:t>
        </m:r>
        <m:r>
          <m:t>T</m:t>
        </m:r>
        <m:r>
          <m:t>E</m:t>
        </m:r>
        <m:r>
          <m:t>D</m:t>
        </m:r>
      </m:oMath>
      <w:r>
        <w:t xml:space="preserve">.</w:t>
      </w:r>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m:oMathPara>
        <m:oMathParaPr>
          <m:jc m:val="center"/>
        </m:oMathParaPr>
        <m:oMath>
          <m:r>
            <m:t>C</m:t>
          </m:r>
          <m:r>
            <m:rPr>
              <m:sty m:val="p"/>
            </m:rPr>
            <m:t>→</m:t>
          </m:r>
          <m:r>
            <m:t>M</m:t>
          </m:r>
          <m:r>
            <m:t>S</m:t>
          </m:r>
          <m:r>
            <m:rPr>
              <m:sty m:val="p"/>
            </m:rPr>
            <m:t>→</m:t>
          </m:r>
          <m:r>
            <m:t>S</m:t>
          </m:r>
          <m:r>
            <m:t>B</m:t>
          </m:r>
          <m:r>
            <m:t>T</m:t>
          </m:r>
          <m:r>
            <m:rPr>
              <m:sty m:val="p"/>
            </m:rPr>
            <m:t>→</m:t>
          </m:r>
          <m:r>
            <m:t>S</m:t>
          </m:r>
          <m:r>
            <m:t>t</m:t>
          </m:r>
          <m:r>
            <m:t>a</m:t>
          </m:r>
          <m:r>
            <m:t>t</m:t>
          </m:r>
          <m:r>
            <m:t>e</m:t>
          </m:r>
          <m:r>
            <m:t>C</m:t>
          </m:r>
          <m:r>
            <m:t>h</m:t>
          </m:r>
          <m:r>
            <m:t>e</m:t>
          </m:r>
          <m:r>
            <m:t>c</m:t>
          </m:r>
          <m:r>
            <m:t>k</m:t>
          </m:r>
          <m:r>
            <m:rPr>
              <m:sty m:val="p"/>
            </m:rPr>
            <m:t>→</m:t>
          </m:r>
          <m:r>
            <m:t>A</m:t>
          </m:r>
          <m:r>
            <m:t>c</m:t>
          </m:r>
          <m:r>
            <m:t>c</m:t>
          </m:r>
          <m:r>
            <m:t>e</m:t>
          </m:r>
          <m:r>
            <m:t>s</m:t>
          </m:r>
          <m:r>
            <m:t>s</m:t>
          </m:r>
          <m:r>
            <m:t>D</m:t>
          </m:r>
          <m:r>
            <m:t>e</m:t>
          </m:r>
          <m:r>
            <m:t>c</m:t>
          </m:r>
          <m:r>
            <m:t>i</m:t>
          </m:r>
          <m:r>
            <m:t>s</m:t>
          </m:r>
          <m:r>
            <m:t>i</m:t>
          </m:r>
          <m:r>
            <m:t>o</m:t>
          </m:r>
          <m:r>
            <m:t>n</m:t>
          </m:r>
          <m:r>
            <m:rPr>
              <m:sty m:val="p"/>
            </m:rPr>
            <m:t>→</m:t>
          </m:r>
          <m:r>
            <m:t>E</m:t>
          </m:r>
          <m:r>
            <m:t>M</m:t>
          </m:r>
          <m:r>
            <m:t>R</m:t>
          </m:r>
          <m:r>
            <m:rPr>
              <m:sty m:val="p"/>
            </m:rPr>
            <m:t>→</m:t>
          </m:r>
          <m:r>
            <m:t>A</m:t>
          </m:r>
          <m:r>
            <m:t>u</m:t>
          </m:r>
          <m:r>
            <m:t>d</m:t>
          </m:r>
          <m:r>
            <m:t>i</m:t>
          </m:r>
          <m:r>
            <m:t>t</m:t>
          </m:r>
        </m:oMath>
      </m:oMathPara>
    </w:p>
    <w:p>
      <w:pPr>
        <w:pStyle w:val="FirstParagraph"/>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w:t>
            </w:r>
          </w:p>
        </w:tc>
        <w:tc>
          <w:tcPr/>
          <w:p>
            <w:pPr>
              <w:pStyle w:val="Compact"/>
              <w:jc w:val="left"/>
            </w:pPr>
            <w:r>
              <w:t xml:space="preserve">Controller</w:t>
            </w:r>
          </w:p>
        </w:tc>
        <w:tc>
          <w:tcPr/>
          <w:p>
            <w:pPr>
              <w:pStyle w:val="Compact"/>
              <w:jc w:val="left"/>
            </w:pPr>
            <w:r>
              <w:t xml:space="preserve">services/identity_service.py</w:t>
            </w:r>
          </w:p>
        </w:tc>
      </w:tr>
      <w:tr>
        <w:trPr>
          <w:cantSplit/>
        </w:trPr>
        <w:tc>
          <w:tcPr/>
          <w:p>
            <w:pPr>
              <w:pStyle w:val="Compact"/>
              <w:jc w:val="left"/>
            </w:pPr>
            <w:r>
              <w:t xml:space="preserve">[</w:t>
            </w:r>
          </w:p>
        </w:tc>
        <w:tc>
          <w:tcPr/>
          <w:p>
            <w:pPr>
              <w:pStyle w:val="Compact"/>
              <w:jc w:val="left"/>
            </w:pPr>
            <w:r>
              <w:t xml:space="preserve">Controller</w:t>
            </w:r>
          </w:p>
        </w:tc>
        <w:tc>
          <w:tcPr/>
          <w:p>
            <w:pPr>
              <w:pStyle w:val="Compact"/>
              <w:jc w:val="left"/>
            </w:pPr>
            <w:r>
              <w:t xml:space="preserve">services/state_service.py</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[41], released only after authorisation</w:t>
            </w:r>
          </w:p>
        </w:tc>
      </w:tr>
      <w:tr>
        <w:trPr>
          <w:cantSplit/>
        </w:trPr>
        <w:tc>
          <w:tcPr/>
          <w:p>
            <w:pPr>
              <w:pStyle w:val="Compact"/>
              <w:jc w:val="left"/>
            </w:pPr>
            <w:r>
              <w:t xml:space="preserve">[</w:t>
            </w:r>
          </w:p>
        </w:tc>
        <w:tc>
          <w:tcPr/>
          <w:p>
            <w:pPr>
              <w:pStyle w:val="Compact"/>
              <w:jc w:val="left"/>
            </w:pPr>
            <w:r>
              <w:t xml:space="preserve">Smart contract</w:t>
            </w:r>
          </w:p>
        </w:tc>
        <w:tc>
          <w:tcPr/>
          <w:p>
            <w:pPr>
              <w:pStyle w:val="Compact"/>
              <w:jc w:val="left"/>
            </w:pPr>
            <w:r>
              <w:t xml:space="preserve">contracts/ConsentSBTv3.sol</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4800600" cy="7677252"/>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4800600" cy="7677252"/>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and adversarial 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 by the ConsentSBTv2 contract (contracts/ConsentSBT_v2_hardened.sol, the version deployed when the evidence was recorded; ConsentSBTv3 in Table 7.2 is the current source and is exercised by test T5)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[41]),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representation 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the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the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84"/>
        <w:gridCol w:w="2120"/>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Computers &amp; Security (Elsevier)</w:t>
            </w:r>
          </w:p>
        </w:tc>
        <w:tc>
          <w:tcPr/>
          <w:p>
            <w:pPr>
              <w:pStyle w:val="Compact"/>
              <w:jc w:val="left"/>
            </w:pPr>
            <w:r>
              <w:t xml:space="preserve">Draft complete; submission planned November 2026</w:t>
            </w:r>
          </w:p>
        </w:tc>
        <w:tc>
          <w:tcPr/>
          <w:p>
            <w:pPr>
              <w:pStyle w:val="Compact"/>
              <w:jc w:val="left"/>
            </w:pPr>
            <w:r>
              <w:t xml:space="preserve">Core architectural contribution; addresses SRQ1–SRQ4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w:t>
      </w:r>
      <w:r>
        <w:t xml:space="preserve"> </w:t>
      </w:r>
      <w:r>
        <w:t xml:space="preserve"> </w:t>
      </w:r>
      <w:r>
        <w:t xml:space="preserve">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the current and next stages.</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pStyle w:val="BodyText"/>
      </w:pPr>
      <w:r>
        <w:t xml:space="preserve">The first major focus of the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The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The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the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the current stage and the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 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the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the next stage will complete the transition from the foundational authorisation mechanisms established in the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FirstParagraph"/>
      </w:pPr>
      <w:r>
        <w:t xml:space="preserve">[1]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 doi:10.3390/cryptography9030052.</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 doi:10.1109/ACCESS.2022.3141079.</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 doi:10.1016/j.jnca.2023.103633.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 doi:10.1109/COMST.2022.3224644.</w:t>
      </w:r>
    </w:p>
    <w:p>
      <w:pPr>
        <w:pStyle w:val="BodyText"/>
      </w:pPr>
      <w:r>
        <w:t xml:space="preserve">[5] Marcela Tuler de Oliveira, Lúcio Henrik A. Reis, Yiannis Verginadis, Diogo M. F. Mattos, and Sílvia D. Olabarriaga. SmartAccess: Attribute-based access control system for medical records based on smart contracts.</w:t>
      </w:r>
      <w:r>
        <w:t xml:space="preserve"> </w:t>
      </w:r>
      <w:r>
        <w:rPr>
          <w:i/>
          <w:iCs/>
        </w:rPr>
        <w:t xml:space="preserve">IEEE Access</w:t>
      </w:r>
      <w: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 doi:10.1109/TC.2024.3398509.</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doi:10.1016/j.jisa.2024.103789. Corrigendum: vol. 98, 104383, 2026.</w:t>
      </w:r>
    </w:p>
    <w:p>
      <w:pPr>
        <w:pStyle w:val="BodyText"/>
      </w:pPr>
      <w:r>
        <w:t xml:space="preserve">[8] Rodrigo Dutra Garcia, Gowri Ramachandran, Raja Jurdak, and Jó Ueyama. Blockchain-aided and privacy-preserving data governance in multi-stakeholder applications.</w:t>
      </w:r>
      <w:r>
        <w:t xml:space="preserve"> </w:t>
      </w:r>
      <w:r>
        <w:rPr>
          <w:i/>
          <w:iCs/>
        </w:rPr>
        <w:t xml:space="preserve">IEEE Transactions on Network and Service Management</w:t>
      </w:r>
      <w:r>
        <w:t xml:space="preserve">, 19(4):3781–3793, 2022. doi:10.1109/TNSM.2022.3225254.</w:t>
      </w:r>
    </w:p>
    <w:p>
      <w:pPr>
        <w:pStyle w:val="BodyText"/>
      </w:pPr>
      <w:r>
        <w:t xml:space="preserve">[9] Pranto Kumar Ghosh, Arindom Chakraborty, Mehedi Hasan, Khalid Rashid, and Abdul Hasib Siddique. Blockchain application in healthcare systems: a review.</w:t>
      </w:r>
      <w:r>
        <w:t xml:space="preserve"> </w:t>
      </w:r>
      <w:r>
        <w:rPr>
          <w:i/>
          <w:iCs/>
        </w:rPr>
        <w:t xml:space="preserve">Systems</w:t>
      </w:r>
      <w:r>
        <w:t xml:space="preserve">, 11(1):38, 2023. doi:10.3390/systems11010038.</w:t>
      </w:r>
    </w:p>
    <w:p>
      <w:pPr>
        <w:pStyle w:val="BodyText"/>
      </w:pPr>
      <w:r>
        <w:t xml:space="preserve">[10] Josefin Hagström, Charlotte Blease, Barbara Haage, Isabella Scandurra, Scharlett Hansson, and Maria Hägglund. Views, use, and experiences of web-based access to pediatric electronic health records for children, adolescents, and parents: Scoping review.</w:t>
      </w:r>
      <w:r>
        <w:t xml:space="preserve"> </w:t>
      </w:r>
      <w:r>
        <w:rPr>
          <w:i/>
          <w:iCs/>
        </w:rPr>
        <w:t xml:space="preserve">Journal of Medical Internet Research</w:t>
      </w:r>
      <w:r>
        <w:t xml:space="preserve">, 24(11):e40328, 2022. doi:10.2196/40328.</w:t>
      </w:r>
    </w:p>
    <w:p>
      <w:pPr>
        <w:pStyle w:val="BodyText"/>
      </w:pPr>
      <w:r>
        <w:t xml:space="preserve">[11]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 doi:10.1186/s12912-024-02231-1.</w:t>
      </w:r>
    </w:p>
    <w:p>
      <w:pPr>
        <w:pStyle w:val="BodyText"/>
      </w:pPr>
      <w:r>
        <w:t xml:space="preserve">[12] Vitor Jesus and Harshvardhan J Pandit. Consent receipts for a usable and auditable web of personal data.</w:t>
      </w:r>
      <w:r>
        <w:t xml:space="preserve"> </w:t>
      </w:r>
      <w:r>
        <w:rPr>
          <w:i/>
          <w:iCs/>
        </w:rPr>
        <w:t xml:space="preserve">IEEE Access</w:t>
      </w:r>
      <w:r>
        <w:t xml:space="preserve">, 10:28545–28563, 2022. doi:10.1109/ACCESS.2022.3157850.</w:t>
      </w:r>
    </w:p>
    <w:p>
      <w:pPr>
        <w:pStyle w:val="BodyText"/>
      </w:pPr>
      <w:r>
        <w:t xml:space="preserve">[13] Rong Jiang, Xue Chen, Yimin Yu, Ying Zhang, and Weiping Ding. Risk and UCON-based access control model for healthcare big data.</w:t>
      </w:r>
      <w:r>
        <w:t xml:space="preserve"> </w:t>
      </w:r>
      <w:r>
        <w:rPr>
          <w:i/>
          <w:iCs/>
        </w:rPr>
        <w:t xml:space="preserve">Journal of Big Data</w:t>
      </w:r>
      <w:r>
        <w:t xml:space="preserve">, 10(1):104, 2023. doi:10.1186/s40537-023-00783-8.</w:t>
      </w:r>
    </w:p>
    <w:p>
      <w:pPr>
        <w:pStyle w:val="BodyText"/>
      </w:pPr>
      <w:r>
        <w:t xml:space="preserve">[14]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 doi:10.1177/20552076241290964.</w:t>
      </w:r>
    </w:p>
    <w:p>
      <w:pPr>
        <w:pStyle w:val="BodyText"/>
      </w:pPr>
      <w:r>
        <w:t xml:space="preserve">[15]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 doi:10.3390/electronics12244973.</w:t>
      </w:r>
    </w:p>
    <w:p>
      <w:pPr>
        <w:pStyle w:val="BodyText"/>
      </w:pPr>
      <w:r>
        <w:t xml:space="preserve">[16] Alexander Kharlamov, Roland Hohmann, and Glenn Parry. Data sharing decisions: perceptions and intentions in healthcare.</w:t>
      </w:r>
      <w:r>
        <w:t xml:space="preserve"> </w:t>
      </w:r>
      <w:r>
        <w:rPr>
          <w:i/>
          <w:iCs/>
        </w:rPr>
        <w:t xml:space="preserve">Strategic Change</w:t>
      </w:r>
      <w:r>
        <w:t xml:space="preserve">, 32(6):223–237, 2023. doi:10.1002/jsc.2558.</w:t>
      </w:r>
    </w:p>
    <w:p>
      <w:pPr>
        <w:pStyle w:val="BodyText"/>
      </w:pPr>
      <w:r>
        <w:t xml:space="preserve">[17]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 doi:10.3390/iot6040065.</w:t>
      </w:r>
    </w:p>
    <w:p>
      <w:pPr>
        <w:pStyle w:val="BodyText"/>
      </w:pPr>
      <w:r>
        <w:t xml:space="preserve">[18]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 doi:10.37256/cnc.1220233048.</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 2025.</w:t>
      </w:r>
    </w:p>
    <w:p>
      <w:pPr>
        <w:pStyle w:val="BodyText"/>
      </w:pPr>
      <w:r>
        <w:t xml:space="preserve">[21]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[22]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[23]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[24]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[25]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[26]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w:t>
      </w:r>
      <w:r>
        <w:t xml:space="preserve">, 13(4):1–21, 2022.</w:t>
      </w:r>
    </w:p>
    <w:p>
      <w:pPr>
        <w:pStyle w:val="BodyText"/>
      </w:pPr>
      <w:r>
        <w:t xml:space="preserve">[27] Sudip Phuyal, Manila Bhandari, Rabindra Bista, and João Carlos Ferreira. Blockchain-based dynamic and revocable consent for secondary health data use: Systematic review.</w:t>
      </w:r>
      <w:r>
        <w:t xml:space="preserve"> </w:t>
      </w:r>
      <w:r>
        <w:rPr>
          <w:i/>
          <w:iCs/>
        </w:rPr>
        <w:t xml:space="preserve">JMIR Medical Informatics</w:t>
      </w:r>
      <w:r>
        <w:t xml:space="preserve">, 14:e88536, 2026. doi:10.2196/88536.</w:t>
      </w:r>
    </w:p>
    <w:p>
      <w:pPr>
        <w:pStyle w:val="BodyText"/>
      </w:pPr>
      <w:r>
        <w:t xml:space="preserve">[28]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[29]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[30]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 doi:10.1007/s10586-025-05308-x.</w:t>
      </w:r>
    </w:p>
    <w:p>
      <w:pPr>
        <w:pStyle w:val="BodyText"/>
      </w:pPr>
      <w:r>
        <w:t xml:space="preserve">[31]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[32]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[33]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[34]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[35]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 doi:10.1016/j.sysarc.2024.103081.</w:t>
      </w:r>
    </w:p>
    <w:p>
      <w:pPr>
        <w:pStyle w:val="BodyText"/>
      </w:pPr>
      <w:r>
        <w:t xml:space="preserve">[36]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20:4999–5014, 2025.</w:t>
      </w:r>
    </w:p>
    <w:p>
      <w:pPr>
        <w:pStyle w:val="BodyText"/>
      </w:pPr>
      <w:r>
        <w:t xml:space="preserve">[37]</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[38]</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[39]</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[40]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[41]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[42] Remco Bloemen, Leonid Logvinov, and Jacob Evans. EIP-712: Typed structured data hashing and signing. Ethereum Improvement Proposals, 2017. https://eips.ethereum.org/EIPS/eip-712.</w:t>
      </w:r>
    </w:p>
    <w:p>
      <w:pPr>
        <w:pStyle w:val="BodyText"/>
      </w:pPr>
      <w:r>
        <w:t xml:space="preserve">[43] ERC-5484: Consensual Soulbound Tokens. Ethereum Improvement Proposals, 2022. https://eips.ethereum.org/EIPS/eip-5484.</w:t>
      </w:r>
    </w:p>
    <w:p>
      <w:pPr>
        <w:pStyle w:val="BodyText"/>
      </w:pPr>
      <w:r>
        <w:t xml:space="preserve">[44] W3C. Decentralized Identifiers (DIDs) v1.0. W3C Recommendation, 2022. https://www.w3.org/TR/did-core/.</w:t>
      </w:r>
    </w:p>
    <w:p>
      <w:pPr>
        <w:pStyle w:val="BodyText"/>
      </w:pPr>
      <w:r>
        <w:t xml:space="preserve">[45]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OrangeDelete" w:type="character">
    <w:name w:val="Orange Delete"/>
    <w:rPr>
      <w:strike/>
      <w:color w:val="E36C09"/>
    </w:rPr>
  </w:style>
  <w:style w:customStyle="1" w:styleId="OrangeFix" w:type="character">
    <w:name w:val="Orange Fix"/>
    <w:rPr>
      <w:color w:val="E36C09"/>
    </w:rPr>
  </w:style>
  <w:style w:customStyle="1" w:styleId="OrangeDeletePara" w:type="paragraph">
    <w:name w:val="Orange Delete Para"/>
    <w:basedOn w:val="BodyText"/>
    <w:rPr>
      <w:rFonts w:ascii="Times New Roman" w:cs="Times New Roman" w:eastAsia="Times New Roman" w:hAnsi="Times New Roman"/>
      <w:color w:val="E36C09"/>
      <w:sz w:val="24"/>
    </w:rPr>
  </w:style>
  <w:style w:customStyle="1" w:styleId="OrangeFixPara" w:type="paragraph">
    <w:name w:val="Orange Fix Para"/>
    <w:basedOn w:val="BodyText"/>
    <w:rPr>
      <w:rFonts w:ascii="Times New Roman" w:cs="Times New Roman" w:eastAsia="Times New Roman" w:hAnsi="Times New Roman"/>
      <w:color w:val="E36C09"/>
      <w:sz w:val="24"/>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2026-09-30T10:31:15Z</dcterms:created>
  <dcterms:modified xsi:type="dcterms:W3CDTF">2026-09-30T10:31:15Z</dcterms:modified>
</cp:coreProperties>
</file>

<file path=docProps/custom.xml><?xml version="1.0" encoding="utf-8"?>
<Properties xmlns="http://schemas.openxmlformats.org/officeDocument/2006/custom-properties" xmlns:vt="http://schemas.openxmlformats.org/officeDocument/2006/docPropsVTypes"/>
</file>