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41.png" ContentType="image/png"/>
  <Override PartName="/word/media/rId145.png" ContentType="image/png"/>
  <Override PartName="/word/media/rId148.png" ContentType="image/png"/>
  <Override PartName="/word/media/rId152.png" ContentType="image/png"/>
  <Override PartName="/word/media/rId23.png" ContentType="image/png"/>
  <Override PartName="/word/media/rId28.png" ContentType="image/png"/>
  <Override PartName="/word/media/rId64.png" ContentType="image/png"/>
  <Override PartName="/word/media/rId67.png" ContentType="image/png"/>
  <Override PartName="/word/media/rId71.png" ContentType="image/png"/>
  <Override PartName="/word/media/rId78.png" ContentType="image/png"/>
  <Override PartName="/word/media/rId92.png" ContentType="image/png"/>
  <Override PartName="/word/media/rId99.png" ContentType="image/png"/>
  <Override PartName="/word/media/rId106.png" ContentType="image/png"/>
  <Override PartName="/word/media/rId113.png" ContentType="image/png"/>
  <Override PartName="/word/media/rId120.png" ContentType="image/png"/>
  <Override PartName="/word/media/rId12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p>
      <w:pPr>
        <w:pStyle w:val="ReviewerNotePara"/>
      </w:pPr>
      <w:r>
        <w:rPr>
          <w:rStyle w:val="ReviewerNote"/>
        </w:rPr>
        <w:t xml:space="preserve">Colour key for this round: orange = a proofreading fix to your existing text (struck through = remove, plain orange = replacement or addition). All earlier rounds are already accepted in this copy, so the orange marks are the only differences between this file and the previous FINAL.</w:t>
      </w:r>
    </w:p>
    <w:bookmarkStart w:id="13"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[1,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 patients, healthcare professionals, guardians, researchers, healthcare organisations, and other authorised entities to participate in data-sharing processes [16, 32, 35].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[14, 21, 23].</w:t>
      </w:r>
    </w:p>
    <w:p>
      <w:pPr>
        <w:pStyle w:val="BodyText"/>
      </w:pPr>
      <w:r>
        <w:t xml:space="preserve">Traditional access-control architectures are commonly based on centralised identity providers, institution-specific authentication systems, and relatively static permission-management mechanisms [13, 24, 30].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[11, 32].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[3, 4, 9]. More broadly, blockchain-based approaches have demonstrated the potential to improve the integrity, transparency, and traceability of decentralised data-management processes [2, 25].</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[37].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[38]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[39] governs the national identifiers used for individuals</w:t>
      </w:r>
      <w:r>
        <w:t xml:space="preserve"> </w:t>
      </w:r>
      <w:r>
        <w:rPr>
          <w:rStyle w:val="OrangeDelete"/>
        </w:rPr>
        <w:t xml:space="preserve">(IHI), practitioners (HPI-I) and organisations (HPI-O).</w:t>
      </w:r>
      <w:r>
        <w:rPr>
          <w:rStyle w:val="OrangeFix"/>
        </w:rPr>
        <w:t xml:space="preserve">(Individual Healthcare Identifier, IHI), practitioners (Healthcare Provider Identifier – Individual, HPI-I), and organisations (Healthcare Provider Identifier – Organisation, HPI-O).</w:t>
      </w:r>
      <w:r>
        <w:t xml:space="preserve"> </w:t>
      </w:r>
      <w:r>
        <w:t xml:space="preserve">These instruments</w:t>
      </w:r>
      <w:r>
        <w:t xml:space="preserve"> </w:t>
      </w:r>
      <w:r>
        <w:rPr>
          <w:rStyle w:val="OrangeDelete"/>
        </w:rPr>
        <w:t xml:space="preserve">illustrate, in a concrete jurisdiction, the three</w:t>
      </w:r>
      <w:r>
        <w:rPr>
          <w:rStyle w:val="OrangeFix"/>
        </w:rPr>
        <w:t xml:space="preserve">show, for one jurisdiction, three of the</w:t>
      </w:r>
      <w:r>
        <w:t xml:space="preserve"> </w:t>
      </w:r>
      <w:r>
        <w:t xml:space="preserve">conditions examined in this research: verified identity, patient-controlled authority over disclosure, and purpose- and scope-limited use. The HALAH prototype (Chapter 7) reflects this context through purpose-bound consent, module-level data scope</w:t>
      </w:r>
      <w:r>
        <w:rPr>
          <w:rStyle w:val="OrangeFix"/>
        </w:rPr>
        <w:t xml:space="preserve">,</w:t>
      </w:r>
      <w:r>
        <w:t xml:space="preserve"> </w:t>
      </w:r>
      <w:r>
        <w:t xml:space="preserve">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 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[17, 20].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1.1: Research Scope and Progression</w:t>
      </w:r>
    </w:p>
    <w:tbl>
      <w:tblPr>
        <w:tblStyle w:val="Table"/>
        <w:tblW w:type="pct" w:w="5000"/>
        <w:tblLayout w:type="fixed"/>
        <w:tblLook w:firstRow="1" w:lastRow="0" w:firstColumn="0" w:lastColumn="0" w:noHBand="0" w:noVBand="0" w:val="0020"/>
        <w:tblCaption w:val="Table 1.1: Research Scope and Progression"/>
      </w:tblPr>
      <w:tblGrid>
        <w:gridCol w:w="833"/>
        <w:gridCol w:w="3543"/>
        <w:gridCol w:w="354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Access Control</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Start w:id="12" w:name="structure-of-the-report"/>
    <w:p>
      <w:pPr>
        <w:pStyle w:val="Heading2"/>
      </w:pPr>
      <w:r>
        <w:t xml:space="preserve">1.4 Structure of the Report</w:t>
      </w:r>
    </w:p>
    <w:p>
      <w:pPr>
        <w:pStyle w:val="FirstParagraph"/>
      </w:pPr>
      <w:r>
        <w:t xml:space="preserve">The remainder of this report is organised as follows. Chapter 2 presents the systematic literature review: it defines the five key requirements that a trust-oriented consent authorisation framework should satisfy, describes the four-step process used to shortlist the studies, summarises the shortlisted studies by category and identifies the research gaps from the requirement perspective. Chapter 3 states the research gap, the main research question and the six sub-research questions, and Chapter 4 translates them into six research objectives. Chapter 5 describes the Model–View–Controller (MVC) research architecture, and Chapter 6 presents the proposed solution for each objective through its workflow, procedure</w:t>
      </w:r>
      <w:r>
        <w:rPr>
          <w:rStyle w:val="OrangeFix"/>
        </w:rPr>
        <w:t xml:space="preserve">,</w:t>
      </w:r>
      <w:r>
        <w:t xml:space="preserve"> </w:t>
      </w:r>
      <w:r>
        <w:t xml:space="preserve">and algorithm. Chapter 7 presents the HALAH prototype, its four subsystems, the mapping to the source code, the automated test evidence</w:t>
      </w:r>
      <w:r>
        <w:rPr>
          <w:rStyle w:val="OrangeFix"/>
        </w:rPr>
        <w:t xml:space="preserve">,</w:t>
      </w:r>
      <w:r>
        <w:t xml:space="preserve"> </w:t>
      </w:r>
      <w:r>
        <w:t xml:space="preserve">and the on-chain evidence. Chapter 8 reports the progress of each objective, Chapter 9 summarises the publication plan and Chapter 10 sets out the research plan for the</w:t>
      </w:r>
      <w:r>
        <w:t xml:space="preserve"> </w:t>
      </w:r>
      <w:r>
        <w:rPr>
          <w:rStyle w:val="OrangeDelete"/>
        </w:rPr>
        <w:t xml:space="preserve">next stage.</w:t>
      </w:r>
      <w:r>
        <w:rPr>
          <w:rStyle w:val="OrangeFix"/>
        </w:rPr>
        <w:t xml:space="preserve">current and next stages.</w:t>
      </w:r>
    </w:p>
    <w:bookmarkEnd w:id="12"/>
    <w:bookmarkEnd w:id="13"/>
    <w:bookmarkStart w:id="44" w:name="X8d950ebaf958e7860fc944fc7601a3578d63a09"/>
    <w:p>
      <w:pPr>
        <w:pStyle w:val="Heading1"/>
      </w:pPr>
      <w:r>
        <w:t xml:space="preserve">2 A Systematic Literature Review</w:t>
      </w:r>
    </w:p>
    <w:bookmarkStart w:id="14" w:name="overview-introduction"/>
    <w:p>
      <w:pPr>
        <w:pStyle w:val="Heading2"/>
      </w:pPr>
      <w:r>
        <w:t xml:space="preserve">2.1 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[10, 21, 23, 27, 28, 33]. Blockchain-based data-governance research has investigated immutable records, distributed auditability, and decentralised consent management [3, 4, 9, 25]. Research on decentralised identity and verifiable credentials has developed mechanisms for self-controlled identity representation, credential verification, selective disclosure, and privacy-preserving authentication [6, 7, 18, 20, 26, 36]. Access-control research has further investigated role-based, attribute-based, risk-aware, and usage-control approaches for protecting sensitive healthcare information [5, 13, 24, 30, 31, 34, 35].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w:t>
      </w:r>
      <w:r>
        <w:t xml:space="preserve"> </w:t>
      </w:r>
      <w:r>
        <w:rPr>
          <w:rStyle w:val="OrangeDelete"/>
        </w:rPr>
        <w:t xml:space="preserve">objective of this chapter is therefore to examine, through a systematic literature review, how far the existing approaches satisfy the conditions of a trustworthy authorisation decision and where the gap addressed by the proposed framework lies.</w:t>
      </w:r>
      <w:r>
        <w:rPr>
          <w:rStyle w:val="OrangeFix"/>
        </w:rPr>
        <w:t xml:space="preserve">following sections analyse these research areas and identify the gap addressed by the proposed framework.</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w:t>
      </w:r>
      <w:r>
        <w:t xml:space="preserve"> </w:t>
      </w:r>
      <w:r>
        <w:rPr>
          <w:rStyle w:val="OrangeDelete"/>
        </w:rPr>
        <w:t xml:space="preserve">evaluating quality and analysing the data</w:t>
      </w:r>
      <w:r>
        <w:rPr>
          <w:rStyle w:val="OrangeFix"/>
        </w:rPr>
        <w:t xml:space="preserve">evaluating quality, and extracting and categorising the data</w:t>
      </w:r>
      <w:r>
        <w:t xml:space="preserve">.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Chapters 3 and 4.</w:t>
      </w:r>
    </w:p>
    <w:bookmarkEnd w:id="14"/>
    <w:bookmarkStart w:id="20"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[37], the</w:t>
      </w:r>
      <w:r>
        <w:t xml:space="preserve"> </w:t>
      </w:r>
      <w:r>
        <w:rPr>
          <w:i/>
          <w:iCs/>
        </w:rPr>
        <w:t xml:space="preserve">My Health Records Act 2012</w:t>
      </w:r>
      <w:r>
        <w:t xml:space="preserve"> </w:t>
      </w:r>
      <w:r>
        <w:t xml:space="preserve">[38] and the</w:t>
      </w:r>
      <w:r>
        <w:t xml:space="preserve"> </w:t>
      </w:r>
      <w:r>
        <w:rPr>
          <w:i/>
          <w:iCs/>
        </w:rPr>
        <w:t xml:space="preserve">Healthcare Identifiers Act 2010</w:t>
      </w:r>
      <w:r>
        <w:t xml:space="preserve"> </w:t>
      </w:r>
      <w:r>
        <w:t xml:space="preserve">[39]. They form the basis on which the shortlisted studies are compared in Section 2.4 and against which the research gaps are stated in Section 2.5.</w:t>
      </w:r>
    </w:p>
    <w:bookmarkStart w:id="15"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[12], dynamic consent models [15, 23] and the legal conditions of valid consent [21] all point in this direction, but they stop at recording consent rather than making it evaluable. Blockchain-backed architectures that execute and audit consents [28] and self-determined consent frameworks [33] add enforcement and tracking, yet they still act on the consent record rather than on an evaluation of the request.</w:t>
      </w:r>
    </w:p>
    <w:bookmarkEnd w:id="15"/>
    <w:bookmarkStart w:id="16"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[6, 20], and the</w:t>
      </w:r>
      <w:r>
        <w:t xml:space="preserve"> </w:t>
      </w:r>
      <w:r>
        <w:rPr>
          <w:i/>
          <w:iCs/>
        </w:rPr>
        <w:t xml:space="preserve">Healthcare Identifiers Act 2010</w:t>
      </w:r>
      <w:r>
        <w:t xml:space="preserve"> </w:t>
      </w:r>
      <w:r>
        <w:t xml:space="preserve">already gives every provider and individual a persistent identifier [39]. The second step is frequently overlooked: a valid credential shows that a person is, for example, a registered practitioner or a legal guardian [10], but not that this person is authorised for this patient, this purpose and this data. The second requirement is that identity verification and authority verification be modelled as distinct conditions.</w:t>
      </w:r>
    </w:p>
    <w:bookmarkEnd w:id="16"/>
    <w:bookmarkStart w:id="17"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[10].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[6], multi-party governance of data trusts [19] and threshold-based pre-authorisation of record access [29] provide building blocks, but none treats the approval threshold as a verifiable condition attached to the consent itself.</w:t>
      </w:r>
    </w:p>
    <w:bookmarkEnd w:id="17"/>
    <w:bookmarkStart w:id="18"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usage-control and purpose-based models can express fine-grained restrictions [5, 13, 24, 30, 31, 34, 35], and the Australian Privacy Principles require that health information be used only for the primary purpose of collection or a directly related purpose [37]. The fourth requirement is that the framework evaluate the requested purpose and data scope against the consent as an explicit condition of the decision rather than as a separate access-control layer.</w:t>
      </w:r>
    </w:p>
    <w:bookmarkEnd w:id="18"/>
    <w:bookmarkStart w:id="19"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[2, 25, 27, 31], and dynamic identity systems handle revocation at the identity level [36]; the fifth requirement is that the same properties hold for the consent object and for the authorisation decisions made on it.</w:t>
      </w:r>
    </w:p>
    <w:p>
      <w:pPr>
        <w:pStyle w:val="BodyText"/>
      </w:pPr>
      <w:r>
        <w:rPr>
          <w:rStyle w:val="OrangeDelete"/>
        </w:rPr>
        <w:t xml:space="preserve">These five requirements form the basis of the comparison of the existing approaches in Section 2.4. Questions about whether the existing methods assist in addressing each requirement are answered</w:t>
      </w:r>
      <w:r>
        <w:rPr>
          <w:rStyle w:val="OrangeFix"/>
        </w:rPr>
        <w:t xml:space="preserve">Whether each shortlisted study addresses each requirement is recorded</w:t>
      </w:r>
      <w:r>
        <w:t xml:space="preserve"> </w:t>
      </w:r>
      <w:r>
        <w:t xml:space="preserve">in Tables 2.4–2.9, and the gaps are summarised from the requirement perspective in Section 2.5.</w:t>
      </w:r>
    </w:p>
    <w:bookmarkEnd w:id="19"/>
    <w:bookmarkEnd w:id="20"/>
    <w:bookmarkStart w:id="33" w:name="Xc890dc5c16727df01c4dec67a5cc738423fdfed"/>
    <w:p>
      <w:pPr>
        <w:pStyle w:val="Heading2"/>
      </w:pPr>
      <w:r>
        <w:t xml:space="preserve">2.3 Process Adopted for Shortlisting the Papers for the SLR</w:t>
      </w:r>
    </w:p>
    <w:p>
      <w:pPr>
        <w:pStyle w:val="FirstParagraph"/>
      </w:pPr>
      <w:r>
        <w:t xml:space="preserve">This review followed the Preferred Reporting Items for Systematic Reviews and Meta-Analyses (PRISMA 2020) reporting guideline [40].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w:t>
      </w:r>
      <w:r>
        <w:t xml:space="preserve"> </w:t>
      </w:r>
      <w:r>
        <w:rPr>
          <w:rStyle w:val="OrangeDelete"/>
        </w:rPr>
        <w:t xml:space="preserve">Consistent with the four-step approach adopted in this research group, the process is reported as</w:t>
      </w:r>
      <w:r>
        <w:rPr>
          <w:rStyle w:val="OrangeFix"/>
        </w:rPr>
        <w:t xml:space="preserve">The process is reported in four steps:</w:t>
      </w:r>
      <w:r>
        <w:t xml:space="preserve"> </w:t>
      </w:r>
      <w:r>
        <w:t xml:space="preserve">searching the literature (Step 1), applying inclusion and exclusion criteria (Step 2), evaluating quality (Step 3) and extracting and categorising the data (Step 4).</w:t>
      </w:r>
    </w:p>
    <w:bookmarkStart w:id="21" w:name="review-design-and-reporting-framework"/>
    <w:p>
      <w:pPr>
        <w:pStyle w:val="Heading3"/>
      </w:pP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w:t>
      </w:r>
      <w:r>
        <w:t xml:space="preserve"> </w:t>
      </w:r>
      <w:r>
        <w:rPr>
          <w:rStyle w:val="OrangeDelete"/>
        </w:rPr>
        <w:t xml:space="preserve">Preferred Reporting Items for Systematic Reviews and Meta-Analyses (PRISMA)</w:t>
      </w:r>
      <w:r>
        <w:rPr>
          <w:rStyle w:val="OrangeFix"/>
        </w:rPr>
        <w:t xml:space="preserve">PRISMA</w:t>
      </w:r>
      <w:r>
        <w:t xml:space="preserve"> </w:t>
      </w:r>
      <w:r>
        <w:t xml:space="preserve">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21"/>
    <w:bookmarkStart w:id="22" w:name="questions-for-review"/>
    <w:p>
      <w:pPr>
        <w:pStyle w:val="Heading3"/>
      </w:pPr>
      <w:r>
        <w:t xml:space="preserve">2.3.2 Questions for Review</w:t>
      </w:r>
    </w:p>
    <w:p>
      <w:pPr>
        <w:pStyle w:val="FirstParagraph"/>
      </w:pPr>
      <w:r>
        <w:t xml:space="preserve">This</w:t>
      </w:r>
      <w:r>
        <w:t xml:space="preserve"> </w:t>
      </w:r>
      <w:r>
        <w:rPr>
          <w:rStyle w:val="OrangeDelete"/>
        </w:rPr>
        <w:t xml:space="preserve">systematic literature review (SLR)</w:t>
      </w:r>
      <w:r>
        <w:rPr>
          <w:rStyle w:val="OrangeFix"/>
        </w:rPr>
        <w:t xml:space="preserve">SLR</w:t>
      </w:r>
      <w:r>
        <w:t xml:space="preserve"> </w:t>
      </w:r>
      <w:r>
        <w:t xml:space="preserve">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22"/>
    <w:bookmarkStart w:id="26" w:name="X84813ed82bde8b681c1e93fab893fb6ffc8ce2b"/>
    <w:p>
      <w:pPr>
        <w:pStyle w:val="Heading3"/>
      </w:pPr>
      <w:r>
        <w:t xml:space="preserve">2.3.3 Step 1: Criteria for Searching the Literature</w:t>
      </w:r>
    </w:p>
    <w:p>
      <w:pPr>
        <w:pStyle w:val="FirstParagraph"/>
      </w:pPr>
      <w:r>
        <w:t xml:space="preserve">The literature search was conducted</w:t>
      </w:r>
      <w:r>
        <w:t xml:space="preserve"> </w:t>
      </w:r>
      <w:r>
        <w:rPr>
          <w:rStyle w:val="OrangeDelete"/>
        </w:rPr>
        <w:t xml:space="preserve">using the following academic databases including 1) IEEE Xplore, 2) ACM Digital Library, 3) ScienceDirect, 4) SpringerLink, 5) PubMed, 6) Scopus; and 7) Web of Science.</w:t>
      </w:r>
      <w:r>
        <w:rPr>
          <w:rStyle w:val="OrangeFix"/>
        </w:rPr>
        <w:t xml:space="preserve">using the following academic databases: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CaptionedFigure"/>
      </w:pPr>
      <w:r>
        <w:drawing>
          <wp:inline>
            <wp:extent cx="5486400" cy="3383782"/>
            <wp:effectExtent b="0" l="0" r="0" t="0"/>
            <wp:docPr descr="Figure 2.1: SLR search string definition" title="" id="24" name="Picture"/>
            <a:graphic>
              <a:graphicData uri="http://schemas.openxmlformats.org/drawingml/2006/picture">
                <pic:pic>
                  <pic:nvPicPr>
                    <pic:cNvPr descr="media/fig01.png" id="25" name="Picture"/>
                    <pic:cNvPicPr>
                      <a:picLocks noChangeArrowheads="1" noChangeAspect="1"/>
                    </pic:cNvPicPr>
                  </pic:nvPicPr>
                  <pic:blipFill>
                    <a:blip r:embed="rId23"/>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w:t>
      </w:r>
    </w:p>
    <w:p>
      <w:pPr>
        <w:pStyle w:val="BodyText"/>
      </w:pPr>
      <w:r>
        <w:t xml:space="preserve">The search results from all databases were exported into a reference management system. Duplicate records were identified using bibliographic metadata, including title, author,</w:t>
      </w:r>
      <w:r>
        <w:t xml:space="preserve"> </w:t>
      </w:r>
      <w:r>
        <w:rPr>
          <w:rStyle w:val="OrangeDelete"/>
        </w:rPr>
        <w:t xml:space="preserve">DOI,</w:t>
      </w:r>
      <w:r>
        <w:rPr>
          <w:rStyle w:val="OrangeFix"/>
        </w:rPr>
        <w:t xml:space="preserve">digital object identifier (DOI),</w:t>
      </w:r>
      <w:r>
        <w:t xml:space="preserve"> </w:t>
      </w:r>
      <w:r>
        <w:t xml:space="preserve">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w:t>
      </w:r>
      <w:r>
        <w:t xml:space="preserve"> </w:t>
      </w:r>
      <w:r>
        <w:rPr>
          <w:rStyle w:val="OrangeDelete"/>
        </w:rPr>
        <w:t xml:space="preserve">digital object identifier</w:t>
      </w:r>
      <w:r>
        <w:rPr>
          <w:rStyle w:val="OrangeFix"/>
        </w:rPr>
        <w:t xml:space="preserve">DOI</w:t>
      </w:r>
      <w:r>
        <w:t xml:space="preserve"> </w:t>
      </w:r>
      <w:r>
        <w:t xml:space="preserve">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990"/>
        <w:gridCol w:w="4207"/>
        <w:gridCol w:w="990"/>
        <w:gridCol w:w="173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S7, S10, S30</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S12, S19</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S21</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S11</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S29</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S28</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14</w:t>
            </w:r>
          </w:p>
        </w:tc>
        <w:tc>
          <w:tcPr/>
          <w:p>
            <w:pPr>
              <w:pStyle w:val="Compact"/>
              <w:jc w:val="left"/>
            </w:pPr>
            <w:r>
              <w:t xml:space="preserve">IEEE Transactions on Network and Service Management</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S13</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22</w:t>
            </w:r>
          </w:p>
        </w:tc>
        <w:tc>
          <w:tcPr/>
          <w:p>
            <w:pPr>
              <w:pStyle w:val="Compact"/>
              <w:jc w:val="left"/>
            </w:pPr>
            <w:r>
              <w:t xml:space="preserve">JMIR Medical Informatics</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23</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24</w:t>
            </w:r>
          </w:p>
        </w:tc>
        <w:tc>
          <w:tcPr/>
          <w:p>
            <w:pPr>
              <w:pStyle w:val="Compact"/>
              <w:jc w:val="left"/>
            </w:pPr>
            <w:r>
              <w:t xml:space="preserve">Journal of Medical Internet Research</w:t>
            </w:r>
          </w:p>
        </w:tc>
        <w:tc>
          <w:tcPr/>
          <w:p>
            <w:pPr>
              <w:pStyle w:val="Compact"/>
              <w:jc w:val="left"/>
            </w:pPr>
            <w:r>
              <w:t xml:space="preserve">Journal</w:t>
            </w:r>
          </w:p>
        </w:tc>
        <w:tc>
          <w:tcPr/>
          <w:p>
            <w:pPr>
              <w:pStyle w:val="Compact"/>
              <w:jc w:val="left"/>
            </w:pPr>
            <w:r>
              <w:t xml:space="preserve">S9</w:t>
            </w:r>
          </w:p>
        </w:tc>
      </w:tr>
      <w:tr>
        <w:trPr>
          <w:cantSplit/>
        </w:trPr>
        <w:tc>
          <w:tcPr/>
          <w:p>
            <w:pPr>
              <w:pStyle w:val="Compact"/>
              <w:jc w:val="left"/>
            </w:pPr>
            <w:r>
              <w:t xml:space="preserve">25</w:t>
            </w:r>
          </w:p>
        </w:tc>
        <w:tc>
          <w:tcPr/>
          <w:p>
            <w:pPr>
              <w:pStyle w:val="Compact"/>
              <w:jc w:val="left"/>
            </w:pPr>
            <w:r>
              <w:t xml:space="preserve">npj Digital Medicine</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Heliyon</w:t>
            </w:r>
          </w:p>
        </w:tc>
        <w:tc>
          <w:tcPr/>
          <w:p>
            <w:pPr>
              <w:pStyle w:val="Compact"/>
              <w:jc w:val="left"/>
            </w:pPr>
            <w:r>
              <w:t xml:space="preserve">Journal</w:t>
            </w:r>
          </w:p>
        </w:tc>
        <w:tc>
          <w:tcPr/>
          <w:p>
            <w:pPr>
              <w:pStyle w:val="Compact"/>
              <w:jc w:val="left"/>
            </w:pPr>
            <w:r>
              <w:t xml:space="preserve">S31</w:t>
            </w:r>
          </w:p>
        </w:tc>
      </w:tr>
      <w:tr>
        <w:trPr>
          <w:cantSplit/>
        </w:trPr>
        <w:tc>
          <w:tcPr/>
          <w:p>
            <w:pPr>
              <w:pStyle w:val="Compact"/>
              <w:jc w:val="left"/>
            </w:pPr>
            <w:r>
              <w:t xml:space="preserve">27</w:t>
            </w:r>
          </w:p>
        </w:tc>
        <w:tc>
          <w:tcPr/>
          <w:p>
            <w:pPr>
              <w:pStyle w:val="Compact"/>
              <w:jc w:val="left"/>
            </w:pPr>
            <w:r>
              <w:t xml:space="preserve">PeerJ Computer Science</w:t>
            </w:r>
          </w:p>
        </w:tc>
        <w:tc>
          <w:tcPr/>
          <w:p>
            <w:pPr>
              <w:pStyle w:val="Compact"/>
              <w:jc w:val="left"/>
            </w:pPr>
            <w:r>
              <w:t xml:space="preserve">Journal</w:t>
            </w:r>
          </w:p>
        </w:tc>
        <w:tc>
          <w:tcPr/>
          <w:p>
            <w:pPr>
              <w:pStyle w:val="Compact"/>
              <w:jc w:val="left"/>
            </w:pPr>
            <w:r>
              <w:t xml:space="preserve">S32</w:t>
            </w:r>
          </w:p>
        </w:tc>
      </w:tr>
      <w:tr>
        <w:trPr>
          <w:cantSplit/>
        </w:trPr>
        <w:tc>
          <w:tcPr/>
          <w:p>
            <w:pPr>
              <w:pStyle w:val="Compact"/>
              <w:jc w:val="left"/>
            </w:pPr>
            <w:r>
              <w:t xml:space="preserve">28</w:t>
            </w:r>
          </w:p>
        </w:tc>
        <w:tc>
          <w:tcPr/>
          <w:p>
            <w:pPr>
              <w:pStyle w:val="Compact"/>
              <w:jc w:val="left"/>
            </w:pPr>
            <w:r>
              <w:t xml:space="preserve">Wireless Networks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29</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S33</w:t>
            </w:r>
          </w:p>
        </w:tc>
      </w:tr>
    </w:tbl>
    <w:bookmarkEnd w:id="26"/>
    <w:bookmarkStart w:id="27" w:name="X87f2157b1356acc42089dadf522cb794d6b8b71"/>
    <w:p>
      <w:pPr>
        <w:pStyle w:val="Heading3"/>
      </w:pPr>
      <w:r>
        <w:t xml:space="preserve">2.3.4 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w:t>
      </w:r>
      <w:r>
        <w:t xml:space="preserve"> </w:t>
      </w:r>
      <w:r>
        <w:rPr>
          <w:rStyle w:val="OrangeDelete"/>
        </w:rPr>
        <w:t xml:space="preserve">records,</w:t>
      </w:r>
      <w:r>
        <w:rPr>
          <w:rStyle w:val="OrangeFix"/>
        </w:rPr>
        <w:t xml:space="preserve">records (EHRs),</w:t>
      </w:r>
      <w:r>
        <w:t xml:space="preserve"> </w:t>
      </w:r>
      <w:r>
        <w:t xml:space="preserve">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w:t>
      </w:r>
      <w:r>
        <w:t xml:space="preserve"> </w:t>
      </w:r>
      <w:r>
        <w:rPr>
          <w:rStyle w:val="OrangeDelete"/>
        </w:rPr>
        <w:t xml:space="preserve">four studies from outside the healthcare domain were retained because the mechanism they contribute transfers directly to healthcare authorisation: decentralised trust in multi-stakeholder data sharing [1], privacy-preserving authentication based on decentralised identifiers and verifiable credentials [26], and decentralised identity and access control for constrained devices [17, 18].</w:t>
      </w:r>
      <w:r>
        <w:rPr>
          <w:rStyle w:val="OrangeFix"/>
        </w:rPr>
        <w:t xml:space="preserve">five studies from outside the healthcare domain were retained because the mechanism they contribute transfers directly to healthcare authorisation: decentralised trust in multi-stakeholder data sharing [1], privacy-preserving authentication based on decentralised identifiers and verifiable credentials [26], decentralised identity and access control for constrained devices [17, 18], and remote attestation for trusted execution environments [22].</w:t>
      </w:r>
      <w:r>
        <w:t xml:space="preserve"> </w:t>
      </w:r>
      <w:r>
        <w:t xml:space="preserve">Studies whose subject matter lies outside healthcare data sharing, consent, identity or access control were excluded at the full-text stage as scope mismatches (Figure 2.2). The 2019 policy statement on guardian and proxy access [32] and two survey studies of stakeholder attitudes and intentions towards health-data sharing [14, 16] are cited as background in Chapter 1 but were not retained in the review set, because they fall outside the publication window or do not propose, implement or evaluate an approach (inclusion criterion 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664"/>
        <w:gridCol w:w="2824"/>
        <w:gridCol w:w="2824"/>
        <w:gridCol w:w="160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7 excluded; 33 included</w:t>
            </w:r>
          </w:p>
        </w:tc>
      </w:tr>
    </w:tbl>
    <w:bookmarkEnd w:id="27"/>
    <w:bookmarkStart w:id="31" w:name="Xd7a82ff4baa7a69a0bd33db9f9a267ef3c07ad5"/>
    <w:p>
      <w:pPr>
        <w:pStyle w:val="Heading3"/>
      </w:pPr>
      <w:r>
        <w:t xml:space="preserve">2.3.5 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46140"/>
            <wp:effectExtent b="0" l="0" r="0" t="0"/>
            <wp:docPr descr="Figure 2.2: PRISMA study selection summary" title="" id="29" name="Picture"/>
            <a:graphic>
              <a:graphicData uri="http://schemas.openxmlformats.org/drawingml/2006/picture">
                <pic:pic>
                  <pic:nvPicPr>
                    <pic:cNvPr descr="media_col/fig02.png" id="30" name="Picture"/>
                    <pic:cNvPicPr>
                      <a:picLocks noChangeArrowheads="1" noChangeAspect="1"/>
                    </pic:cNvPicPr>
                  </pic:nvPicPr>
                  <pic:blipFill>
                    <a:blip r:embed="rId28"/>
                    <a:stretch>
                      <a:fillRect/>
                    </a:stretch>
                  </pic:blipFill>
                  <pic:spPr bwMode="auto">
                    <a:xfrm>
                      <a:off x="0" y="0"/>
                      <a:ext cx="5486400" cy="2946140"/>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t xml:space="preserve">Figure 2.2 presents the PRISMA flow diagram</w:t>
      </w:r>
      <w:r>
        <w:t xml:space="preserve"> </w:t>
      </w:r>
      <w:r>
        <w:rPr>
          <w:rStyle w:val="OrangeDelete"/>
        </w:rPr>
        <w:t xml:space="preserve">for this review, prepared following PRISMA 2020 [40], which summarises</w:t>
      </w:r>
      <w:r>
        <w:rPr>
          <w:rStyle w:val="OrangeFix"/>
        </w:rPr>
        <w:t xml:space="preserve">for this review, which summarises</w:t>
      </w:r>
      <w:r>
        <w:t xml:space="preserve"> </w:t>
      </w:r>
      <w:r>
        <w:t xml:space="preserve">the identification, screening, eligibility, and inclusion stages of the SLR. The final number of included studies (n = 33)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 31), ACM Digital Library (n = 14), ScienceDirect (n = 23), SpringerLink (n = 18), PubMed (n = 12), Scopus (n = 17) and Web of Science (n = 10).</w:t>
      </w:r>
    </w:p>
    <w:bookmarkEnd w:id="31"/>
    <w:bookmarkStart w:id="32" w:name="X25280fe26ef60600cfdb60dc4ea4fc7d14be763"/>
    <w:p>
      <w:pPr>
        <w:pStyle w:val="Heading3"/>
      </w:pPr>
      <w:r>
        <w:t xml:space="preserve">2.3.6 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 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642"/>
        <w:gridCol w:w="1872"/>
        <w:gridCol w:w="2729"/>
        <w:gridCol w:w="267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[11]</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[12]</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Khalid et al., 2023 [15]</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McClelland and Harper, 2022 [21]</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Narkhede et al., 2025 [23]</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Phuyal et al., 2026 [27]</w:t>
            </w:r>
          </w:p>
        </w:tc>
        <w:tc>
          <w:tcPr/>
          <w:p>
            <w:pPr>
              <w:pStyle w:val="Compact"/>
              <w:jc w:val="left"/>
            </w:pPr>
            <w:r>
              <w:t xml:space="preserve">Blockchain-based dynamic and revocable consent for secondary health data use: systematic review</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Román et al., 2023 [28]</w:t>
            </w:r>
          </w:p>
        </w:tc>
        <w:tc>
          <w:tcPr/>
          <w:p>
            <w:pPr>
              <w:pStyle w:val="Compact"/>
              <w:jc w:val="left"/>
            </w:pPr>
            <w:r>
              <w:t xml:space="preserve">Blockchain-based service-oriented architecture for consent management, access control, and auditing</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Welzel et al., 2025 [33]</w:t>
            </w:r>
          </w:p>
        </w:tc>
        <w:tc>
          <w:tcPr/>
          <w:p>
            <w:pPr>
              <w:pStyle w:val="Compact"/>
              <w:jc w:val="left"/>
            </w:pPr>
            <w:r>
              <w:t xml:space="preserve">Enabling secure and self-determined health data sharing and consent management</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Hagström et al., 2022 [10]</w:t>
            </w:r>
          </w:p>
        </w:tc>
        <w:tc>
          <w:tcPr/>
          <w:p>
            <w:pPr>
              <w:pStyle w:val="Compact"/>
              <w:jc w:val="left"/>
            </w:pPr>
            <w:r>
              <w:t xml:space="preserve">Web-based access to paediatric electronic health records for children, adolescents and parents: scoping review</w:t>
            </w:r>
          </w:p>
        </w:tc>
        <w:tc>
          <w:tcPr/>
          <w:p>
            <w:pPr>
              <w:pStyle w:val="Compact"/>
              <w:jc w:val="left"/>
            </w:pPr>
            <w:r>
              <w:t xml:space="preserve">Healthcare consent and privacy governance</w:t>
            </w:r>
          </w:p>
        </w:tc>
      </w:tr>
      <w:tr>
        <w:trPr>
          <w:cantSplit/>
        </w:trPr>
        <w:tc>
          <w:tcPr/>
          <w:p>
            <w:pPr>
              <w:pStyle w:val="Compact"/>
              <w:jc w:val="left"/>
            </w:pPr>
            <w:r>
              <w:t xml:space="preserve">S10</w:t>
            </w:r>
          </w:p>
        </w:tc>
        <w:tc>
          <w:tcPr/>
          <w:p>
            <w:pPr>
              <w:pStyle w:val="Compact"/>
              <w:jc w:val="left"/>
            </w:pPr>
            <w:r>
              <w:t xml:space="preserve">Al Mamun et al., 2022 [2]</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S11</w:t>
            </w:r>
          </w:p>
        </w:tc>
        <w:tc>
          <w:tcPr/>
          <w:p>
            <w:pPr>
              <w:pStyle w:val="Compact"/>
              <w:jc w:val="left"/>
            </w:pPr>
            <w:r>
              <w:t xml:space="preserve">Andrew et al., 2023 [3]</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Arbabi et al., 2023 [4]</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Ghosh et al., 2023 [9]</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Nguyen et al., 2025 [25]</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Deng et al., 2024 [6]</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S16</w:t>
            </w:r>
          </w:p>
        </w:tc>
        <w:tc>
          <w:tcPr/>
          <w:p>
            <w:pPr>
              <w:pStyle w:val="Compact"/>
              <w:jc w:val="left"/>
            </w:pPr>
            <w:r>
              <w:t xml:space="preserve">Flamini et al., 2024 [7]</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S17</w:t>
            </w:r>
          </w:p>
        </w:tc>
        <w:tc>
          <w:tcPr/>
          <w:p>
            <w:pPr>
              <w:pStyle w:val="Compact"/>
              <w:jc w:val="left"/>
            </w:pPr>
            <w:r>
              <w:t xml:space="preserve">Khayer et al., 2025 [17]</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Kyriakidou et al., 2023 [18]</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Parameswarath et al., 2022 [26]</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Yin et al., 2025 [36]</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Ghafoor Abbasi et al., 2025 [1]</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S23</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S24</w:t>
            </w:r>
          </w:p>
        </w:tc>
        <w:tc>
          <w:tcPr/>
          <w:p>
            <w:pPr>
              <w:pStyle w:val="Compact"/>
              <w:jc w:val="left"/>
            </w:pPr>
            <w:r>
              <w:t xml:space="preserve">Garcia et al., 2022 [8]</w:t>
            </w:r>
          </w:p>
        </w:tc>
        <w:tc>
          <w:tcPr/>
          <w:p>
            <w:pPr>
              <w:pStyle w:val="Compact"/>
              <w:jc w:val="left"/>
            </w:pPr>
            <w:r>
              <w:t xml:space="preserve">Blockchain-aided and privacy-preserving data governance in multi-stakeholder applications</w:t>
            </w:r>
          </w:p>
        </w:tc>
        <w:tc>
          <w:tcPr/>
          <w:p>
            <w:pPr>
              <w:pStyle w:val="Compact"/>
              <w:jc w:val="left"/>
            </w:pPr>
            <w:r>
              <w:t xml:space="preserve">Multi-party and decentralised governance</w:t>
            </w:r>
          </w:p>
        </w:tc>
      </w:tr>
      <w:tr>
        <w:trPr>
          <w:cantSplit/>
        </w:trPr>
        <w:tc>
          <w:tcPr/>
          <w:p>
            <w:pPr>
              <w:pStyle w:val="Compact"/>
              <w:jc w:val="left"/>
            </w:pPr>
            <w:r>
              <w:t xml:space="preserve">S25</w:t>
            </w:r>
          </w:p>
        </w:tc>
        <w:tc>
          <w:tcPr/>
          <w:p>
            <w:pPr>
              <w:pStyle w:val="Compact"/>
              <w:jc w:val="left"/>
            </w:pPr>
            <w:r>
              <w:t xml:space="preserve">Tan et al., 2024 [29]</w:t>
            </w:r>
          </w:p>
        </w:tc>
        <w:tc>
          <w:tcPr/>
          <w:p>
            <w:pPr>
              <w:pStyle w:val="Compact"/>
              <w:jc w:val="left"/>
            </w:pPr>
            <w:r>
              <w:t xml:space="preserve">Secure and privacy-preserving sharing of personal health records with multi-party pre-authorisation verification</w:t>
            </w:r>
          </w:p>
        </w:tc>
        <w:tc>
          <w:tcPr/>
          <w:p>
            <w:pPr>
              <w:pStyle w:val="Compact"/>
              <w:jc w:val="left"/>
            </w:pPr>
            <w:r>
              <w:t xml:space="preserve">Multi-party and decentralised governance</w:t>
            </w:r>
          </w:p>
        </w:tc>
      </w:tr>
      <w:tr>
        <w:trPr>
          <w:cantSplit/>
        </w:trPr>
        <w:tc>
          <w:tcPr/>
          <w:p>
            <w:pPr>
              <w:pStyle w:val="Compact"/>
              <w:jc w:val="left"/>
            </w:pPr>
            <w:r>
              <w:t xml:space="preserve">S26</w:t>
            </w:r>
          </w:p>
        </w:tc>
        <w:tc>
          <w:tcPr/>
          <w:p>
            <w:pPr>
              <w:pStyle w:val="Compact"/>
              <w:jc w:val="left"/>
            </w:pPr>
            <w:r>
              <w:t xml:space="preserve">Jiang et al., 2023 [13]</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S27</w:t>
            </w:r>
          </w:p>
        </w:tc>
        <w:tc>
          <w:tcPr/>
          <w:p>
            <w:pPr>
              <w:pStyle w:val="Compact"/>
              <w:jc w:val="left"/>
            </w:pPr>
            <w:r>
              <w:t xml:space="preserve">Nazir et al., 2026 [24]</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Tawfik et al., 2025 [30]</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S29</w:t>
            </w:r>
          </w:p>
        </w:tc>
        <w:tc>
          <w:tcPr/>
          <w:p>
            <w:pPr>
              <w:pStyle w:val="Compact"/>
              <w:jc w:val="left"/>
            </w:pPr>
            <w:r>
              <w:t xml:space="preserve">Yin et al., 2024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S30</w:t>
            </w:r>
          </w:p>
        </w:tc>
        <w:tc>
          <w:tcPr/>
          <w:p>
            <w:pPr>
              <w:pStyle w:val="Compact"/>
              <w:jc w:val="left"/>
            </w:pPr>
            <w:r>
              <w:t xml:space="preserve">de Oliveira et al., 2022 [5]</w:t>
            </w:r>
          </w:p>
        </w:tc>
        <w:tc>
          <w:tcPr/>
          <w:p>
            <w:pPr>
              <w:pStyle w:val="Compact"/>
              <w:jc w:val="left"/>
            </w:pPr>
            <w:r>
              <w:t xml:space="preserve">SmartAccess: attribute-based access control system for medical records based on smart contracts</w:t>
            </w:r>
          </w:p>
        </w:tc>
        <w:tc>
          <w:tcPr/>
          <w:p>
            <w:pPr>
              <w:pStyle w:val="Compact"/>
              <w:jc w:val="left"/>
            </w:pPr>
            <w:r>
              <w:t xml:space="preserve">Policy-based and healthcare access control</w:t>
            </w:r>
          </w:p>
        </w:tc>
      </w:tr>
      <w:tr>
        <w:trPr>
          <w:cantSplit/>
        </w:trPr>
        <w:tc>
          <w:tcPr/>
          <w:p>
            <w:pPr>
              <w:pStyle w:val="Compact"/>
              <w:jc w:val="left"/>
            </w:pPr>
            <w:r>
              <w:t xml:space="preserve">S31</w:t>
            </w:r>
          </w:p>
        </w:tc>
        <w:tc>
          <w:tcPr/>
          <w:p>
            <w:pPr>
              <w:pStyle w:val="Compact"/>
              <w:jc w:val="left"/>
            </w:pPr>
            <w:r>
              <w:t xml:space="preserve">Ullah et al., 2024 [31]</w:t>
            </w:r>
          </w:p>
        </w:tc>
        <w:tc>
          <w:tcPr/>
          <w:p>
            <w:pPr>
              <w:pStyle w:val="Compact"/>
              <w:jc w:val="left"/>
            </w:pPr>
            <w:r>
              <w:t xml:space="preserve">Blockchain-enabled EHR access auditing: enhancing healthcare data security</w:t>
            </w:r>
          </w:p>
        </w:tc>
        <w:tc>
          <w:tcPr/>
          <w:p>
            <w:pPr>
              <w:pStyle w:val="Compact"/>
              <w:jc w:val="left"/>
            </w:pPr>
            <w:r>
              <w:t xml:space="preserve">Policy-based and healthcare access control</w:t>
            </w:r>
          </w:p>
        </w:tc>
      </w:tr>
      <w:tr>
        <w:trPr>
          <w:cantSplit/>
        </w:trPr>
        <w:tc>
          <w:tcPr/>
          <w:p>
            <w:pPr>
              <w:pStyle w:val="Compact"/>
              <w:jc w:val="left"/>
            </w:pPr>
            <w:r>
              <w:t xml:space="preserve">S32</w:t>
            </w:r>
          </w:p>
        </w:tc>
        <w:tc>
          <w:tcPr/>
          <w:p>
            <w:pPr>
              <w:pStyle w:val="Compact"/>
              <w:jc w:val="left"/>
            </w:pPr>
            <w:r>
              <w:t xml:space="preserve">Yaqub et al., 2025 [34]</w:t>
            </w:r>
          </w:p>
        </w:tc>
        <w:tc>
          <w:tcPr/>
          <w:p>
            <w:pPr>
              <w:pStyle w:val="Compact"/>
              <w:jc w:val="left"/>
            </w:pPr>
            <w:r>
              <w:t xml:space="preserve">Blockchain-enabled policy-based access control mechanism to restrict unauthorised access to electronic health records</w:t>
            </w:r>
          </w:p>
        </w:tc>
        <w:tc>
          <w:tcPr/>
          <w:p>
            <w:pPr>
              <w:pStyle w:val="Compact"/>
              <w:jc w:val="left"/>
            </w:pPr>
            <w:r>
              <w:t xml:space="preserve">Policy-based and healthcare access control</w:t>
            </w:r>
          </w:p>
        </w:tc>
      </w:tr>
      <w:tr>
        <w:trPr>
          <w:cantSplit/>
        </w:trPr>
        <w:tc>
          <w:tcPr/>
          <w:p>
            <w:pPr>
              <w:pStyle w:val="Compact"/>
              <w:jc w:val="left"/>
            </w:pPr>
            <w:r>
              <w:t xml:space="preserve">S33</w:t>
            </w:r>
          </w:p>
        </w:tc>
        <w:tc>
          <w:tcPr/>
          <w:p>
            <w:pPr>
              <w:pStyle w:val="Compact"/>
              <w:jc w:val="left"/>
            </w:pPr>
            <w:r>
              <w:t xml:space="preserve">Ménétrey et al., 2022 [22]</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32"/>
    <w:bookmarkEnd w:id="33"/>
    <w:bookmarkStart w:id="41" w:name="X47a7c0cd3439350f5b2bab0a0c72b8d78bf1bcb"/>
    <w:p>
      <w:pPr>
        <w:pStyle w:val="Heading2"/>
      </w:pPr>
      <w:r>
        <w:t xml:space="preserve">2.4 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t xml:space="preserve">2.4.1 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[10, 21].</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[23]. At the same time, privacy-preserving interoperability remains difficult because healthcare systems must balance individual autonomy with the operational requirements of clinical care, coordination, and legitimate secondary data use [11].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[15]. Consent receipts and auditable consent records have also been proposed to improve transparency and accountability by providing evidence of how consent was obtained and exercised [12].</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More recent architectures go a step further. A blockchain-backed service-oriented architecture stores consents immutably, enforces access to health data according to them and exposes audit tasks to supervisory authorities and to patients themselves [28], and a self-determined consent framework combines blockchain, self-sovereign identity and de-identified tokens so that consent and data use can be tracked across clinical, app and wearable data [33].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[27].</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 [11]</w:t>
            </w:r>
          </w:p>
        </w:tc>
        <w:tc>
          <w:tcPr/>
          <w:p>
            <w:pPr>
              <w:pStyle w:val="Compact"/>
              <w:jc w:val="left"/>
            </w:pPr>
            <w:r>
              <w:t xml:space="preserve">Cross-sectional study of 150 nurses in a general hospital on how patient confidentiality is balanced against care coordination, measured with</w:t>
            </w:r>
            <w:r>
              <w:t xml:space="preserve"> </w:t>
            </w:r>
            <w:r>
              <w:rPr>
                <w:rStyle w:val="OrangeDelete"/>
              </w:rPr>
              <w:t xml:space="preserve">HIPAA,</w:t>
            </w:r>
            <w:r>
              <w:rPr>
                <w:rStyle w:val="OrangeFix"/>
              </w:rPr>
              <w:t xml:space="preserve">Health Insurance Portability and Accountability Act (HIPAA),</w:t>
            </w:r>
            <w:r>
              <w:t xml:space="preserve"> </w:t>
            </w:r>
            <w:r>
              <w:t xml:space="preserve">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 [12]</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 [15]</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S4 [21]</w:t>
            </w:r>
          </w:p>
        </w:tc>
        <w:tc>
          <w:tcPr/>
          <w:p>
            <w:pPr>
              <w:pStyle w:val="Compact"/>
              <w:jc w:val="left"/>
            </w:pPr>
            <w:r>
              <w:t xml:space="preserve">Legal analysis of informed consent for the use and disclosure of patient information under the</w:t>
            </w:r>
            <w:r>
              <w:t xml:space="preserve"> </w:t>
            </w:r>
            <w:r>
              <w:rPr>
                <w:rStyle w:val="OrangeDelete"/>
              </w:rPr>
              <w:t xml:space="preserve">GDPR,</w:t>
            </w:r>
            <w:r>
              <w:rPr>
                <w:rStyle w:val="OrangeFix"/>
              </w:rPr>
              <w:t xml:space="preserve">General Data Protection Regulation (GDPR),</w:t>
            </w:r>
            <w:r>
              <w:t xml:space="preserve"> </w:t>
            </w:r>
            <w:r>
              <w:t xml:space="preserve">the common law and professional ethics.</w:t>
            </w:r>
          </w:p>
        </w:tc>
        <w:tc>
          <w:tcPr/>
          <w:p>
            <w:pPr>
              <w:pStyle w:val="Compact"/>
              <w:jc w:val="left"/>
            </w:pPr>
            <w:r>
              <w:t xml:space="preserve">Defines the legal conditions of a valid consent but not an executable authorisation object.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S5 [23]</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S6 [27]</w:t>
            </w:r>
          </w:p>
        </w:tc>
        <w:tc>
          <w:tcPr/>
          <w:p>
            <w:pPr>
              <w:pStyle w:val="Compact"/>
              <w:jc w:val="left"/>
            </w:pPr>
            <w: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S7 [28]</w:t>
            </w:r>
          </w:p>
        </w:tc>
        <w:tc>
          <w:tcPr/>
          <w:p>
            <w:pPr>
              <w:pStyle w:val="Compact"/>
              <w:jc w:val="left"/>
            </w:pPr>
            <w: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t xml:space="preserve">Consent is stored and executed, but the requester’s authority and any multi-party approval are outside the model; enforcement follows the record rather than an evaluated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S8 [33]</w:t>
            </w:r>
          </w:p>
        </w:tc>
        <w:tc>
          <w:tcPr/>
          <w:p>
            <w:pPr>
              <w:pStyle w:val="Compact"/>
              <w:jc w:val="left"/>
            </w:pPr>
            <w: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t xml:space="preserve">Early-stage conceptual framework; identity and consent components are listed rather than combined into an authorisation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S9 [10]</w:t>
            </w:r>
          </w:p>
        </w:tc>
        <w:tc>
          <w:tcPr/>
          <w:p>
            <w:pPr>
              <w:pStyle w:val="Compact"/>
              <w:jc w:val="left"/>
            </w:pPr>
            <w:r>
              <w:t xml:space="preserve">Scoping review (74 studies, 2007–2021) of the views, use and experiences of children, adolescents, parents and clinicians regarding web-based access to paediatric electronic health records, including parental proxy access and the age at which access changes.</w:t>
            </w:r>
          </w:p>
        </w:tc>
        <w:tc>
          <w:tcPr/>
          <w:p>
            <w:pPr>
              <w:pStyle w:val="Compact"/>
              <w:jc w:val="left"/>
            </w:pPr>
            <w:r>
              <w:t xml:space="preserve">Establishes that guardian and proxy access varies between providers and that adolescent confidentiality is the main concern, but offers no mechanism for verifying a guardian’s authority or for joint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4"/>
    <w:bookmarkStart w:id="35" w:name="X2b887499669ea90de256e63d16984e9c6f7f03a"/>
    <w:p>
      <w:pPr>
        <w:pStyle w:val="Heading3"/>
      </w:pPr>
      <w:r>
        <w:t xml:space="preserve">2.4.2 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[2, 3, 4, 9]. More generally, blockchain has been studied as an infrastructure for trustworthy data sharing and decentralised decision-making across organisational boundaries [8, 25].</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[2, 25].</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[3, 4, 9, 30].</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S10 [2]</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S11 [3]</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S12 [4]</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S13 [9]</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S14 [25]</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5"/>
    <w:bookmarkStart w:id="36" w:name="Xce8374abd25737680a0ea224e7b0673254898a7"/>
    <w:p>
      <w:pPr>
        <w:pStyle w:val="Heading3"/>
      </w:pPr>
      <w:r>
        <w:t xml:space="preserve">2.4.3 Decentralised Identity and Verifiable Credentials</w:t>
      </w:r>
    </w:p>
    <w:p>
      <w:pPr>
        <w:pStyle w:val="FirstParagraph"/>
      </w:pPr>
      <w:r>
        <w:t xml:space="preserve">Decentralised Identifiers (DIDs)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[6, 18, 20, 36].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[6, 36]. Other studies have examined privacy-preserving authentication and selective disclosure, allowing participants to prove selected attributes without unnecessarily revealing additional information [7, 26].</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Reviews of blockchain-based identity management for the Internet of Things (IoT) reach the same conclusion for constrained devices [17, 18].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S15 [6]</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S16 [7]</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S17 [17]</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S18 [18]</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S19 [20]</w:t>
            </w:r>
          </w:p>
        </w:tc>
        <w:tc>
          <w:tcPr/>
          <w:p>
            <w:pPr>
              <w:pStyle w:val="Compact"/>
              <w:jc w:val="left"/>
            </w:pPr>
            <w:r>
              <w:rPr>
                <w:rStyle w:val="OrangeDelete"/>
              </w:rPr>
              <w:t xml:space="preserve">Comprehensive survey</w:t>
            </w:r>
            <w:r>
              <w:rPr>
                <w:rStyle w:val="OrangeFix"/>
              </w:rPr>
              <w:t xml:space="preserve">Survey</w:t>
            </w:r>
            <w:r>
              <w:t xml:space="preserve"> </w:t>
            </w:r>
            <w:r>
              <w:t xml:space="preserve">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S20 [26]</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S21 [36]</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6"/>
    <w:bookmarkStart w:id="37" w:name="X836fdb855249812e1f666cb0298115c8e62a77c"/>
    <w:p>
      <w:pPr>
        <w:pStyle w:val="Heading3"/>
      </w:pPr>
      <w:r>
        <w:t xml:space="preserve">2.4.4 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[10, 11].</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A decentralised trust framework for multi-stakeholder livestock data sharing shows that controlled exposure to authorised entities can be achieved without a central authority [1]. A blockchain-aided data-governance framework for multi-stakeholder applications lets the data owner manage consent and disclose data selectively while the data consumers verify its provenance, and demonstrates this on an e-prescription case involving patients, doctors and pharmacists [8]. FutureDID further demonstrates that multi-party verification can be incorporated into decentralised identity processes [6].</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The closest existing approach to threshold-based authorisation is the multi-party pre-authorisation protocol of Tan et al. [29],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S22 [1]</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S23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S24 [8]</w:t>
            </w:r>
          </w:p>
        </w:tc>
        <w:tc>
          <w:tcPr/>
          <w:p>
            <w:pPr>
              <w:pStyle w:val="Compact"/>
              <w:jc w:val="left"/>
            </w:pPr>
            <w:r>
              <w:t xml:space="preserve">Decentralised data-governance framework for multi-stakeholder applications that combines blockchain, proxy re-encryption and BBS signatures so that data owners can manage consent, disclose data selectively and let consumers verify provenance, evaluated on an e-prescription use case with patients, doctors and pharmacists.</w:t>
            </w:r>
          </w:p>
        </w:tc>
        <w:tc>
          <w:tcPr/>
          <w:p>
            <w:pPr>
              <w:pStyle w:val="Compact"/>
              <w:jc w:val="left"/>
            </w:pPr>
            <w:r>
              <w:t xml:space="preserve">Consent and selective disclosure are controlled by the data owner alone; the requester’s authority and any multi-party approval threshold are not evaluated before the data is released.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S25 [29]</w:t>
            </w:r>
          </w:p>
        </w:tc>
        <w:tc>
          <w:tcPr/>
          <w:p>
            <w:pPr>
              <w:pStyle w:val="Compact"/>
              <w:jc w:val="left"/>
            </w:pPr>
            <w: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t xml:space="preserve">The threshold applies to cryptographic shares held by parties fixed in advance; the approval is not evaluated against the requester’s authority or the purpose and scope of the request.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7"/>
    <w:bookmarkStart w:id="38" w:name="X65ac327857ae873d38ffe426701abf3e34d1162"/>
    <w:p>
      <w:pPr>
        <w:pStyle w:val="Heading3"/>
      </w:pPr>
      <w:r>
        <w:t xml:space="preserve">2.4.5 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[35]. Risk-aware and usage-control models have further investigated how access decisions can incorporate dynamic conditions and constraints beyond traditional role-based permissions [13].</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[24, 30].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Purpose-based access control has also been combined with blockchain audit trails so that every access is recorded together with its declared purpose [31], and policy-based access control governed by smart contracts allows the subject, controller and requester roles of the GDPR to grant, revoke and inspect access rights [34]. In both cases the purpose is checked against a policy rather than against the purpose the patient consented to. SmartAccess goes further by letting the organisations involved agree jointly on attribute-based access policies enforced by smart contracts [5]; the agreement is between organisations, however, rather than between the patient and the parties who must approve access.</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S26 [13]</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S27 [24]</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S28 [30]</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S29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S30 [5]</w:t>
            </w:r>
          </w:p>
        </w:tc>
        <w:tc>
          <w:tcPr/>
          <w:p>
            <w:pPr>
              <w:pStyle w:val="Compact"/>
              <w:jc w:val="left"/>
            </w:pPr>
            <w: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t xml:space="preserve">Policies are agreed jointly by organisations, not by the patient and guardians; the decision follows attributes rather than the purpose and scope of a consent.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S31 [31]</w:t>
            </w:r>
          </w:p>
        </w:tc>
        <w:tc>
          <w:tcPr/>
          <w:p>
            <w:pPr>
              <w:pStyle w:val="Compact"/>
              <w:jc w:val="left"/>
            </w:pPr>
            <w:r>
              <w:t xml:space="preserve">Blockchain-based EHR access auditing that records who accessed which record, when and for what purpose, combined with purpose-based access control enforced by smart contracts.</w:t>
            </w:r>
          </w:p>
        </w:tc>
        <w:tc>
          <w:tcPr/>
          <w:p>
            <w:pPr>
              <w:pStyle w:val="Compact"/>
              <w:jc w:val="left"/>
            </w:pPr>
            <w:r>
              <w:t xml:space="preserve">Purpose is checked against a policy, not against the purpose the patient consented to; no identity verification or collective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S32 [34]</w:t>
            </w:r>
          </w:p>
        </w:tc>
        <w:tc>
          <w:tcPr/>
          <w:p>
            <w:pPr>
              <w:pStyle w:val="Compact"/>
              <w:jc w:val="left"/>
            </w:pPr>
            <w:r>
              <w:t xml:space="preserve">Policy-based access control for EHRs governed by smart contracts, in which the subject, controller and requester roles of the GDPR can grant, revoke and inspect access rights.</w:t>
            </w:r>
          </w:p>
        </w:tc>
        <w:tc>
          <w:tcPr/>
          <w:p>
            <w:pPr>
              <w:pStyle w:val="Compact"/>
              <w:jc w:val="left"/>
            </w:pPr>
            <w:r>
              <w:t xml:space="preserve">Policies are role-based; consent is implicit in the subject’s grant and no threshold of approvals is required.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8"/>
    <w:bookmarkStart w:id="39" w:name="X70697d1bf80033494359f9b6207e02cd31d6057"/>
    <w:p>
      <w:pPr>
        <w:pStyle w:val="Heading3"/>
      </w:pP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[22].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S33 [22]</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9"/>
    <w:bookmarkStart w:id="40" w:name="X825064b2f9c6a59f6907e485e5a8e31c4a70bee"/>
    <w:p>
      <w:pPr>
        <w:pStyle w:val="Heading3"/>
      </w:pP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5000"/>
        <w:tblLayout w:type="fixed"/>
        <w:tblLook w:firstRow="1" w:lastRow="0" w:firstColumn="0" w:lastColumn="0" w:noHBand="0" w:noVBand="0" w:val="0020"/>
        <w:tblCaption w:val="Table 2.10: Comparison of the existing research streams and the proposed framework"/>
      </w:tblPr>
      <w:tblGrid>
        <w:gridCol w:w="2117"/>
        <w:gridCol w:w="2160"/>
        <w:gridCol w:w="2160"/>
        <w:gridCol w:w="148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15, 21, 23, 27, 28, 33]</w:t>
            </w:r>
          </w:p>
        </w:tc>
      </w:tr>
      <w:tr>
        <w:trPr>
          <w:cantSplit/>
        </w:trPr>
        <w:tc>
          <w:tcPr/>
          <w:p>
            <w:pPr>
              <w:pStyle w:val="Compact"/>
              <w:jc w:val="left"/>
            </w:pPr>
            <w:r>
              <w:t xml:space="preserve">Blockchain-based</w:t>
            </w:r>
            <w:r>
              <w:t xml:space="preserve"> </w:t>
            </w:r>
            <w:r>
              <w:rPr>
                <w:rStyle w:val="OrangeFix"/>
              </w:rPr>
              <w:t xml:space="preserve">healthcare</w:t>
            </w:r>
            <w:r>
              <w:t xml:space="preserve"> </w:t>
            </w:r>
            <w:r>
              <w:t xml:space="preserve">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[2, 3, 4, 9, 25]</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[6, 7, 18, 20, 26, 36]</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 6, 8, 11, 19, 29]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[5, 13, 24, 30, 31, 34, 35]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[22]</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t xml:space="preserve">2.5 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S3, S4, S5, S6, S7, S8, S14, S24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(S15, S16, S17, S18, S19, S20, S21), the multi-party and access-control studies S22, S25, S27 and the paediatric record-access review S9 establish who a participant is,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mechanisms appear in S15, S23,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numPr>
          <w:ilvl w:val="0"/>
          <w:numId w:val="1004"/>
        </w:numPr>
      </w:pPr>
      <w:r>
        <w:rPr>
          <w:b/>
          <w:bCs/>
        </w:rPr>
        <w:t xml:space="preserve">Purpose- and scope-bound access (Req 4).</w:t>
      </w:r>
      <w:r>
        <w:t xml:space="preserve"> </w:t>
      </w:r>
      <w:r>
        <w:t xml:space="preserve">Policy-based enforcement is well covered (S7, S10, S11, S12, S13, S17, S18, S22,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Audit trails and revocation are provided by S2, S3, S6, S7, S8, S10, S11, S12, S13, S14, S21, S22, S24, S26, S28, S30, S31, S32,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4: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Chapters 3 and 4 and the trust-oriented consent authorisation framework proposed in Chapters 5 and 6, in which decentralised identifiers, verifiable credentials, threshold-based approval and policy evaluation contribute to one explainable decision.</w:t>
      </w:r>
    </w:p>
    <w:bookmarkEnd w:id="43"/>
    <w:bookmarkEnd w:id="44"/>
    <w:bookmarkStart w:id="55" w:name="research-gaps-and-questions"/>
    <w:p>
      <w:pPr>
        <w:pStyle w:val="Heading1"/>
      </w:pPr>
      <w:r>
        <w:t xml:space="preserve">3 Research Gaps and Questions</w:t>
      </w:r>
    </w:p>
    <w:bookmarkStart w:id="45"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rPr>
          <w:rStyle w:val="OrangeDelete"/>
        </w:rPr>
        <w:t xml:space="preserve">In particular, the</w:t>
      </w:r>
      <w:r>
        <w:rPr>
          <w:rStyle w:val="OrangeFix"/>
        </w:rPr>
        <w:t xml:space="preserve">The</w:t>
      </w:r>
      <w:r>
        <w:t xml:space="preserve"> </w:t>
      </w:r>
      <w:r>
        <w:t xml:space="preserve">review defined five key requirements for a trust-oriented consent authorisation framework (Section 2.2) and assessed each of the 33 shortlisted studies against them (Tables 2.4–2.9). No study satisfies more than three of the five requirements, and none treats consent as an evaluable object (Req 1) while also providing multi-party threshold authorisation (Req 3); the gaps are stated requirement by requirement in Section 2.5.</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45"/>
    <w:bookmarkStart w:id="46"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6"/>
    <w:bookmarkStart w:id="53"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7"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w:t>
      </w:r>
      <w:r>
        <w:t xml:space="preserve"> </w:t>
      </w:r>
      <w:r>
        <w:rPr>
          <w:rStyle w:val="OrangeDelete"/>
        </w:rPr>
        <w:t xml:space="preserve">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7"/>
    <w:bookmarkStart w:id="48"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8"/>
    <w:bookmarkStart w:id="49"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9"/>
    <w:bookmarkStart w:id="50"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50"/>
    <w:bookmarkStart w:id="51"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t xml:space="preserve">,</w:t>
      </w:r>
      <w:r>
        <w:t xml:space="preserve"> </w:t>
      </w:r>
      <w:r>
        <w:rPr>
          <w:i/>
          <w:iCs/>
        </w:rPr>
        <w:t xml:space="preserve">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51"/>
    <w:bookmarkStart w:id="52"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[41]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w:t>
      </w:r>
      <w:r>
        <w:rPr>
          <w:rStyle w:val="OrangeFix"/>
        </w:rPr>
        <w:t xml:space="preserve">me</w:t>
      </w:r>
      <w:r>
        <w:t xml:space="preserve"> </w:t>
      </w:r>
      <w:r>
        <w:t xml:space="preserve">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52"/>
    <w:bookmarkEnd w:id="53"/>
    <w:bookmarkStart w:id="54"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rPr>
          <w:rStyle w:val="OrangeDelete"/>
        </w:rPr>
        <w:t xml:space="preserve">where</w:t>
      </w:r>
      <w:r>
        <w:rPr>
          <w:rStyle w:val="OrangeDelete"/>
        </w:rPr>
        <w:t xml:space="preserve"> </w:t>
      </w:r>
      <w:r>
        <w:rPr>
          <w:rStyle w:val="OrangeDelete"/>
          <w:i/>
          <w:iCs/>
        </w:rPr>
        <w:t xml:space="preserve">V</w:t>
      </w:r>
      <w:r>
        <w:rPr>
          <w:rStyle w:val="OrangeDelete"/>
          <w:vertAlign w:val="subscript"/>
        </w:rPr>
        <w:t xml:space="preserve">I</w:t>
      </w:r>
      <w:r>
        <w:rPr>
          <w:rStyle w:val="OrangeDelete"/>
        </w:rPr>
        <w:t xml:space="preserve"> </w:t>
      </w:r>
      <w:r>
        <w:rPr>
          <w:rStyle w:val="OrangeDelete"/>
        </w:rPr>
        <w:t xml:space="preserve">represents identity and authority validity</w:t>
      </w:r>
      <w:r>
        <w:rPr>
          <w:rStyle w:val="OrangeFix"/>
        </w:rPr>
        <w:t xml:space="preserve">In Eq. (24),</w:t>
      </w:r>
      <w:r>
        <w:rPr>
          <w:rStyle w:val="OrangeFix"/>
        </w:rPr>
        <w:t xml:space="preserve"> </w:t>
      </w:r>
      <w:r>
        <w:rPr>
          <w:rStyle w:val="OrangeFix"/>
          <w:i/>
          <w:iCs/>
        </w:rPr>
        <w:t xml:space="preserve">V</w:t>
      </w:r>
      <w:r>
        <w:rPr>
          <w:rStyle w:val="OrangeFix"/>
          <w:vertAlign w:val="subscript"/>
        </w:rPr>
        <w:t xml:space="preserve">I</w:t>
      </w:r>
      <w:r>
        <w:rPr>
          <w:rStyle w:val="OrangeFix"/>
        </w:rPr>
        <w:t xml:space="preserve"> </w:t>
      </w:r>
      <w:r>
        <w:rPr>
          <w:rStyle w:val="OrangeFix"/>
        </w:rPr>
        <w:t xml:space="preserve">represents identity and authority validity</w:t>
      </w:r>
      <w:r>
        <w:t xml:space="preserve">,</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consent representation, which directly fosters participant trust. This trust then translates into a framework for collective authorisation, providing the necessary foundation for policy enforcement. Consequently, this enables dynamic temporal and lifecycle control over data and processes, culminating in security assurance and validation.</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54"/>
    <w:bookmarkEnd w:id="55"/>
    <w:bookmarkStart w:id="63"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w:t>
      </w:r>
      <w:r>
        <w:rPr>
          <w:rStyle w:val="OrangeFix"/>
        </w:rPr>
        <w:t xml:space="preserve">me</w:t>
      </w:r>
      <w:r>
        <w:t xml:space="preserve"> </w:t>
      </w:r>
      <w:r>
        <w:t xml:space="preserve">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w:t>
      </w:r>
      <w:r>
        <w:t xml:space="preserve"> </w:t>
      </w:r>
      <w:r>
        <w:rPr>
          <w:rStyle w:val="OrangeDelete"/>
        </w:rPr>
        <w:t xml:space="preserve">program.</w:t>
      </w:r>
      <w:r>
        <w:rPr>
          <w:rStyle w:val="OrangeFix"/>
        </w:rPr>
        <w:t xml:space="preserve">programme.</w:t>
      </w:r>
    </w:p>
    <w:bookmarkStart w:id="56"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6"/>
    <w:bookmarkStart w:id="57"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7"/>
    <w:bookmarkStart w:id="58"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8"/>
    <w:bookmarkStart w:id="59"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9"/>
    <w:bookmarkStart w:id="60"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w:t>
      </w:r>
      <w:r>
        <w:t xml:space="preserve"> </w:t>
      </w:r>
      <w:r>
        <w:rPr>
          <w:rStyle w:val="OrangeDelete"/>
        </w:rPr>
        <w:t xml:space="preserve">program.</w:t>
      </w:r>
      <w:r>
        <w:rPr>
          <w:rStyle w:val="OrangeFix"/>
        </w:rPr>
        <w:t xml:space="preserve">programme.</w:t>
      </w:r>
      <w:r>
        <w:t xml:space="preserve"> </w:t>
      </w:r>
      <w:r>
        <w:t xml:space="preserve">It will investigate how temporal and lifecycle conditions can be incorporated into the authorisation decision without weakening the trust relationships established by the current stage mechanisms.</w:t>
      </w:r>
    </w:p>
    <w:bookmarkEnd w:id="60"/>
    <w:bookmarkStart w:id="61"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61"/>
    <w:bookmarkStart w:id="62"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4.1 and Table 4.2. The mapping follows the structure of the research program</w:t>
      </w:r>
      <w:r>
        <w:rPr>
          <w:rStyle w:val="OrangeFix"/>
        </w:rPr>
        <w:t xml:space="preserve">me</w:t>
      </w:r>
      <w:r>
        <w:t xml:space="preserve"> </w:t>
      </w:r>
      <w:r>
        <w:t xml:space="preserve">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Each objective also responds to one of the key requirements identified in the literature review: RO1 to Req 1, RO2 to Req 2, RO3 to Req 3, RO4 to Req 4, and RO5 to Req 5 (Section 2.2), while RO6 provides the formal and empirical assurance that the requirements are met (Section 2.5).</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4.1: Research Questions, Research Objectives, and Thesis Chapters for Current Stage</w:t>
      </w:r>
    </w:p>
    <w:tbl>
      <w:tblPr>
        <w:tblStyle w:val="Table"/>
        <w:tblW w:type="pct" w:w="5000"/>
        <w:tblLayout w:type="fixed"/>
        <w:tblLook w:firstRow="1" w:lastRow="0" w:firstColumn="0" w:lastColumn="0" w:noHBand="0" w:noVBand="0" w:val="0020"/>
        <w:tblCaption w:val="Table 4.1: Research Questions, Research Objectives, and Thesis Chapters for Current Stage"/>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4.2: Research Questions, Research Objectives, and Thesis Chapters (continued: SRQ4 current stage; SRQ5–SRQ6 CA3)</w:t>
      </w:r>
    </w:p>
    <w:tbl>
      <w:tblPr>
        <w:tblStyle w:val="Table"/>
        <w:tblW w:type="pct" w:w="5000"/>
        <w:tblLayout w:type="fixed"/>
        <w:tblLook w:firstRow="1" w:lastRow="0" w:firstColumn="0" w:lastColumn="0" w:noHBand="0" w:noVBand="0" w:val="0020"/>
        <w:tblCaption w:val="Table 4.2: Research Questions, Research Objectives, and Thesis Chapters (continued: SRQ4 current stage; SRQ5–SRQ6 CA3)"/>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p>
    <w:p>
      <w:pPr>
        <w:pStyle w:val="BodyText"/>
      </w:pPr>
      <w:r>
        <w:t xml:space="preserve">In Eq. (6),</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p>
    <w:p>
      <w:pPr>
        <w:pStyle w:val="BodyText"/>
      </w:pPr>
      <w:r>
        <w:t xml:space="preserve">In Eq. (24),</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next-stage research on dynamic trust, formal assurance, and comprehensive validation.</w:t>
      </w:r>
    </w:p>
    <w:bookmarkEnd w:id="62"/>
    <w:bookmarkEnd w:id="63"/>
    <w:bookmarkStart w:id="91"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 interact with it</w:t>
      </w:r>
      <w:r>
        <w:t xml:space="preserve">, and</w:t>
      </w:r>
      <w:r>
        <w:t xml:space="preserve"> </w:t>
      </w:r>
      <w:r>
        <w:rPr>
          <w:i/>
          <w:iCs/>
        </w:rPr>
        <w:t xml:space="preserve">how trust is enforced</w:t>
      </w:r>
      <w:r>
        <w:t xml:space="preserve">.</w:t>
      </w:r>
    </w:p>
    <w:bookmarkStart w:id="77"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 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5.1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18799"/>
            <wp:effectExtent b="0" l="0" r="0" t="0"/>
            <wp:docPr descr="Figure 5.1: Layered MVC Architecture and Component Decomposition of the HALAH Framework" title="" id="65" name="Picture"/>
            <a:graphic>
              <a:graphicData uri="http://schemas.openxmlformats.org/drawingml/2006/picture">
                <pic:pic>
                  <pic:nvPicPr>
                    <pic:cNvPr descr="media_col/fig03.png" id="66" name="Picture"/>
                    <pic:cNvPicPr>
                      <a:picLocks noChangeArrowheads="1" noChangeAspect="1"/>
                    </pic:cNvPicPr>
                  </pic:nvPicPr>
                  <pic:blipFill>
                    <a:blip r:embed="rId64"/>
                    <a:stretch>
                      <a:fillRect/>
                    </a:stretch>
                  </pic:blipFill>
                  <pic:spPr bwMode="auto">
                    <a:xfrm>
                      <a:off x="0" y="0"/>
                      <a:ext cx="5486400" cy="5618799"/>
                    </a:xfrm>
                    <a:prstGeom prst="rect">
                      <a:avLst/>
                    </a:prstGeom>
                    <a:noFill/>
                    <a:ln w="9525">
                      <a:noFill/>
                      <a:headEnd/>
                      <a:tailEnd/>
                    </a:ln>
                  </pic:spPr>
                </pic:pic>
              </a:graphicData>
            </a:graphic>
          </wp:inline>
        </w:drawing>
      </w:r>
    </w:p>
    <w:p>
      <w:pPr>
        <w:pStyle w:val="ImageCaption"/>
      </w:pPr>
      <w:r>
        <w:t xml:space="preserve">Figure 5.1: Layered MVC Architecture and Component Decomposition of the HALAH Framework</w:t>
      </w:r>
    </w:p>
    <w:bookmarkStart w:id="70"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5.2: Functional Decomposition of the MVC Components" title="" id="68" name="Picture"/>
            <a:graphic>
              <a:graphicData uri="http://schemas.openxmlformats.org/drawingml/2006/picture">
                <pic:pic>
                  <pic:nvPicPr>
                    <pic:cNvPr descr="media_col/fig04.png" id="69" name="Picture"/>
                    <pic:cNvPicPr>
                      <a:picLocks noChangeArrowheads="1" noChangeAspect="1"/>
                    </pic:cNvPicPr>
                  </pic:nvPicPr>
                  <pic:blipFill>
                    <a:blip r:embed="rId67"/>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5.2: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 Engine</w:t>
      </w:r>
      <w:r>
        <w:t xml:space="preserve"> </w:t>
      </w:r>
      <w:r>
        <w:t xml:space="preserve">combines the resulting predicates into the final authorisation decision. Finally,</w:t>
      </w:r>
      <w:r>
        <w:t xml:space="preserve"> </w:t>
      </w:r>
      <w:r>
        <w:rPr>
          <w:i/>
          <w:iCs/>
        </w:rPr>
        <w:t xml:space="preserve">Audit 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70"/>
    <w:bookmarkStart w:id="74"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w:t>
      </w:r>
      <w:r>
        <w:t xml:space="preserve"> </w:t>
      </w:r>
      <w:r>
        <w:rPr>
          <w:rStyle w:val="OrangeDelete"/>
        </w:rPr>
        <w:t xml:space="preserve">relationship between the MVC components and the trust predicates introduced by SRQ1–SRQ5 is</w:t>
      </w:r>
      <w:r>
        <w:rPr>
          <w:rStyle w:val="OrangeFix"/>
        </w:rPr>
        <w:t xml:space="preserve">trust predicates introduced by SRQ1–SRQ5 and the resulting authorisation decision are</w:t>
      </w:r>
      <w:r>
        <w:t xml:space="preserve"> </w:t>
      </w:r>
      <w:r>
        <w:t xml:space="preserve">illustrated in Figure 5.3.</w:t>
      </w:r>
    </w:p>
    <w:p>
      <w:pPr>
        <w:pStyle w:val="BodyText"/>
      </w:pPr>
      <w:r>
        <w:t xml:space="preserve">Figure 5.3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CaptionedFigure"/>
      </w:pPr>
      <w:r>
        <w:drawing>
          <wp:inline>
            <wp:extent cx="3419856" cy="7671897"/>
            <wp:effectExtent b="0" l="0" r="0" t="0"/>
            <wp:docPr descr="Figure 5.3: Trust Predicate Evaluation and Authorisation Decision Flow" title="" id="72" name="Picture"/>
            <a:graphic>
              <a:graphicData uri="http://schemas.openxmlformats.org/drawingml/2006/picture">
                <pic:pic>
                  <pic:nvPicPr>
                    <pic:cNvPr descr="media_col/fig05.png" id="73" name="Picture"/>
                    <pic:cNvPicPr>
                      <a:picLocks noChangeArrowheads="1" noChangeAspect="1"/>
                    </pic:cNvPicPr>
                  </pic:nvPicPr>
                  <pic:blipFill>
                    <a:blip r:embed="rId71"/>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5.3: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74"/>
    <w:bookmarkStart w:id="75"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75"/>
    <w:bookmarkStart w:id="76"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6"/>
    <w:bookmarkEnd w:id="77"/>
    <w:bookmarkStart w:id="81" w:name="X558a2b42e7f558743af400a9676e37558071ee0"/>
    <w:p>
      <w:pPr>
        <w:pStyle w:val="Heading2"/>
      </w:pPr>
      <w:r>
        <w:t xml:space="preserve">5.2 Trust-Oriented Consent Authorisation Workflow</w:t>
      </w:r>
    </w:p>
    <w:p>
      <w:pPr>
        <w:pStyle w:val="FirstParagraph"/>
      </w:pPr>
      <w:r>
        <w:t xml:space="preserve">Figure 5.4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5486400" cy="5326747"/>
            <wp:effectExtent b="0" l="0" r="0" t="0"/>
            <wp:docPr descr="Figure 5.4: End-to-End Workflow of Trust-Oriented Consent Authorisation Framework" title="" id="79" name="Picture"/>
            <a:graphic>
              <a:graphicData uri="http://schemas.openxmlformats.org/drawingml/2006/picture">
                <pic:pic>
                  <pic:nvPicPr>
                    <pic:cNvPr descr="media_col/fig06.png" id="80" name="Picture"/>
                    <pic:cNvPicPr>
                      <a:picLocks noChangeArrowheads="1" noChangeAspect="1"/>
                    </pic:cNvPicPr>
                  </pic:nvPicPr>
                  <pic:blipFill>
                    <a:blip r:embed="rId78"/>
                    <a:stretch>
                      <a:fillRect/>
                    </a:stretch>
                  </pic:blipFill>
                  <pic:spPr bwMode="auto">
                    <a:xfrm>
                      <a:off x="0" y="0"/>
                      <a:ext cx="5486400" cy="5326747"/>
                    </a:xfrm>
                    <a:prstGeom prst="rect">
                      <a:avLst/>
                    </a:prstGeom>
                    <a:noFill/>
                    <a:ln w="9525">
                      <a:noFill/>
                      <a:headEnd/>
                      <a:tailEnd/>
                    </a:ln>
                  </pic:spPr>
                </pic:pic>
              </a:graphicData>
            </a:graphic>
          </wp:inline>
        </w:drawing>
      </w:r>
    </w:p>
    <w:p>
      <w:pPr>
        <w:pStyle w:val="ImageCaption"/>
      </w:pPr>
      <w:r>
        <w:t xml:space="preserve">Figure 5.4: End-to-End Workflow of Trust-Oriented Consent Authorisation Framework</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w:t>
      </w:r>
      <w:r>
        <w:t xml:space="preserve"> </w:t>
      </w:r>
      <w:r>
        <w:rPr>
          <w:rStyle w:val="OrangeDelete"/>
        </w:rPr>
        <w:t xml:space="preserve">For the current stage scope of the proposed framework, the decision is given by Eq. (6),</w:t>
      </w:r>
      <w:r>
        <w:rPr>
          <w:rStyle w:val="OrangeFix"/>
        </w:rPr>
        <w:t xml:space="preserve">For the current stage scope of the proposed framework, the decision is given by Eq. (6).</w:t>
      </w:r>
    </w:p>
    <w:p>
      <w:pPr>
        <w:pStyle w:val="BodyText"/>
      </w:pPr>
      <w:r>
        <w:rPr>
          <w:rStyle w:val="OrangeDelete"/>
        </w:rPr>
        <w:t xml:space="preserve">where</w:t>
      </w:r>
      <w:r>
        <w:rPr>
          <w:rStyle w:val="OrangeDelete"/>
        </w:rPr>
        <w:t xml:space="preserve"> </w:t>
      </w:r>
      <w:r>
        <w:rPr>
          <w:rStyle w:val="OrangeDelete"/>
          <w:i/>
          <w:iCs/>
        </w:rPr>
        <w:t xml:space="preserve">V</w:t>
      </w:r>
      <w:r>
        <w:rPr>
          <w:rStyle w:val="OrangeDelete"/>
          <w:vertAlign w:val="subscript"/>
        </w:rPr>
        <w:t xml:space="preserve">I</w:t>
      </w:r>
      <w:r>
        <w:rPr>
          <w:rStyle w:val="OrangeDelete"/>
        </w:rPr>
        <w:t xml:space="preserve">(</w:t>
      </w:r>
      <w:r>
        <w:rPr>
          <w:rStyle w:val="OrangeDelete"/>
          <w:i/>
          <w:iCs/>
        </w:rPr>
        <w:t xml:space="preserve">u</w:t>
      </w:r>
      <w:r>
        <w:rPr>
          <w:rStyle w:val="OrangeDelete"/>
        </w:rPr>
        <w:t xml:space="preserve">) represents the validity of the requesting participant’s identity and authority evidence</w:t>
      </w:r>
      <w:r>
        <w:rPr>
          <w:rStyle w:val="OrangeFix"/>
        </w:rPr>
        <w:t xml:space="preserve">In Eq. (6),</w:t>
      </w:r>
      <w:r>
        <w:rPr>
          <w:rStyle w:val="OrangeFix"/>
        </w:rPr>
        <w:t xml:space="preserve"> </w:t>
      </w:r>
      <w:r>
        <w:rPr>
          <w:rStyle w:val="OrangeFix"/>
          <w:i/>
          <w:iCs/>
        </w:rPr>
        <w:t xml:space="preserve">V</w:t>
      </w:r>
      <w:r>
        <w:rPr>
          <w:rStyle w:val="OrangeFix"/>
          <w:vertAlign w:val="subscript"/>
        </w:rPr>
        <w:t xml:space="preserve">I</w:t>
      </w:r>
      <w:r>
        <w:rPr>
          <w:rStyle w:val="OrangeFix"/>
        </w:rPr>
        <w:t xml:space="preserve">(</w:t>
      </w:r>
      <w:r>
        <w:rPr>
          <w:rStyle w:val="OrangeFix"/>
          <w:i/>
          <w:iCs/>
        </w:rPr>
        <w:t xml:space="preserve">u</w:t>
      </w:r>
      <w:r>
        <w:rPr>
          <w:rStyle w:val="OrangeFix"/>
        </w:rPr>
        <w:t xml:space="preserve">) represents the validity of the requesting participant’s identity and authority evidence</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81"/>
    <w:bookmarkStart w:id="82"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82"/>
    <w:bookmarkStart w:id="83"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 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83"/>
    <w:bookmarkStart w:id="84"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w:t>
      </w:r>
      <w:r>
        <w:t xml:space="preserve"> </w:t>
      </w:r>
      <w:r>
        <w:rPr>
          <w:rStyle w:val="OrangeDelete"/>
        </w:rPr>
        <w:t xml:space="preserve">Identity verification is given by Eq. (8),</w:t>
      </w:r>
      <w:r>
        <w:rPr>
          <w:rStyle w:val="OrangeFix"/>
        </w:rPr>
        <w:t xml:space="preserve">Identity verification is given by Eq. (8).</w:t>
      </w:r>
    </w:p>
    <w:p>
      <w:pPr>
        <w:pStyle w:val="BodyText"/>
      </w:pPr>
      <w:r>
        <w:rPr>
          <w:rStyle w:val="OrangeDelete"/>
        </w:rPr>
        <w:t xml:space="preserve">where</w:t>
      </w:r>
      <w:r>
        <w:rPr>
          <w:rStyle w:val="OrangeDelete"/>
        </w:rPr>
        <w:t xml:space="preserve"> </w:t>
      </w:r>
      <w:r>
        <w:rPr>
          <w:rStyle w:val="OrangeDelete"/>
          <w:i/>
          <w:iCs/>
        </w:rPr>
        <w:t xml:space="preserve">VerifyDID</w:t>
      </w:r>
      <w:r>
        <w:rPr>
          <w:rStyle w:val="OrangeDelete"/>
        </w:rPr>
        <w:t xml:space="preserve">(</w:t>
      </w:r>
      <w:r>
        <w:rPr>
          <w:rStyle w:val="OrangeDelete"/>
          <w:i/>
          <w:iCs/>
        </w:rPr>
        <w:t xml:space="preserve">u</w:t>
      </w:r>
      <w:r>
        <w:rPr>
          <w:rStyle w:val="OrangeDelete"/>
        </w:rPr>
        <w:t xml:space="preserve">) determines whether the decentralised identity of participant</w:t>
      </w:r>
      <w:r>
        <w:rPr>
          <w:rStyle w:val="OrangeDelete"/>
        </w:rPr>
        <w:t xml:space="preserve"> </w:t>
      </w:r>
      <w:r>
        <w:rPr>
          <w:rStyle w:val="OrangeDelete"/>
          <w:i/>
          <w:iCs/>
        </w:rPr>
        <w:t xml:space="preserve">u</w:t>
      </w:r>
      <w:r>
        <w:rPr>
          <w:rStyle w:val="OrangeDelete"/>
        </w:rPr>
        <w:t xml:space="preserve"> </w:t>
      </w:r>
      <w:r>
        <w:rPr>
          <w:rStyle w:val="OrangeDelete"/>
        </w:rPr>
        <w:t xml:space="preserve">can be verified</w:t>
      </w:r>
      <w:r>
        <w:rPr>
          <w:rStyle w:val="OrangeFix"/>
        </w:rPr>
        <w:t xml:space="preserve">In Eq. (8),</w:t>
      </w:r>
      <w:r>
        <w:rPr>
          <w:rStyle w:val="OrangeFix"/>
        </w:rPr>
        <w:t xml:space="preserve"> </w:t>
      </w:r>
      <w:r>
        <w:rPr>
          <w:rStyle w:val="OrangeFix"/>
          <w:i/>
          <w:iCs/>
        </w:rPr>
        <w:t xml:space="preserve">VerifyDID</w:t>
      </w:r>
      <w:r>
        <w:rPr>
          <w:rStyle w:val="OrangeFix"/>
        </w:rPr>
        <w:t xml:space="preserve">(</w:t>
      </w:r>
      <w:r>
        <w:rPr>
          <w:rStyle w:val="OrangeFix"/>
          <w:i/>
          <w:iCs/>
        </w:rPr>
        <w:t xml:space="preserve">u</w:t>
      </w:r>
      <w:r>
        <w:rPr>
          <w:rStyle w:val="OrangeFix"/>
        </w:rPr>
        <w:t xml:space="preserve">) determines whether the decentralised identity of participant</w:t>
      </w:r>
      <w:r>
        <w:rPr>
          <w:rStyle w:val="OrangeFix"/>
        </w:rPr>
        <w:t xml:space="preserve"> </w:t>
      </w:r>
      <w:r>
        <w:rPr>
          <w:rStyle w:val="OrangeFix"/>
          <w:i/>
          <w:iCs/>
        </w:rPr>
        <w:t xml:space="preserve">u</w:t>
      </w:r>
      <w:r>
        <w:rPr>
          <w:rStyle w:val="OrangeFix"/>
        </w:rPr>
        <w:t xml:space="preserve"> </w:t>
      </w:r>
      <w:r>
        <w:rPr>
          <w:rStyle w:val="OrangeFix"/>
        </w:rPr>
        <w:t xml:space="preserve">can be verified</w:t>
      </w:r>
      <w:r>
        <w:t xml:space="preserve"> </w:t>
      </w:r>
      <w:r>
        <w:t xml:space="preserve">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verified approval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The overall current stage authorisation decision is therefore determined by the conjunction of the foundational trust conditions in Eq. (6).</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84"/>
    <w:bookmarkStart w:id="85"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w:t>
      </w:r>
      <w:r>
        <w:t xml:space="preserve"> </w:t>
      </w:r>
      <w:r>
        <w:rPr>
          <w:rStyle w:val="OrangeDelete"/>
        </w:rPr>
        <w:t xml:space="preserve">the combination of identity verification and collective decision making.</w:t>
      </w:r>
      <w:r>
        <w:rPr>
          <w:rStyle w:val="OrangeFix"/>
        </w:rPr>
        <w:t xml:space="preserve">the combination of identity verification and collective decision-making.</w:t>
      </w:r>
      <w:r>
        <w:t xml:space="preserve"> </w:t>
      </w:r>
      <w:r>
        <w:t xml:space="preserve">Trust is not assumed to reside in a single privileged entity. Instead, it emerges from the coordinated satisfaction of independently verifiable requirements across multiple participants.</w:t>
      </w:r>
    </w:p>
    <w:bookmarkEnd w:id="85"/>
    <w:bookmarkStart w:id="86"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 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6"/>
    <w:bookmarkStart w:id="87"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7"/>
    <w:bookmarkStart w:id="88"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multi-party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authorisation evidence</w:t>
      </w:r>
      <w:r>
        <w:t xml:space="preserve">. The system maintains evidence concerning the conditions that produced an authorisation decision, thereby supporting auditing and subsequent verification. These properties can be summarised as shown in Table 5.1.</w:t>
      </w:r>
    </w:p>
    <w:p>
      <w:pPr>
        <w:pStyle w:val="TableCaption"/>
      </w:pPr>
      <w:r>
        <w:t xml:space="preserve">Table 5.1: Security Properties Supported by the Proposed MVC-Based Consent Architecture</w:t>
      </w:r>
    </w:p>
    <w:tbl>
      <w:tblPr>
        <w:tblStyle w:val="Table"/>
        <w:tblW w:type="pct" w:w="5000"/>
        <w:tblLayout w:type="fixed"/>
        <w:tblLook w:firstRow="1" w:lastRow="0" w:firstColumn="0" w:lastColumn="0" w:noHBand="0" w:noVBand="0" w:val="0020"/>
        <w:tblCaption w:val="Table 5.1: Security Properties Supported by the Proposed MVC-Based Consent Architecture"/>
      </w:tblPr>
      <w:tblGrid>
        <w:gridCol w:w="2310"/>
        <w:gridCol w:w="2805"/>
        <w:gridCol w:w="280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bookmarkEnd w:id="88"/>
    <w:bookmarkStart w:id="89"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This mapping is summarised in Table</w:t>
      </w:r>
      <w:r>
        <w:t xml:space="preserve"> </w:t>
      </w:r>
      <w:r>
        <w:rPr>
          <w:rStyle w:val="OrangeDelete"/>
        </w:rPr>
        <w:t xml:space="preserve">5.2.</w:t>
      </w:r>
      <w:r>
        <w:rPr>
          <w:rStyle w:val="OrangeFix"/>
        </w:rPr>
        <w:t xml:space="preserve">5.2, which also lists the next-stage objectives RO5 and RO6 for completeness.</w:t>
      </w:r>
      <w:r>
        <w:t xml:space="preserve"> </w:t>
      </w:r>
      <w:r>
        <w:t xml:space="preserve">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TableCaption"/>
      </w:pPr>
      <w:r>
        <w:t xml:space="preserve">Table 5.2: Mapping Between Research Objectives and MVC Components</w:t>
      </w:r>
    </w:p>
    <w:tbl>
      <w:tblPr>
        <w:tblStyle w:val="Table"/>
        <w:tblW w:type="pct" w:w="5000"/>
        <w:tblLayout w:type="fixed"/>
        <w:tblLook w:firstRow="1" w:lastRow="0" w:firstColumn="0" w:lastColumn="0" w:noHBand="0" w:noVBand="0" w:val="0020"/>
        <w:tblCaption w:val="Table 5.2: Mapping Between Research Objectives and MVC Components"/>
      </w:tblPr>
      <w:tblGrid>
        <w:gridCol w:w="1190"/>
        <w:gridCol w:w="1449"/>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bookmarkEnd w:id="89"/>
    <w:bookmarkStart w:id="90"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90"/>
    <w:bookmarkEnd w:id="91"/>
    <w:bookmarkStart w:id="135" w:name="proposed-solution"/>
    <w:p>
      <w:pPr>
        <w:pStyle w:val="Heading1"/>
      </w:pPr>
      <w:r>
        <w:t xml:space="preserve">6 Proposed Solution</w:t>
      </w:r>
    </w:p>
    <w:bookmarkStart w:id="98"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95" w:name="ro1-consent-creation-workflow"/>
    <w:p>
      <w:pPr>
        <w:pStyle w:val="Heading3"/>
      </w:pPr>
      <w:r>
        <w:t xml:space="preserve">6.1.1 RO1 Consent Creation Workflow</w:t>
      </w:r>
    </w:p>
    <w:p>
      <w:pPr>
        <w:pStyle w:val="FirstParagraph"/>
      </w:pPr>
      <w:r>
        <w:t xml:space="preserve">The following workflow (Figure 6.1)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7.1 (Section 7.2). The implementation also collects the start and expiry time of the consent.</w:t>
      </w:r>
    </w:p>
    <w:p>
      <w:pPr>
        <w:pStyle w:val="CaptionedFigure"/>
      </w:pPr>
      <w:r>
        <w:drawing>
          <wp:inline>
            <wp:extent cx="3374136" cy="7681329"/>
            <wp:effectExtent b="0" l="0" r="0" t="0"/>
            <wp:docPr descr="Figure 6.1: RO1 workflow for trust-centric consent creation" title="" id="93" name="Picture"/>
            <a:graphic>
              <a:graphicData uri="http://schemas.openxmlformats.org/drawingml/2006/picture">
                <pic:pic>
                  <pic:nvPicPr>
                    <pic:cNvPr descr="media_col/fig07.png" id="94" name="Picture"/>
                    <pic:cNvPicPr>
                      <a:picLocks noChangeArrowheads="1" noChangeAspect="1"/>
                    </pic:cNvPicPr>
                  </pic:nvPicPr>
                  <pic:blipFill>
                    <a:blip r:embed="rId92"/>
                    <a:stretch>
                      <a:fillRect/>
                    </a:stretch>
                  </pic:blipFill>
                  <pic:spPr bwMode="auto">
                    <a:xfrm>
                      <a:off x="0" y="0"/>
                      <a:ext cx="3374136" cy="7681329"/>
                    </a:xfrm>
                    <a:prstGeom prst="rect">
                      <a:avLst/>
                    </a:prstGeom>
                    <a:noFill/>
                    <a:ln w="9525">
                      <a:noFill/>
                      <a:headEnd/>
                      <a:tailEnd/>
                    </a:ln>
                  </pic:spPr>
                </pic:pic>
              </a:graphicData>
            </a:graphic>
          </wp:inline>
        </w:drawing>
      </w:r>
    </w:p>
    <w:p>
      <w:pPr>
        <w:pStyle w:val="ImageCaption"/>
      </w:pPr>
      <w:r>
        <w:t xml:space="preserve">Figure 6.1: RO1 workflow for trust-centric consent creation</w:t>
      </w:r>
    </w:p>
    <w:p>
      <w:pPr>
        <w:pStyle w:val="BodyText"/>
      </w:pPr>
      <w:r>
        <w:t xml:space="preserve">The specification is accepted only when the required fields are valid. For example, the expiry time must be later than the start time. After validation, the system</w:t>
      </w:r>
      <w:r>
        <w:t xml:space="preserve"> </w:t>
      </w:r>
      <w:r>
        <w:rPr>
          <w:rStyle w:val="OrangeDelete"/>
        </w:rPr>
        <w:t xml:space="preserve">creates the consent object, assigns a consent identifier,</w:t>
      </w:r>
      <w:r>
        <w:rPr>
          <w:rStyle w:val="OrangeFix"/>
        </w:rPr>
        <w:t xml:space="preserve">assigns a consent identifier, creates the consent object,</w:t>
      </w:r>
      <w:r>
        <w:t xml:space="preserve"> </w:t>
      </w:r>
      <w:r>
        <w:t xml:space="preserve">persists the record, and records the creation event in the audit layer. This process ensures that the consent object contains sufficient information for subsequent identity verification, multi-party authorisation, policy evaluation, and auditability.</w:t>
      </w:r>
    </w:p>
    <w:bookmarkEnd w:id="95"/>
    <w:bookmarkStart w:id="96"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5"/>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6"/>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7"/>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8"/>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9"/>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10"/>
        </w:numPr>
      </w:pPr>
      <w:r>
        <w:rPr>
          <w:b/>
          <w:bCs/>
        </w:rPr>
        <w:t xml:space="preserve">Step 6 – Validate the Consent Validity Interval.</w:t>
      </w:r>
    </w:p>
    <w:p>
      <w:pPr>
        <w:pStyle w:val="FirstParagraph"/>
      </w:pPr>
      <w:r>
        <w:t xml:space="preserve">The system validates the temporal validity interval</w:t>
      </w:r>
      <w:r>
        <w:t xml:space="preserve"> </w:t>
      </w:r>
      <w:r>
        <w:rPr>
          <w:rStyle w:val="OrangeDelete"/>
          <w:i/>
          <w:iCs/>
        </w:rPr>
        <w:t xml:space="preserve">T</w:t>
      </w:r>
      <w:r>
        <w:rPr>
          <w:rStyle w:val="OrangeDelete"/>
        </w:rPr>
        <w:t xml:space="preserve"> </w:t>
      </w:r>
      <w:r>
        <w:rPr>
          <w:rStyle w:val="OrangeDelete"/>
        </w:rPr>
        <w:t xml:space="preserve">= (</w:t>
      </w:r>
      <w:r>
        <w:rPr>
          <w:rStyle w:val="OrangeDelete"/>
          <w:i/>
          <w:iCs/>
        </w:rPr>
        <w:t xml:space="preserve">t</w:t>
      </w:r>
      <w:r>
        <w:rPr>
          <w:rStyle w:val="OrangeDelete"/>
          <w:vertAlign w:val="subscript"/>
        </w:rPr>
        <w:t xml:space="preserve">s</w:t>
      </w:r>
      <w:r>
        <w:rPr>
          <w:rStyle w:val="OrangeDelete"/>
          <w:i/>
          <w:iCs/>
        </w:rPr>
        <w:t xml:space="preserve">, t</w:t>
      </w:r>
      <w:r>
        <w:rPr>
          <w:rStyle w:val="OrangeDelete"/>
          <w:vertAlign w:val="subscript"/>
        </w:rPr>
        <w:t xml:space="preserve">e</w:t>
      </w:r>
      <w:r>
        <w:rPr>
          <w:rStyle w:val="OrangeDelete"/>
        </w:rPr>
        <w:t xml:space="preserve">), where</w:t>
      </w:r>
      <w:r>
        <w:rPr>
          <w:rStyle w:val="OrangeDelete"/>
        </w:rPr>
        <w:t xml:space="preserve"> </w:t>
      </w:r>
      <w:r>
        <w:rPr>
          <w:rStyle w:val="OrangeDelete"/>
          <w:i/>
          <w:iCs/>
        </w:rPr>
        <w:t xml:space="preserve">t</w:t>
      </w:r>
      <w:r>
        <w:rPr>
          <w:rStyle w:val="OrangeDelete"/>
          <w:vertAlign w:val="subscript"/>
        </w:rPr>
        <w:t xml:space="preserve">s</w:t>
      </w:r>
      <w:r>
        <w:rPr>
          <w:rStyle w:val="OrangeDelete"/>
        </w:rPr>
        <w:t xml:space="preserve"> </w:t>
      </w:r>
      <w:r>
        <w:rPr>
          <w:rStyle w:val="OrangeDelete"/>
        </w:rPr>
        <w:t xml:space="preserve">represents the consent start time</w:t>
      </w:r>
      <w:r>
        <w:rPr>
          <w:rStyle w:val="OrangeFix"/>
          <w:i/>
          <w:iCs/>
        </w:rPr>
        <w:t xml:space="preserve">T</w:t>
      </w:r>
      <w:r>
        <w:rPr>
          <w:rStyle w:val="OrangeFix"/>
        </w:rPr>
        <w:t xml:space="preserve"> </w:t>
      </w:r>
      <w:r>
        <w:rPr>
          <w:rStyle w:val="OrangeFix"/>
        </w:rPr>
        <w:t xml:space="preserve">= (</w:t>
      </w:r>
      <w:r>
        <w:rPr>
          <w:rStyle w:val="OrangeFix"/>
          <w:i/>
          <w:iCs/>
        </w:rPr>
        <w:t xml:space="preserve">t</w:t>
      </w:r>
      <w:r>
        <w:rPr>
          <w:rStyle w:val="OrangeFix"/>
          <w:vertAlign w:val="subscript"/>
        </w:rPr>
        <w:t xml:space="preserve">s</w:t>
      </w:r>
      <w:r>
        <w:rPr>
          <w:rStyle w:val="OrangeFix"/>
        </w:rPr>
        <w:t xml:space="preserve">,</w:t>
      </w:r>
      <w:r>
        <w:rPr>
          <w:rStyle w:val="OrangeFix"/>
        </w:rPr>
        <w:t xml:space="preserve"> </w:t>
      </w:r>
      <w:r>
        <w:rPr>
          <w:rStyle w:val="OrangeFix"/>
          <w:i/>
          <w:iCs/>
        </w:rPr>
        <w:t xml:space="preserve">t</w:t>
      </w:r>
      <w:r>
        <w:rPr>
          <w:rStyle w:val="OrangeFix"/>
          <w:vertAlign w:val="subscript"/>
        </w:rPr>
        <w:t xml:space="preserve">e</w:t>
      </w:r>
      <w:r>
        <w:rPr>
          <w:rStyle w:val="OrangeFix"/>
        </w:rPr>
        <w:t xml:space="preserve">), where</w:t>
      </w:r>
      <w:r>
        <w:rPr>
          <w:rStyle w:val="OrangeFix"/>
        </w:rPr>
        <w:t xml:space="preserve"> </w:t>
      </w:r>
      <w:r>
        <w:rPr>
          <w:rStyle w:val="OrangeFix"/>
          <w:i/>
          <w:iCs/>
        </w:rPr>
        <w:t xml:space="preserve">t</w:t>
      </w:r>
      <w:r>
        <w:rPr>
          <w:rStyle w:val="OrangeFix"/>
          <w:vertAlign w:val="subscript"/>
        </w:rPr>
        <w:t xml:space="preserve">s</w:t>
      </w:r>
      <w:r>
        <w:rPr>
          <w:rStyle w:val="OrangeFix"/>
        </w:rPr>
        <w:t xml:space="preserve"> </w:t>
      </w:r>
      <w:r>
        <w:rPr>
          <w:rStyle w:val="OrangeFix"/>
        </w:rPr>
        <w:t xml:space="preserve">represents the consent start time</w:t>
      </w:r>
      <w:r>
        <w:t xml:space="preserve"> </w:t>
      </w:r>
      <w:r>
        <w:t xml:space="preserve">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t xml:space="preserve">&gt;</w:t>
      </w:r>
      <w:r>
        <w:t xml:space="preserve"> </w:t>
      </w:r>
      <w:r>
        <w:rPr>
          <w:i/>
          <w:iCs/>
        </w:rPr>
        <w:t xml:space="preserve">t</w:t>
      </w:r>
      <w:r>
        <w:rPr>
          <w:vertAlign w:val="subscript"/>
        </w:rPr>
        <w:t xml:space="preserve">s</w:t>
      </w:r>
      <w:r>
        <w:t xml:space="preserve">. If this condition is not satisfied, the consent request is rejected.</w:t>
      </w:r>
    </w:p>
    <w:p>
      <w:pPr>
        <w:pStyle w:val="Compact"/>
        <w:numPr>
          <w:ilvl w:val="0"/>
          <w:numId w:val="1011"/>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2"/>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3"/>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4"/>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5"/>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6"/>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w:t>
      </w:r>
      <w:r>
        <w:t xml:space="preserve"> </w:t>
      </w:r>
      <w:r>
        <w:rPr>
          <w:rStyle w:val="OrangeDelete"/>
        </w:rPr>
        <w:t xml:space="preserve">currently perform a syntactic DID check,</w:t>
      </w:r>
      <w:r>
        <w:rPr>
          <w:rStyle w:val="OrangeFix"/>
        </w:rPr>
        <w:t xml:space="preserve">are not yet enforced at creation: the doctor and guardian DIDs are accepted as entered, a syntactic DID check is applied later at guardian approval and doctor access,</w:t>
      </w:r>
      <w:r>
        <w:t xml:space="preserve"> </w:t>
      </w:r>
      <w:r>
        <w:t xml:space="preserve">and credential-based authority validation is scheduled for Stage 2. Step 6 is implemented: the patient interface rejects an expiry time that is not later than the start time.</w:t>
      </w:r>
    </w:p>
    <w:bookmarkEnd w:id="96"/>
    <w:bookmarkStart w:id="97" w:name="algorithm-1-trust-aware-consent-creation"/>
    <w:p>
      <w:pPr>
        <w:pStyle w:val="Heading3"/>
      </w:pPr>
      <w:r>
        <w:t xml:space="preserve">6.1.3 Algorithm 1: Trust-Aware Consent Creation</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p>
    <w:p>
      <w:pPr>
        <w:pStyle w:val="Algorithm"/>
      </w:pPr>
      <w:r>
        <w:rPr>
          <w:rStyle w:val="OrangeDelete"/>
        </w:rPr>
        <w:t xml:space="preserve">| 10:</w:t>
      </w:r>
      <w:r>
        <w:rPr>
          <w:rStyle w:val="OrangeDelete"/>
        </w:rPr>
        <w:t xml:space="preserve"> </w:t>
      </w:r>
      <w:r>
        <w:rPr>
          <w:rStyle w:val="OrangeDelete"/>
          <w:b/>
          <w:bCs/>
        </w:rPr>
        <w:t xml:space="preserve">if</w:t>
      </w:r>
      <w:r>
        <w:rPr>
          <w:rStyle w:val="OrangeDelete"/>
        </w:rPr>
        <w:t xml:space="preserve"> </w:t>
      </w:r>
      <m:oMath>
        <m:sSub>
          <m:e>
            <m:r>
              <w:rPr>
                <w:color w:val="E36C09"/>
                <w:strike/>
              </w:rPr>
              <m:t>t</m:t>
            </m:r>
          </m:e>
          <m:sub>
            <m:r>
              <w:rPr>
                <w:color w:val="E36C09"/>
                <w:strike/>
              </w:rPr>
              <m:t>e</m:t>
            </m:r>
          </m:sub>
        </m:sSub>
        <m:r>
          <m:rPr>
            <m:sty m:val="p"/>
          </m:rPr>
          <w:rPr>
            <w:color w:val="E36C09"/>
            <w:strike/>
          </w:rPr>
          <m:t>≤</m:t>
        </m:r>
        <m:sSub>
          <m:e>
            <m:r>
              <w:rPr>
                <w:color w:val="E36C09"/>
                <w:strike/>
              </w:rPr>
              <m:t>t</m:t>
            </m:r>
          </m:e>
          <m:sub>
            <m:r>
              <w:rPr>
                <w:color w:val="E36C09"/>
                <w:strike/>
              </w:rPr>
              <m:t>s</m:t>
            </m:r>
          </m:sub>
        </m:sSub>
      </m:oMath>
      <w:r>
        <w:rPr>
          <w:rStyle w:val="OrangeDelete"/>
        </w:rPr>
        <w:t xml:space="preserve"> </w:t>
      </w:r>
      <w:r>
        <w:rPr>
          <w:rStyle w:val="OrangeDelete"/>
          <w:b/>
          <w:bCs/>
        </w:rPr>
        <w:t xml:space="preserve">then</w:t>
      </w:r>
      <w:r>
        <w:rPr>
          <w:rStyle w:val="OrangeFix"/>
        </w:rPr>
        <w:t xml:space="preserve">| 10:</w:t>
      </w:r>
      <w:r>
        <w:rPr>
          <w:rStyle w:val="OrangeFix"/>
        </w:rPr>
        <w:t xml:space="preserve"> </w:t>
      </w:r>
      <w:r>
        <w:rPr>
          <w:rStyle w:val="OrangeFix"/>
          <w:b/>
          <w:bCs/>
        </w:rPr>
        <w:t xml:space="preserve">if</w:t>
      </w:r>
      <w:r>
        <w:rPr>
          <w:rStyle w:val="OrangeFix"/>
        </w:rPr>
        <w:t xml:space="preserve"> </w:t>
      </w:r>
      <m:oMath>
        <m:r>
          <w:rPr>
            <w:color w:val="E36C09"/>
          </w:rPr>
          <m:t>D</m:t>
        </m:r>
      </m:oMath>
      <w:r>
        <w:rPr>
          <w:rStyle w:val="OrangeFix"/>
        </w:rPr>
        <w:t xml:space="preserve">,</w:t>
      </w:r>
      <w:r>
        <w:rPr>
          <w:rStyle w:val="OrangeFix"/>
        </w:rPr>
        <w:t xml:space="preserve"> </w:t>
      </w:r>
      <m:oMath>
        <m:r>
          <w:rPr>
            <w:color w:val="E36C09"/>
          </w:rPr>
          <m:t>G</m:t>
        </m:r>
      </m:oMath>
      <w:r>
        <w:rPr>
          <w:rStyle w:val="OrangeFix"/>
        </w:rPr>
        <w:t xml:space="preserve">,</w:t>
      </w:r>
      <w:r>
        <w:rPr>
          <w:rStyle w:val="OrangeFix"/>
        </w:rPr>
        <w:t xml:space="preserve"> </w:t>
      </w:r>
      <m:oMath>
        <m:sSub>
          <m:e>
            <m:r>
              <w:rPr>
                <w:color w:val="E36C09"/>
              </w:rPr>
              <m:t>P</m:t>
            </m:r>
          </m:e>
          <m:sub>
            <m:r>
              <w:rPr>
                <w:color w:val="E36C09"/>
              </w:rPr>
              <m:t>u</m:t>
            </m:r>
          </m:sub>
        </m:sSub>
      </m:oMath>
      <w:r>
        <w:rPr>
          <w:rStyle w:val="OrangeFix"/>
        </w:rPr>
        <w:t xml:space="preserve"> </w:t>
      </w:r>
      <w:r>
        <w:rPr>
          <w:rStyle w:val="OrangeFix"/>
        </w:rPr>
        <w:t xml:space="preserve">or</w:t>
      </w:r>
      <w:r>
        <w:rPr>
          <w:rStyle w:val="OrangeFix"/>
        </w:rPr>
        <w:t xml:space="preserve"> </w:t>
      </w:r>
      <m:oMath>
        <m:sSub>
          <m:e>
            <m:r>
              <w:rPr>
                <w:color w:val="E36C09"/>
              </w:rPr>
              <m:t>S</m:t>
            </m:r>
          </m:e>
          <m:sub>
            <m:r>
              <w:rPr>
                <w:color w:val="E36C09"/>
              </w:rPr>
              <m:t>C</m:t>
            </m:r>
          </m:sub>
        </m:sSub>
      </m:oMath>
      <w:r>
        <w:rPr>
          <w:rStyle w:val="OrangeFix"/>
        </w:rPr>
        <w:t xml:space="preserve"> </w:t>
      </w:r>
      <w:r>
        <w:rPr>
          <w:rStyle w:val="OrangeFix"/>
        </w:rPr>
        <w:t xml:space="preserve">is invalid</w:t>
      </w:r>
      <w:r>
        <w:rPr>
          <w:rStyle w:val="OrangeFix"/>
        </w:rPr>
        <w:t xml:space="preserve"> </w:t>
      </w:r>
      <w:r>
        <w:rPr>
          <w:rStyle w:val="OrangeFix"/>
          <w:b/>
          <w:bCs/>
        </w:rPr>
        <w:t xml:space="preserve">or</w:t>
      </w:r>
      <w:r>
        <w:rPr>
          <w:rStyle w:val="OrangeFix"/>
        </w:rPr>
        <w:t xml:space="preserve"> </w:t>
      </w:r>
      <m:oMath>
        <m:sSub>
          <m:e>
            <m:r>
              <w:rPr>
                <w:color w:val="E36C09"/>
              </w:rPr>
              <m:t>t</m:t>
            </m:r>
          </m:e>
          <m:sub>
            <m:r>
              <w:rPr>
                <w:color w:val="E36C09"/>
              </w:rPr>
              <m:t>e</m:t>
            </m:r>
          </m:sub>
        </m:sSub>
        <m:r>
          <m:rPr>
            <m:sty m:val="p"/>
          </m:rPr>
          <w:rPr>
            <w:color w:val="E36C09"/>
          </w:rPr>
          <m:t>≤</m:t>
        </m:r>
        <m:sSub>
          <m:e>
            <m:r>
              <w:rPr>
                <w:color w:val="E36C09"/>
              </w:rPr>
              <m:t>t</m:t>
            </m:r>
          </m:e>
          <m:sub>
            <m:r>
              <w:rPr>
                <w:color w:val="E36C09"/>
              </w:rPr>
              <m:t>s</m:t>
            </m:r>
          </m:sub>
        </m:sSub>
      </m:oMath>
      <w:r>
        <w:rPr>
          <w:rStyle w:val="OrangeFix"/>
        </w:rPr>
        <w:t xml:space="preserve"> </w:t>
      </w:r>
      <w:r>
        <w:rPr>
          <w:rStyle w:val="OrangeFix"/>
          <w:b/>
          <w:bCs/>
        </w:rPr>
        <w:t xml:space="preserve">then</w:t>
      </w:r>
      <w:r>
        <w:t xml:space="preserve"> </w:t>
      </w:r>
      <w:r>
        <w:t xml:space="preserve">|     11:</w:t>
      </w:r>
      <w:r>
        <w:t xml:space="preserve"> </w:t>
      </w:r>
      <w:r>
        <w:rPr>
          <w:b/>
          <w:bCs/>
        </w:rPr>
        <w:t xml:space="preserve">return</w:t>
      </w:r>
      <w:r>
        <w:t xml:space="preserve"> </w:t>
      </w:r>
      <w:r>
        <w:t xml:space="preserve">REJECT</w:t>
      </w:r>
      <w:r>
        <w:t xml:space="preserve"> </w:t>
      </w:r>
      <w:r>
        <w:t xml:space="preserve">| 12:</w:t>
      </w:r>
      <w:r>
        <w:t xml:space="preserve"> </w:t>
      </w:r>
      <w:r>
        <w:rPr>
          <w:b/>
          <w:bCs/>
        </w:rPr>
        <w:t xml:space="preserve">end if</w:t>
      </w:r>
      <w:r>
        <w:t xml:space="preserve"> </w:t>
      </w:r>
      <w:r>
        <w:t xml:space="preserve">| 13: Define authorisation requirement</w:t>
      </w:r>
      <w:r>
        <w:t xml:space="preserve"> </w:t>
      </w:r>
      <m:oMath>
        <m:r>
          <m:t>A</m:t>
        </m:r>
      </m:oMath>
      <w:r>
        <w:t xml:space="preserve"> </w:t>
      </w:r>
      <w:r>
        <w:t xml:space="preserve">| 14: Generate consent identifier</w:t>
      </w:r>
      <w:r>
        <w:t xml:space="preserve"> </w:t>
      </w:r>
      <m:oMath>
        <m:r>
          <m:t>i</m:t>
        </m:r>
        <m:sSub>
          <m:e>
            <m:r>
              <m:t>d</m:t>
            </m:r>
          </m:e>
          <m:sub>
            <m:r>
              <m:t>C</m:t>
            </m:r>
          </m:sub>
        </m:sSub>
      </m:oMath>
      <w:r>
        <w:t xml:space="preserve"> </w:t>
      </w:r>
      <w:r>
        <w:t xml:space="preserve">| 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 16: Persist</w:t>
      </w:r>
      <w:r>
        <w:t xml:space="preserve"> </w:t>
      </w:r>
      <m:oMath>
        <m:r>
          <m:t>C</m:t>
        </m:r>
      </m:oMath>
      <w:r>
        <w:t xml:space="preserve"> </w:t>
      </w:r>
      <w:r>
        <w:t xml:space="preserve">| 17: Record consent creation evidence</w:t>
      </w:r>
      <w:r>
        <w:t xml:space="preserve"> </w:t>
      </w:r>
      <w:r>
        <w:t xml:space="preserve">| 18:</w:t>
      </w:r>
      <w:r>
        <w:t xml:space="preserve"> </w:t>
      </w:r>
      <w:r>
        <w:rPr>
          <w:b/>
          <w:bCs/>
        </w:rPr>
        <w:t xml:space="preserve">return</w:t>
      </w:r>
      <w:r>
        <w:t xml:space="preserve"> </w:t>
      </w:r>
      <m:oMath>
        <m:r>
          <m:t>C</m:t>
        </m:r>
      </m:oMath>
    </w:p>
    <w:p>
      <w:pPr>
        <w:pStyle w:val="BodyText"/>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7"/>
    <w:bookmarkEnd w:id="98"/>
    <w:bookmarkStart w:id="105"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p>
    <w:p>
      <w:pPr>
        <w:pStyle w:val="BodyText"/>
      </w:pPr>
      <w:r>
        <w:t xml:space="preserve">In Eq. (8),</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102" w:name="X40f13bf52dbab2e76356a6753423f1584e794fb"/>
    <w:p>
      <w:pPr>
        <w:pStyle w:val="Heading3"/>
      </w:pPr>
      <w:r>
        <w:t xml:space="preserve">6.2.1 RO2 Identity and Authority Verification Workflow</w:t>
      </w:r>
    </w:p>
    <w:p>
      <w:pPr>
        <w:pStyle w:val="FirstParagraph"/>
      </w:pPr>
      <w:r>
        <w:t xml:space="preserve">The workflow, shown in Figure 6.2,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5486400" cy="3223605"/>
            <wp:effectExtent b="0" l="0" r="0" t="0"/>
            <wp:docPr descr="Figure 6.2: RO2 workflow for decentralised identity and authority verification" title="" id="100" name="Picture"/>
            <a:graphic>
              <a:graphicData uri="http://schemas.openxmlformats.org/drawingml/2006/picture">
                <pic:pic>
                  <pic:nvPicPr>
                    <pic:cNvPr descr="media_col/fig08.png" id="101" name="Picture"/>
                    <pic:cNvPicPr>
                      <a:picLocks noChangeArrowheads="1" noChangeAspect="1"/>
                    </pic:cNvPicPr>
                  </pic:nvPicPr>
                  <pic:blipFill>
                    <a:blip r:embed="rId99"/>
                    <a:stretch>
                      <a:fillRect/>
                    </a:stretch>
                  </pic:blipFill>
                  <pic:spPr bwMode="auto">
                    <a:xfrm>
                      <a:off x="0" y="0"/>
                      <a:ext cx="5486400" cy="3223605"/>
                    </a:xfrm>
                    <a:prstGeom prst="rect">
                      <a:avLst/>
                    </a:prstGeom>
                    <a:noFill/>
                    <a:ln w="9525">
                      <a:noFill/>
                      <a:headEnd/>
                      <a:tailEnd/>
                    </a:ln>
                  </pic:spPr>
                </pic:pic>
              </a:graphicData>
            </a:graphic>
          </wp:inline>
        </w:drawing>
      </w:r>
    </w:p>
    <w:p>
      <w:pPr>
        <w:pStyle w:val="ImageCaption"/>
      </w:pPr>
      <w:r>
        <w:t xml:space="preserve">Figure 6.2: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[42]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[44, 45],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102"/>
    <w:bookmarkStart w:id="103"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7"/>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8"/>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9"/>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20"/>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1"/>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2"/>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3"/>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4"/>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5"/>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103"/>
    <w:bookmarkStart w:id="104"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104"/>
    <w:bookmarkEnd w:id="105"/>
    <w:bookmarkStart w:id="112"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9" w:name="ro3-multi-party-authorisation-workflow"/>
    <w:p>
      <w:pPr>
        <w:pStyle w:val="Heading3"/>
      </w:pPr>
      <w:r>
        <w:t xml:space="preserve">6.3.1 RO3 Multi-Party Authorisation Workflow</w:t>
      </w:r>
    </w:p>
    <w:p>
      <w:pPr>
        <w:pStyle w:val="FirstParagraph"/>
      </w:pPr>
      <w:r>
        <w:t xml:space="preserve">The workflow, shown in Figure 6.3,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5486400" cy="5363379"/>
            <wp:effectExtent b="0" l="0" r="0" t="0"/>
            <wp:docPr descr="Figure 6.3: RO3 workflow for threshold-based multi-party authorisation" title="" id="107" name="Picture"/>
            <a:graphic>
              <a:graphicData uri="http://schemas.openxmlformats.org/drawingml/2006/picture">
                <pic:pic>
                  <pic:nvPicPr>
                    <pic:cNvPr descr="media_col/fig09.png" id="108" name="Picture"/>
                    <pic:cNvPicPr>
                      <a:picLocks noChangeArrowheads="1" noChangeAspect="1"/>
                    </pic:cNvPicPr>
                  </pic:nvPicPr>
                  <pic:blipFill>
                    <a:blip r:embed="rId106"/>
                    <a:stretch>
                      <a:fillRect/>
                    </a:stretch>
                  </pic:blipFill>
                  <pic:spPr bwMode="auto">
                    <a:xfrm>
                      <a:off x="0" y="0"/>
                      <a:ext cx="5486400" cy="5363379"/>
                    </a:xfrm>
                    <a:prstGeom prst="rect">
                      <a:avLst/>
                    </a:prstGeom>
                    <a:noFill/>
                    <a:ln w="9525">
                      <a:noFill/>
                      <a:headEnd/>
                      <a:tailEnd/>
                    </a:ln>
                  </pic:spPr>
                </pic:pic>
              </a:graphicData>
            </a:graphic>
          </wp:inline>
        </w:drawing>
      </w:r>
    </w:p>
    <w:p>
      <w:pPr>
        <w:pStyle w:val="ImageCaption"/>
      </w:pPr>
      <w:r>
        <w:t xml:space="preserve">Figure 6.3: RO3 workflow for threshold-based multi-party authorisation</w:t>
      </w:r>
    </w:p>
    <w:p>
      <w:pPr>
        <w:pStyle w:val="BodyText"/>
      </w:pPr>
      <w:r>
        <w:t xml:space="preserve">In the HALAH prototype, the guardian workflow (Figure 7.2,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7.4; the v3 contract adds on-chain validity checks and ERC-5484 consensual burn [43].</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9"/>
    <w:bookmarkStart w:id="110"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6"/>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7"/>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r>
          <m:rPr>
            <m:sty m:val="p"/>
          </m:rPr>
          <m:t>[</m:t>
        </m:r>
      </m:oMath>
      <w:r>
        <w:t xml:space="preserve"> </w:t>
      </w:r>
      <w:r>
        <w:t xml:space="preserve">(all designated guardians must approve); configurable k-of-n thresholds are Stage 2 work.]{.odel}</w:t>
      </w:r>
      <w:r>
        <w:rPr>
          <w:rStyle w:val="OrangeFix"/>
        </w:rPr>
        <w:t xml:space="preserve">$, so all designated guardians must approve. Configurable k-of-n thresholds are planned for Stage 2.</w:t>
      </w:r>
    </w:p>
    <w:p>
      <w:pPr>
        <w:pStyle w:val="Compact"/>
        <w:numPr>
          <w:ilvl w:val="0"/>
          <w:numId w:val="1028"/>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9"/>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30"/>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1"/>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2"/>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3"/>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4"/>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5"/>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6"/>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7"/>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8"/>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10"/>
    <w:bookmarkStart w:id="111"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w:t>
      </w:r>
      <w:r>
        <w:t xml:space="preserve"> </w:t>
      </w:r>
      <w:r>
        <w:rPr>
          <w:rStyle w:val="OrangeFix"/>
        </w:rPr>
        <w:t xml:space="preserve">unauthorised,</w:t>
      </w:r>
      <w:r>
        <w:t xml:space="preserve"> </w:t>
      </w:r>
      <w:r>
        <w:t xml:space="preserve">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11"/>
    <w:bookmarkEnd w:id="112"/>
    <w:bookmarkStart w:id="119"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bookmarkStart w:id="116" w:name="ro4-policy-aware-access-workflow"/>
    <w:p>
      <w:pPr>
        <w:pStyle w:val="Heading3"/>
      </w:pPr>
      <w:r>
        <w:t xml:space="preserve">6.4.1 RO4 Policy-Aware Access Workflow</w:t>
      </w:r>
    </w:p>
    <w:p>
      <w:pPr>
        <w:pStyle w:val="FirstParagraph"/>
      </w:pPr>
      <w:r>
        <w:t xml:space="preserve">The workflow, shown in Figure 6.4, begins when a doctor submits a request for patient data.</w:t>
      </w:r>
      <w:r>
        <w:t xml:space="preserve"> </w:t>
      </w:r>
      <w:r>
        <w:rPr>
          <w:rStyle w:val="OrangeDelete"/>
        </w:rPr>
        <w:t xml:space="preserve">The system retrieves the relevant consent object and verifies the requesting participant. It then checks whether the required multi-party authorisation has been established.</w:t>
      </w:r>
      <w:r>
        <w:rPr>
          <w:rStyle w:val="OrangeFix"/>
        </w:rPr>
        <w:t xml:space="preserve">The system retrieves the relevant consent object, verifies the requesting participant and evaluates the consent state. It then checks whether the required multi-party authorisation has been established.</w:t>
      </w:r>
    </w:p>
    <w:p>
      <w:pPr>
        <w:pStyle w:val="CaptionedFigure"/>
      </w:pPr>
      <w:r>
        <w:drawing>
          <wp:inline>
            <wp:extent cx="5486400" cy="6503056"/>
            <wp:effectExtent b="0" l="0" r="0" t="0"/>
            <wp:docPr descr="Figure 6.4: RO4 workflow for policy- and context-aware access control" title="" id="114" name="Picture"/>
            <a:graphic>
              <a:graphicData uri="http://schemas.openxmlformats.org/drawingml/2006/picture">
                <pic:pic>
                  <pic:nvPicPr>
                    <pic:cNvPr descr="media_col/fig10.png" id="115" name="Picture"/>
                    <pic:cNvPicPr>
                      <a:picLocks noChangeArrowheads="1" noChangeAspect="1"/>
                    </pic:cNvPicPr>
                  </pic:nvPicPr>
                  <pic:blipFill>
                    <a:blip r:embed="rId113"/>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6.4: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7.3–7.4 (Section 7.4).</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w:t>
      </w:r>
      <w:r>
        <w:rPr>
          <w:rStyle w:val="OrangeFix"/>
        </w:rPr>
        <w:t xml:space="preserve">,</w:t>
      </w:r>
      <w:r>
        <w:t xml:space="preserve"> </w:t>
      </w:r>
      <w:r>
        <w:t xml:space="preserve">and a valid scope. Routing the release decision through the full matrix is a small planned change that will make the implemented gate identical to Eq. (24).</w:t>
      </w:r>
    </w:p>
    <w:bookmarkEnd w:id="116"/>
    <w:bookmarkStart w:id="117"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9"/>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0"/>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1"/>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2"/>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3"/>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4"/>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5"/>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6"/>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7"/>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8"/>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9"/>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7"/>
    <w:bookmarkStart w:id="118"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8"/>
    <w:bookmarkEnd w:id="119"/>
    <w:bookmarkStart w:id="126"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The extended authorisation decision is therefore given by Eq. (24).</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23" w:name="ro5-temporal-and-lifecycle-workflow"/>
    <w:p>
      <w:pPr>
        <w:pStyle w:val="Heading3"/>
      </w:pPr>
      <w:r>
        <w:t xml:space="preserve">6.5.1 RO5 Temporal and Lifecycle Workflow</w:t>
      </w:r>
    </w:p>
    <w:p>
      <w:pPr>
        <w:pStyle w:val="FirstParagraph"/>
      </w:pPr>
      <w:r>
        <w:t xml:space="preserve">The planned workflow, shown in Figure 6.5, evaluates the consent’s temporal interval, lifecycle state,</w:t>
      </w:r>
      <w:r>
        <w:t xml:space="preserve"> </w:t>
      </w:r>
      <w:r>
        <w:rPr>
          <w:rStyle w:val="OrangeDelete"/>
        </w:rPr>
        <w:t xml:space="preserve">and revocation status</w:t>
      </w:r>
      <w:r>
        <w:rPr>
          <w:rStyle w:val="OrangeFix"/>
        </w:rPr>
        <w:t xml:space="preserve">revocation status and requested transition</w:t>
      </w:r>
      <w:r>
        <w:t xml:space="preserve"> </w:t>
      </w:r>
      <w:r>
        <w:t xml:space="preserve">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5486400" cy="4557281"/>
            <wp:effectExtent b="0" l="0" r="0" t="0"/>
            <wp:docPr descr="Figure 6.5: RO5 planned workflow for temporal and consent lifecycle trust" title="" id="121" name="Picture"/>
            <a:graphic>
              <a:graphicData uri="http://schemas.openxmlformats.org/drawingml/2006/picture">
                <pic:pic>
                  <pic:nvPicPr>
                    <pic:cNvPr descr="media_col/fig11.png" id="122" name="Picture"/>
                    <pic:cNvPicPr>
                      <a:picLocks noChangeArrowheads="1" noChangeAspect="1"/>
                    </pic:cNvPicPr>
                  </pic:nvPicPr>
                  <pic:blipFill>
                    <a:blip r:embed="rId120"/>
                    <a:stretch>
                      <a:fillRect/>
                    </a:stretch>
                  </pic:blipFill>
                  <pic:spPr bwMode="auto">
                    <a:xfrm>
                      <a:off x="0" y="0"/>
                      <a:ext cx="5486400" cy="4557281"/>
                    </a:xfrm>
                    <a:prstGeom prst="rect">
                      <a:avLst/>
                    </a:prstGeom>
                    <a:noFill/>
                    <a:ln w="9525">
                      <a:noFill/>
                      <a:headEnd/>
                      <a:tailEnd/>
                    </a:ln>
                  </pic:spPr>
                </pic:pic>
              </a:graphicData>
            </a:graphic>
          </wp:inline>
        </w:drawing>
      </w:r>
    </w:p>
    <w:p>
      <w:pPr>
        <w:pStyle w:val="ImageCaption"/>
      </w:pPr>
      <w:r>
        <w:t xml:space="preserve">Figure 6.5: RO5 planned workflow for temporal and consent lifecycle trust</w:t>
      </w:r>
    </w:p>
    <w:p>
      <w:pPr>
        <w:pStyle w:val="BodyText"/>
      </w:pPr>
      <w:r>
        <w:t xml:space="preserve">The HALAH prototype already implements a first version of this workflow. The consent engine evaluates the consent state in the order REVOKED,</w:t>
      </w:r>
      <w:r>
        <w:t xml:space="preserve"> </w:t>
      </w:r>
      <w:r>
        <w:rPr>
          <w:rStyle w:val="OrangeDelete"/>
        </w:rPr>
        <w:t xml:space="preserve">PENDING_SIGNATURE, PENDING_TOKEN, NOT_STARTED, EXPIRED and ACTIVE, and only an ACTIVE consent</w:t>
      </w:r>
      <w:r>
        <w:rPr>
          <w:rStyle w:val="OrangeFix"/>
        </w:rPr>
        <w:t xml:space="preserve">PENDING_SIGNATURE, PENDING_TOKEN, NOT_STARTED, EXPIRED, and ACTIVE, and only an ACTIVE consent</w:t>
      </w:r>
      <w:r>
        <w:t xml:space="preserve"> </w:t>
      </w:r>
      <w:r>
        <w:t xml:space="preserve">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w:t>
      </w:r>
      <w:r>
        <w:t xml:space="preserve"> </w:t>
      </w:r>
      <w:r>
        <w:rPr>
          <w:rStyle w:val="OrangeFix"/>
        </w:rPr>
        <w:t xml:space="preserve">temporal and</w:t>
      </w:r>
      <w:r>
        <w:t xml:space="preserve"> </w:t>
      </w:r>
      <w:r>
        <w:t xml:space="preserve">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23"/>
    <w:bookmarkStart w:id="124"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50"/>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1"/>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2"/>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3"/>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w:t>
      </w:r>
      <w:r>
        <w:t xml:space="preserve"> </w:t>
      </w:r>
      <w:r>
        <w:rPr>
          <w:rStyle w:val="OrangeDelete"/>
        </w:rPr>
        <w:t xml:space="preserve">state-transition</w:t>
      </w:r>
      <w:r>
        <w:rPr>
          <w:rStyle w:val="OrangeFix"/>
        </w:rPr>
        <w:t xml:space="preserve">state</w:t>
      </w:r>
      <w:r>
        <w:t xml:space="preserve"> </w:t>
      </w:r>
      <w:r>
        <w:t xml:space="preserve">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4"/>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5"/>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6"/>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rStyle w:val="OrangeDelete"/>
          <w:i/>
          <w:iCs/>
        </w:rPr>
        <w:t xml:space="preserve">V</w:t>
      </w:r>
      <w:r>
        <w:rPr>
          <w:rStyle w:val="OrangeDelete"/>
          <w:vertAlign w:val="subscript"/>
        </w:rPr>
        <w:t xml:space="preserve">L</w:t>
      </w:r>
      <w:r>
        <w:rPr>
          <w:rStyle w:val="OrangeDelete"/>
        </w:rPr>
        <w:t xml:space="preserve">(</w:t>
      </w:r>
      <w:r>
        <w:rPr>
          <w:rStyle w:val="OrangeDelete"/>
          <w:i/>
          <w:iCs/>
        </w:rPr>
        <w:t xml:space="preserve">C, t, q</w:t>
      </w:r>
      <w:r>
        <w:rPr>
          <w:rStyle w:val="OrangeDelete"/>
        </w:rPr>
        <w:t xml:space="preserve">) =</w:t>
      </w:r>
      <w:r>
        <w:rPr>
          <w:rStyle w:val="OrangeDelete"/>
        </w:rPr>
        <w:t xml:space="preserve"> </w:t>
      </w:r>
      <w:r>
        <w:rPr>
          <w:rStyle w:val="OrangeDelete"/>
          <w:i/>
          <w:iCs/>
        </w:rPr>
        <w:t xml:space="preserve">TimeValid</w:t>
      </w:r>
      <w:r>
        <w:rPr>
          <w:rStyle w:val="OrangeDelete"/>
        </w:rPr>
        <w:t xml:space="preserve">(</w:t>
      </w:r>
      <w:r>
        <w:rPr>
          <w:rStyle w:val="OrangeDelete"/>
          <w:i/>
          <w:iCs/>
        </w:rPr>
        <w:t xml:space="preserve">C, t</w:t>
      </w:r>
      <w:r>
        <w:rPr>
          <w:rStyle w:val="OrangeDelete"/>
        </w:rPr>
        <w:t xml:space="preserve">)∧</w:t>
      </w:r>
      <w:r>
        <w:rPr>
          <w:rStyle w:val="OrangeDelete"/>
          <w:i/>
          <w:iCs/>
        </w:rPr>
        <w:t xml:space="preserve">StateValid</w:t>
      </w:r>
      <w:r>
        <w:rPr>
          <w:rStyle w:val="OrangeDelete"/>
        </w:rPr>
        <w:t xml:space="preserve">(</w:t>
      </w:r>
      <w:r>
        <w:rPr>
          <w:rStyle w:val="OrangeDelete"/>
          <w:i/>
          <w:iCs/>
        </w:rPr>
        <w:t xml:space="preserve">C, q</w:t>
      </w:r>
      <w:r>
        <w:rPr>
          <w:rStyle w:val="OrangeDelete"/>
        </w:rPr>
        <w:t xml:space="preserve">)∧¬</w:t>
      </w:r>
      <w:r>
        <w:rPr>
          <w:rStyle w:val="OrangeDelete"/>
          <w:i/>
          <w:iCs/>
        </w:rPr>
        <w:t xml:space="preserve">Revoked</w:t>
      </w:r>
      <w:r>
        <w:rPr>
          <w:rStyle w:val="OrangeDelete"/>
        </w:rPr>
        <w:t xml:space="preserve">(</w:t>
      </w:r>
      <w:r>
        <w:rPr>
          <w:rStyle w:val="OrangeDelete"/>
          <w:i/>
          <w:iCs/>
        </w:rPr>
        <w:t xml:space="preserve">C</w:t>
      </w:r>
      <w:r>
        <w:rPr>
          <w:rStyle w:val="OrangeDelete"/>
        </w:rPr>
        <w:t xml:space="preserve">)∧</w:t>
      </w:r>
      <w:r>
        <w:rPr>
          <w:rStyle w:val="OrangeDelete"/>
          <w:i/>
          <w:iCs/>
        </w:rPr>
        <w:t xml:space="preserve">TransitionValid</w:t>
      </w:r>
      <w:r>
        <w:rPr>
          <w:rStyle w:val="OrangeDelete"/>
        </w:rPr>
        <w:t xml:space="preserve">(</w:t>
      </w:r>
      <w:r>
        <w:rPr>
          <w:rStyle w:val="OrangeDelete"/>
          <w:i/>
          <w:iCs/>
        </w:rPr>
        <w:t xml:space="preserve">C, q</w:t>
      </w:r>
      <w:r>
        <w:rPr>
          <w:rStyle w:val="OrangeDelete"/>
        </w:rPr>
        <w:t xml:space="preserve">).</w:t>
      </w:r>
      <w:r>
        <w:rPr>
          <w:rStyle w:val="OrangeFix"/>
          <w:i/>
          <w:iCs/>
        </w:rPr>
        <w:t xml:space="preserve">V</w:t>
      </w:r>
      <w:r>
        <w:rPr>
          <w:rStyle w:val="OrangeFix"/>
          <w:vertAlign w:val="subscript"/>
        </w:rPr>
        <w:t xml:space="preserve">L</w:t>
      </w:r>
      <w:r>
        <w:rPr>
          <w:rStyle w:val="OrangeFix"/>
        </w:rPr>
        <w:t xml:space="preserve">(</w:t>
      </w:r>
      <w:r>
        <w:rPr>
          <w:rStyle w:val="OrangeFix"/>
          <w:i/>
          <w:iCs/>
        </w:rPr>
        <w:t xml:space="preserve">C, t, q</w:t>
      </w:r>
      <w:r>
        <w:rPr>
          <w:rStyle w:val="OrangeFix"/>
        </w:rPr>
        <w:t xml:space="preserve">) =</w:t>
      </w:r>
      <w:r>
        <w:rPr>
          <w:rStyle w:val="OrangeFix"/>
        </w:rPr>
        <w:t xml:space="preserve"> </w:t>
      </w:r>
      <w:r>
        <w:rPr>
          <w:rStyle w:val="OrangeFix"/>
          <w:i/>
          <w:iCs/>
        </w:rPr>
        <w:t xml:space="preserve">TimeValid</w:t>
      </w:r>
      <w:r>
        <w:rPr>
          <w:rStyle w:val="OrangeFix"/>
        </w:rPr>
        <w:t xml:space="preserve">(</w:t>
      </w:r>
      <w:r>
        <w:rPr>
          <w:rStyle w:val="OrangeFix"/>
          <w:i/>
          <w:iCs/>
        </w:rPr>
        <w:t xml:space="preserve">C, t</w:t>
      </w:r>
      <w:r>
        <w:rPr>
          <w:rStyle w:val="OrangeFix"/>
        </w:rPr>
        <w:t xml:space="preserve">) ∧</w:t>
      </w:r>
      <w:r>
        <w:rPr>
          <w:rStyle w:val="OrangeFix"/>
        </w:rPr>
        <w:t xml:space="preserve"> </w:t>
      </w:r>
      <w:r>
        <w:rPr>
          <w:rStyle w:val="OrangeFix"/>
          <w:i/>
          <w:iCs/>
        </w:rPr>
        <w:t xml:space="preserve">StateValid</w:t>
      </w:r>
      <w:r>
        <w:rPr>
          <w:rStyle w:val="OrangeFix"/>
        </w:rPr>
        <w:t xml:space="preserve">(</w:t>
      </w:r>
      <w:r>
        <w:rPr>
          <w:rStyle w:val="OrangeFix"/>
          <w:i/>
          <w:iCs/>
        </w:rPr>
        <w:t xml:space="preserve">C, q</w:t>
      </w:r>
      <w:r>
        <w:rPr>
          <w:rStyle w:val="OrangeFix"/>
        </w:rPr>
        <w:t xml:space="preserve">) ∧ ¬</w:t>
      </w:r>
      <w:r>
        <w:rPr>
          <w:rStyle w:val="OrangeFix"/>
          <w:i/>
          <w:iCs/>
        </w:rPr>
        <w:t xml:space="preserve">Revoked</w:t>
      </w:r>
      <w:r>
        <w:rPr>
          <w:rStyle w:val="OrangeFix"/>
        </w:rPr>
        <w:t xml:space="preserve">(</w:t>
      </w:r>
      <w:r>
        <w:rPr>
          <w:rStyle w:val="OrangeFix"/>
          <w:i/>
          <w:iCs/>
        </w:rPr>
        <w:t xml:space="preserve">C</w:t>
      </w:r>
      <w:r>
        <w:rPr>
          <w:rStyle w:val="OrangeFix"/>
        </w:rPr>
        <w:t xml:space="preserve">) ∧</w:t>
      </w:r>
      <w:r>
        <w:rPr>
          <w:rStyle w:val="OrangeFix"/>
        </w:rPr>
        <w:t xml:space="preserve"> </w:t>
      </w:r>
      <w:r>
        <w:rPr>
          <w:rStyle w:val="OrangeFix"/>
          <w:i/>
          <w:iCs/>
        </w:rPr>
        <w:t xml:space="preserve">TransitionValid</w:t>
      </w:r>
      <w:r>
        <w:rPr>
          <w:rStyle w:val="OrangeFix"/>
        </w:rPr>
        <w:t xml:space="preserve">(</w:t>
      </w:r>
      <w:r>
        <w:rPr>
          <w:rStyle w:val="OrangeFix"/>
          <w:i/>
          <w:iCs/>
        </w:rPr>
        <w:t xml:space="preserve">C, q</w:t>
      </w:r>
      <w:r>
        <w:rPr>
          <w:rStyle w:val="OrangeFix"/>
        </w:rPr>
        <w:t xml:space="preserve">).</w:t>
      </w:r>
    </w:p>
    <w:p>
      <w:pPr>
        <w:pStyle w:val="BodyText"/>
      </w:pPr>
      <w:r>
        <w:t xml:space="preserve">Only when all four conditions are satisfied can the consent proceed to the subsequent operation.</w:t>
      </w:r>
    </w:p>
    <w:p>
      <w:pPr>
        <w:pStyle w:val="Compact"/>
        <w:numPr>
          <w:ilvl w:val="0"/>
          <w:numId w:val="1057"/>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8"/>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w:t>
      </w:r>
      <w:r>
        <w:t xml:space="preserve"> </w:t>
      </w:r>
      <w:r>
        <w:rPr>
          <w:rStyle w:val="OrangeDelete"/>
        </w:rPr>
        <w:t xml:space="preserve">distinction between</w:t>
      </w:r>
      <w:r>
        <w:rPr>
          <w:rStyle w:val="OrangeDelete"/>
        </w:rPr>
        <w:t xml:space="preserve"> </w:t>
      </w:r>
      <w:r>
        <w:rPr>
          <w:rStyle w:val="OrangeDelete"/>
          <w:i/>
          <w:iCs/>
        </w:rPr>
        <w:t xml:space="preserve">consent</w:t>
      </w:r>
      <w:r>
        <w:rPr>
          <w:rStyle w:val="OrangeDelete"/>
        </w:rPr>
        <w:t xml:space="preserve"> </w:t>
      </w:r>
      <w:r>
        <w:rPr>
          <w:rStyle w:val="OrangeDelete"/>
          <w:i/>
          <w:iCs/>
        </w:rPr>
        <w:t xml:space="preserve">existence</w:t>
      </w:r>
      <w:r>
        <w:rPr>
          <w:rStyle w:val="OrangeDelete"/>
        </w:rPr>
        <w:t xml:space="preserve"> </w:t>
      </w:r>
      <w:r>
        <w:rPr>
          <w:rStyle w:val="OrangeDelete"/>
        </w:rPr>
        <w:t xml:space="preserve">and</w:t>
      </w:r>
      <w:r>
        <w:rPr>
          <w:rStyle w:val="OrangeDelete"/>
        </w:rPr>
        <w:t xml:space="preserve"> </w:t>
      </w:r>
      <w:r>
        <w:rPr>
          <w:rStyle w:val="OrangeDelete"/>
          <w:i/>
          <w:iCs/>
        </w:rPr>
        <w:t xml:space="preserve">consent usability</w:t>
      </w:r>
      <w:r>
        <w:rPr>
          <w:rStyle w:val="OrangeFix"/>
        </w:rPr>
        <w:t xml:space="preserve">distinction between</w:t>
      </w:r>
      <w:r>
        <w:rPr>
          <w:rStyle w:val="OrangeFix"/>
        </w:rPr>
        <w:t xml:space="preserve"> </w:t>
      </w:r>
      <w:r>
        <w:rPr>
          <w:rStyle w:val="OrangeFix"/>
          <w:i/>
          <w:iCs/>
        </w:rPr>
        <w:t xml:space="preserve">consent existence</w:t>
      </w:r>
      <w:r>
        <w:rPr>
          <w:rStyle w:val="OrangeFix"/>
        </w:rPr>
        <w:t xml:space="preserve"> </w:t>
      </w:r>
      <w:r>
        <w:rPr>
          <w:rStyle w:val="OrangeFix"/>
        </w:rPr>
        <w:t xml:space="preserve">and</w:t>
      </w:r>
      <w:r>
        <w:rPr>
          <w:rStyle w:val="OrangeFix"/>
        </w:rPr>
        <w:t xml:space="preserve"> </w:t>
      </w:r>
      <w:r>
        <w:rPr>
          <w:rStyle w:val="OrangeFix"/>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24"/>
    <w:bookmarkStart w:id="125"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25"/>
    <w:bookmarkEnd w:id="126"/>
    <w:bookmarkStart w:id="133"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30" w:name="ro6-assurance-and-validation-workflow"/>
    <w:p>
      <w:pPr>
        <w:pStyle w:val="Heading3"/>
      </w:pPr>
      <w:r>
        <w:t xml:space="preserve">6.6.1 RO6 Assurance and Validation Workflow</w:t>
      </w:r>
    </w:p>
    <w:p>
      <w:pPr>
        <w:pStyle w:val="FirstParagraph"/>
      </w:pPr>
      <w:r>
        <w:t xml:space="preserve">The validation process, shown in Figure 6.6,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3511296" cy="7673247"/>
            <wp:effectExtent b="0" l="0" r="0" t="0"/>
            <wp:docPr descr="Figure 6.6: RO6 planned workflow for formal security assurance and empirical validation" title="" id="128" name="Picture"/>
            <a:graphic>
              <a:graphicData uri="http://schemas.openxmlformats.org/drawingml/2006/picture">
                <pic:pic>
                  <pic:nvPicPr>
                    <pic:cNvPr descr="media_col/fig12.png" id="129" name="Picture"/>
                    <pic:cNvPicPr>
                      <a:picLocks noChangeArrowheads="1" noChangeAspect="1"/>
                    </pic:cNvPicPr>
                  </pic:nvPicPr>
                  <pic:blipFill>
                    <a:blip r:embed="rId127"/>
                    <a:stretch>
                      <a:fillRect/>
                    </a:stretch>
                  </pic:blipFill>
                  <pic:spPr bwMode="auto">
                    <a:xfrm>
                      <a:off x="0" y="0"/>
                      <a:ext cx="3511296" cy="7673247"/>
                    </a:xfrm>
                    <a:prstGeom prst="rect">
                      <a:avLst/>
                    </a:prstGeom>
                    <a:noFill/>
                    <a:ln w="9525">
                      <a:noFill/>
                      <a:headEnd/>
                      <a:tailEnd/>
                    </a:ln>
                  </pic:spPr>
                </pic:pic>
              </a:graphicData>
            </a:graphic>
          </wp:inline>
        </w:drawing>
      </w:r>
    </w:p>
    <w:p>
      <w:pPr>
        <w:pStyle w:val="ImageCaption"/>
      </w:pPr>
      <w:r>
        <w:t xml:space="preserve">Figure 6.6: RO6 planned workflow for formal security assurance and empirical validation</w:t>
      </w:r>
    </w:p>
    <w:p>
      <w:pPr>
        <w:pStyle w:val="BodyText"/>
      </w:pPr>
      <w:r>
        <w:t xml:space="preserve">The empirical component will evaluate both valid and</w:t>
      </w:r>
      <w:r>
        <w:t xml:space="preserve"> </w:t>
      </w:r>
      <w:r>
        <w:rPr>
          <w:rStyle w:val="OrangeDelete"/>
        </w:rPr>
        <w:t xml:space="preserve">invalid</w:t>
      </w:r>
      <w:r>
        <w:rPr>
          <w:rStyle w:val="OrangeFix"/>
        </w:rPr>
        <w:t xml:space="preserve">negative</w:t>
      </w:r>
      <w:r>
        <w:t xml:space="preserve"> </w:t>
      </w:r>
      <w:r>
        <w:t xml:space="preserve">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30"/>
    <w:bookmarkStart w:id="131"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9"/>
        </w:numPr>
      </w:pPr>
      <w:r>
        <w:rPr>
          <w:b/>
          <w:bCs/>
        </w:rPr>
        <w:t xml:space="preserve">Step 1 – Define the Expected Authorisation Properties.</w:t>
      </w:r>
    </w:p>
    <w:p>
      <w:pPr>
        <w:pStyle w:val="FirstParagraph"/>
      </w:pPr>
      <w:r>
        <w:t xml:space="preserve">The first step is to define the security and authorisation properties</w:t>
      </w:r>
      <w:r>
        <w:t xml:space="preserve"> </w:t>
      </w:r>
      <w:r>
        <w:rPr>
          <w:i/>
          <w:iCs/>
        </w:rPr>
        <w:t xml:space="preserve">P</w:t>
      </w:r>
      <w:r>
        <w:t xml:space="preserve"> </w:t>
      </w:r>
      <w:r>
        <w:t xml:space="preserve">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60"/>
        </w:numPr>
      </w:pPr>
      <w:r>
        <w:rPr>
          <w:b/>
          <w:bCs/>
        </w:rPr>
        <w:t xml:space="preserve">Step 2 – Define Valid Scenarios.</w:t>
      </w:r>
    </w:p>
    <w:p>
      <w:pPr>
        <w:pStyle w:val="FirstParagraph"/>
      </w:pPr>
      <w:r>
        <w:t xml:space="preserve">The system defines a set of valid scenarios</w:t>
      </w:r>
      <w:r>
        <w:t xml:space="preserve"> </w:t>
      </w:r>
      <w:r>
        <w:rPr>
          <w:i/>
          <w:iCs/>
        </w:rPr>
        <w:t xml:space="preserve">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1"/>
        </w:numPr>
      </w:pPr>
      <w:r>
        <w:rPr>
          <w:b/>
          <w:bCs/>
        </w:rPr>
        <w:t xml:space="preserve">Step 3 – Define Negative Scenarios.</w:t>
      </w:r>
    </w:p>
    <w:p>
      <w:pPr>
        <w:pStyle w:val="FirstParagraph"/>
      </w:pPr>
      <w:r>
        <w:t xml:space="preserve">The system defines a set of negative scenarios</w:t>
      </w:r>
      <w:r>
        <w:t xml:space="preserve"> </w:t>
      </w:r>
      <w:r>
        <w:rPr>
          <w:i/>
          <w:iCs/>
        </w:rPr>
        <w:t xml:space="preserve">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2"/>
        </w:numPr>
      </w:pPr>
      <w:r>
        <w:rPr>
          <w:b/>
          <w:bCs/>
        </w:rPr>
        <w:t xml:space="preserve">Step 4 – Define Adversarial Scenarios.</w:t>
      </w:r>
    </w:p>
    <w:p>
      <w:pPr>
        <w:pStyle w:val="FirstParagraph"/>
      </w:pPr>
      <w:r>
        <w:t xml:space="preserve">The system defines adversarial scenarios</w:t>
      </w:r>
      <w:r>
        <w:t xml:space="preserve"> </w:t>
      </w:r>
      <w:r>
        <w:rPr>
          <w:i/>
          <w:iCs/>
        </w:rPr>
        <w:t xml:space="preserve">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3"/>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w:t>
      </w:r>
      <w:r>
        <w:t xml:space="preserve"> </w:t>
      </w:r>
      <w:r>
        <w:rPr>
          <w:i/>
          <w:iCs/>
        </w:rPr>
        <w:t xml:space="preserve">S</w:t>
      </w:r>
      <w:r>
        <w:t xml:space="preserve"> </w:t>
      </w:r>
      <w:r>
        <w:t xml:space="preserve">is associated with an expected authorisation outcome and the security properties that it is intended to evaluate.</w:t>
      </w:r>
    </w:p>
    <w:p>
      <w:pPr>
        <w:pStyle w:val="Compact"/>
        <w:numPr>
          <w:ilvl w:val="0"/>
          <w:numId w:val="1064"/>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5"/>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6"/>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7"/>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8"/>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9"/>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70"/>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1"/>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2"/>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3"/>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4"/>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5"/>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bookmarkEnd w:id="131"/>
    <w:bookmarkStart w:id="132" w:name="Xb697f75e4cb43d67a9074b27c380a0731d6d029"/>
    <w:p>
      <w:pPr>
        <w:pStyle w:val="Heading3"/>
      </w:pPr>
      <w:r>
        <w:t xml:space="preserve">6.6.3 Algorithm 6: Formal and Empirical Authorisation Validation</w:t>
      </w:r>
    </w:p>
    <w:p>
      <w:pPr>
        <w:pStyle w:val="Algorithm"/>
      </w:pPr>
      <w:r>
        <w:rPr>
          <w:b/>
          <w:bCs/>
        </w:rPr>
        <w:t xml:space="preserve">Algorithm 6</w:t>
      </w:r>
      <w:r>
        <w:t xml:space="preserve"> </w:t>
      </w:r>
      <w:r>
        <w:t xml:space="preserve">Formal and Empirical Authorisation Validation</w:t>
      </w:r>
    </w:p>
    <w:p>
      <w:pPr>
        <w:pStyle w:val="Algorithm"/>
      </w:pPr>
      <w:r>
        <w:rPr>
          <w:rStyle w:val="OrangeDelete"/>
        </w:rPr>
        <w:t xml:space="preserve">|</w:t>
      </w:r>
      <w:r>
        <w:rPr>
          <w:rStyle w:val="OrangeDelete"/>
        </w:rPr>
        <w:t xml:space="preserve"> </w:t>
      </w:r>
      <w:r>
        <w:rPr>
          <w:rStyle w:val="OrangeDelete"/>
          <w:b/>
          <w:bCs/>
        </w:rPr>
        <w:t xml:space="preserve">Require:</w:t>
      </w:r>
      <w:r>
        <w:rPr>
          <w:rStyle w:val="OrangeDelete"/>
        </w:rPr>
        <w:t xml:space="preserve"> </w:t>
      </w:r>
      <w:r>
        <w:rPr>
          <w:rStyle w:val="OrangeDelete"/>
        </w:rPr>
        <w:t xml:space="preserve">Framework implementation</w:t>
      </w:r>
      <w:r>
        <w:rPr>
          <w:rStyle w:val="OrangeDelete"/>
        </w:rPr>
        <w:t xml:space="preserve"> </w:t>
      </w:r>
      <m:oMath>
        <m:r>
          <w:rPr>
            <w:color w:val="E36C09"/>
            <w:strike/>
          </w:rPr>
          <m:t>F</m:t>
        </m:r>
      </m:oMath>
      <w:r>
        <w:rPr>
          <w:rStyle w:val="OrangeDelete"/>
        </w:rPr>
        <w:t xml:space="preserve">, validation scenarios</w:t>
      </w:r>
      <w:r>
        <w:rPr>
          <w:rStyle w:val="OrangeDelete"/>
        </w:rPr>
        <w:t xml:space="preserve"> </w:t>
      </w:r>
      <m:oMath>
        <m:r>
          <w:rPr>
            <w:color w:val="E36C09"/>
            <w:strike/>
          </w:rPr>
          <m:t>S</m:t>
        </m:r>
      </m:oMath>
      <w:r>
        <w:rPr>
          <w:rStyle w:val="OrangeDelete"/>
        </w:rPr>
        <w:t xml:space="preserve">, security properties</w:t>
      </w:r>
      <w:r>
        <w:rPr>
          <w:rStyle w:val="OrangeDelete"/>
        </w:rPr>
        <w:t xml:space="preserve"> </w:t>
      </w:r>
      <m:oMath>
        <m:r>
          <w:rPr>
            <w:color w:val="E36C09"/>
            <w:strike/>
          </w:rPr>
          <m:t>P</m:t>
        </m:r>
      </m:oMath>
      <w:r>
        <w:rPr>
          <w:rStyle w:val="OrangeFix"/>
        </w:rPr>
        <w:t xml:space="preserve">|</w:t>
      </w:r>
      <w:r>
        <w:rPr>
          <w:rStyle w:val="OrangeFix"/>
        </w:rPr>
        <w:t xml:space="preserve"> </w:t>
      </w:r>
      <w:r>
        <w:rPr>
          <w:rStyle w:val="OrangeFix"/>
          <w:b/>
          <w:bCs/>
        </w:rPr>
        <w:t xml:space="preserve">Require:</w:t>
      </w:r>
      <w:r>
        <w:rPr>
          <w:rStyle w:val="OrangeFix"/>
        </w:rPr>
        <w:t xml:space="preserve"> </w:t>
      </w:r>
      <w:r>
        <w:rPr>
          <w:rStyle w:val="OrangeFix"/>
        </w:rPr>
        <w:t xml:space="preserve">Framework implementation</w:t>
      </w:r>
      <w:r>
        <w:rPr>
          <w:rStyle w:val="OrangeFix"/>
        </w:rPr>
        <w:t xml:space="preserve"> </w:t>
      </w:r>
      <m:oMath>
        <m:r>
          <w:rPr>
            <w:color w:val="E36C09"/>
          </w:rPr>
          <m:t>F</m:t>
        </m:r>
      </m:oMath>
      <w:r>
        <w:t xml:space="preserve"> </w:t>
      </w:r>
      <w:r>
        <w:t xml:space="preserve">|</w:t>
      </w:r>
      <w:r>
        <w:t xml:space="preserve"> </w:t>
      </w:r>
      <w:r>
        <w:rPr>
          <w:b/>
          <w:bCs/>
        </w:rPr>
        <w:t xml:space="preserve">Ensure:</w:t>
      </w:r>
      <w:r>
        <w:t xml:space="preserve"> </w:t>
      </w:r>
      <w:r>
        <w:t xml:space="preserve">Validation evidence and evaluation results</w:t>
      </w:r>
      <w:r>
        <w:t xml:space="preserve"> </w:t>
      </w:r>
      <w:r>
        <w:t xml:space="preserve">| 1: Define expected authorisation properties</w:t>
      </w:r>
      <w:r>
        <w:t xml:space="preserve"> </w:t>
      </w:r>
      <m:oMath>
        <m:r>
          <m:t>P</m:t>
        </m:r>
      </m:oMath>
      <w:r>
        <w:t xml:space="preserve"> </w:t>
      </w:r>
      <w:r>
        <w:t xml:space="preserve">| 2: Define valid scenarios</w:t>
      </w:r>
      <w:r>
        <w:t xml:space="preserve"> </w:t>
      </w:r>
      <m:oMath>
        <m:sSub>
          <m:e>
            <m:r>
              <m:t>S</m:t>
            </m:r>
          </m:e>
          <m:sub>
            <m:r>
              <m:t>v</m:t>
            </m:r>
            <m:r>
              <m:t>a</m:t>
            </m:r>
            <m:r>
              <m:t>l</m:t>
            </m:r>
            <m:r>
              <m:t>i</m:t>
            </m:r>
            <m:r>
              <m:t>d</m:t>
            </m:r>
          </m:sub>
        </m:sSub>
      </m:oMath>
      <w:r>
        <w:t xml:space="preserve"> </w:t>
      </w:r>
      <w:r>
        <w:t xml:space="preserve">| 3: Define negative scenarios</w:t>
      </w:r>
      <w:r>
        <w:t xml:space="preserve"> </w:t>
      </w:r>
      <m:oMath>
        <m:sSub>
          <m:e>
            <m:r>
              <m:t>S</m:t>
            </m:r>
          </m:e>
          <m:sub>
            <m:r>
              <m:t>n</m:t>
            </m:r>
            <m:r>
              <m:t>e</m:t>
            </m:r>
            <m:r>
              <m:t>g</m:t>
            </m:r>
            <m:r>
              <m:t>a</m:t>
            </m:r>
            <m:r>
              <m:t>t</m:t>
            </m:r>
            <m:r>
              <m:t>i</m:t>
            </m:r>
            <m:r>
              <m:t>v</m:t>
            </m:r>
            <m:r>
              <m:t>e</m:t>
            </m:r>
          </m:sub>
        </m:sSub>
      </m:oMath>
      <w:r>
        <w:t xml:space="preserve"> </w:t>
      </w:r>
      <w:r>
        <w:t xml:space="preserve">| 4: Define adversarial scenarios</w:t>
      </w:r>
      <w:r>
        <w:t xml:space="preserve"> </w:t>
      </w:r>
      <m:oMath>
        <m:sSub>
          <m:e>
            <m:r>
              <m:t>S</m:t>
            </m:r>
          </m:e>
          <m:sub>
            <m:r>
              <m:t>a</m:t>
            </m:r>
            <m:r>
              <m:t>d</m:t>
            </m:r>
            <m:r>
              <m:t>v</m:t>
            </m:r>
          </m:sub>
        </m:sSub>
      </m:oMath>
      <w:r>
        <w:t xml:space="preserve"> </w:t>
      </w:r>
      <w:r>
        <w:t xml:space="preserve">| 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t xml:space="preserve"> </w:t>
      </w:r>
      <w:r>
        <w:t xml:space="preserve">|     6: Execute</w:t>
      </w:r>
      <w:r>
        <w:t xml:space="preserve"> </w:t>
      </w:r>
      <m:oMath>
        <m:r>
          <m:t>s</m:t>
        </m:r>
      </m:oMath>
      <w:r>
        <w:t xml:space="preserve"> </w:t>
      </w:r>
      <w:r>
        <w:t xml:space="preserve">using framework</w:t>
      </w:r>
      <w:r>
        <w:t xml:space="preserve"> </w:t>
      </w:r>
      <m:oMath>
        <m:r>
          <m:t>F</m:t>
        </m:r>
      </m:oMath>
      <w:r>
        <w:t xml:space="preserve"> </w:t>
      </w:r>
      <w:r>
        <w:t xml:space="preserve">|     7: Collect authorisation decision</w:t>
      </w:r>
      <w:r>
        <w:t xml:space="preserve"> </w:t>
      </w:r>
      <w:r>
        <w:t xml:space="preserve">|     8: Collect identity, approval, policy, and audit evidence</w:t>
      </w:r>
      <w:r>
        <w:t xml:space="preserve"> </w:t>
      </w:r>
      <w:r>
        <w:t xml:space="preserve">|     9: Compare observed decision with expected decision</w:t>
      </w:r>
      <w:r>
        <w:t xml:space="preserve"> </w:t>
      </w:r>
      <w:r>
        <w:t xml:space="preserve">|     10: Record pass or failure result</w:t>
      </w:r>
      <w:r>
        <w:t xml:space="preserve"> </w:t>
      </w:r>
      <w:r>
        <w:t xml:space="preserve">| 11:</w:t>
      </w:r>
      <w:r>
        <w:t xml:space="preserve"> </w:t>
      </w:r>
      <w:r>
        <w:rPr>
          <w:b/>
          <w:bCs/>
        </w:rPr>
        <w:t xml:space="preserve">end for</w:t>
      </w:r>
      <w:r>
        <w:t xml:space="preserve"> </w:t>
      </w:r>
      <w:r>
        <w:t xml:space="preserve">| 12: Evaluate soundness property</w:t>
      </w:r>
      <w:r>
        <w:t xml:space="preserve"> </w:t>
      </w:r>
      <w:r>
        <w:t xml:space="preserve">| 13: Evaluate denial property</w:t>
      </w:r>
      <w:r>
        <w:t xml:space="preserve"> </w:t>
      </w:r>
      <w:r>
        <w:t xml:space="preserve">| 14: Evaluate threshold correctness</w:t>
      </w:r>
      <w:r>
        <w:t xml:space="preserve"> </w:t>
      </w:r>
      <w:r>
        <w:t xml:space="preserve">| 15: Evaluate policy-scope enforcement</w:t>
      </w:r>
      <w:r>
        <w:t xml:space="preserve"> </w:t>
      </w:r>
      <w:r>
        <w:t xml:space="preserve">| 16: Evaluate audit consistency</w:t>
      </w:r>
      <w:r>
        <w:t xml:space="preserve"> </w:t>
      </w:r>
      <w:r>
        <w:t xml:space="preserve">| 17: Analyse failures and limitations</w:t>
      </w:r>
      <w:r>
        <w:t xml:space="preserve"> </w:t>
      </w:r>
      <w:r>
        <w:t xml:space="preserve">| 18:</w:t>
      </w:r>
      <w:r>
        <w:t xml:space="preserve"> </w:t>
      </w:r>
      <w:r>
        <w:rPr>
          <w:b/>
          <w:bCs/>
        </w:rPr>
        <w:t xml:space="preserve">return</w:t>
      </w:r>
      <w:r>
        <w:t xml:space="preserve"> </w:t>
      </w:r>
      <w:r>
        <w:t xml:space="preserve">Validation results</w:t>
      </w:r>
    </w:p>
    <w:p>
      <w:pPr>
        <w:pStyle w:val="BodyText"/>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32"/>
    <w:bookmarkEnd w:id="133"/>
    <w:bookmarkStart w:id="134"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the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current-stage implementation, the operational decision is based on Eq. (6).</w:t>
      </w:r>
    </w:p>
    <w:p>
      <w:pPr>
        <w:pStyle w:val="BodyText"/>
      </w:pPr>
      <w:r>
        <w:t xml:space="preserve">The CA3 extension incorporates temporal and lifecycle conditions, as in Eq. (24).</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34"/>
    <w:bookmarkEnd w:id="135"/>
    <w:bookmarkStart w:id="167"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of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6"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6"/>
    <w:bookmarkStart w:id="140"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86400" cy="3834534"/>
            <wp:effectExtent b="0" l="0" r="0" t="0"/>
            <wp:docPr descr="Figure 7.1: HALAH patient subsystem – Create Smart Consent Contract" title="" id="138" name="Picture"/>
            <a:graphic>
              <a:graphicData uri="http://schemas.openxmlformats.org/drawingml/2006/picture">
                <pic:pic>
                  <pic:nvPicPr>
                    <pic:cNvPr descr="halah_media/media/image1.png" id="139" name="Picture"/>
                    <pic:cNvPicPr>
                      <a:picLocks noChangeArrowheads="1" noChangeAspect="1"/>
                    </pic:cNvPicPr>
                  </pic:nvPicPr>
                  <pic:blipFill>
                    <a:blip r:embed="rId137"/>
                    <a:stretch>
                      <a:fillRect/>
                    </a:stretch>
                  </pic:blipFill>
                  <pic:spPr bwMode="auto">
                    <a:xfrm>
                      <a:off x="0" y="0"/>
                      <a:ext cx="5486400" cy="3834534"/>
                    </a:xfrm>
                    <a:prstGeom prst="rect">
                      <a:avLst/>
                    </a:prstGeom>
                    <a:noFill/>
                    <a:ln w="9525">
                      <a:noFill/>
                      <a:headEnd/>
                      <a:tailEnd/>
                    </a:ln>
                  </pic:spPr>
                </pic:pic>
              </a:graphicData>
            </a:graphic>
          </wp:inline>
        </w:drawing>
      </w:r>
    </w:p>
    <w:p>
      <w:pPr>
        <w:pStyle w:val="ImageCaption"/>
      </w:pPr>
      <w:r>
        <w:t xml:space="preserve">Figure 7.1: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40"/>
    <w:bookmarkStart w:id="144"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it operationalises the multi-party authorisation component of the proposed framework.</w:t>
      </w:r>
    </w:p>
    <w:p>
      <w:pPr>
        <w:pStyle w:val="CaptionedFigure"/>
      </w:pPr>
      <w:r>
        <w:drawing>
          <wp:inline>
            <wp:extent cx="5486400" cy="3843027"/>
            <wp:effectExtent b="0" l="0" r="0" t="0"/>
            <wp:docPr descr="Figure 7.2: HALAH guardian subsystem – Guardian Cryptographic Approval" title="" id="142" name="Picture"/>
            <a:graphic>
              <a:graphicData uri="http://schemas.openxmlformats.org/drawingml/2006/picture">
                <pic:pic>
                  <pic:nvPicPr>
                    <pic:cNvPr descr="halah_media/media/image2.png" id="143" name="Picture"/>
                    <pic:cNvPicPr>
                      <a:picLocks noChangeArrowheads="1" noChangeAspect="1"/>
                    </pic:cNvPicPr>
                  </pic:nvPicPr>
                  <pic:blipFill>
                    <a:blip r:embed="rId141"/>
                    <a:stretch>
                      <a:fillRect/>
                    </a:stretch>
                  </pic:blipFill>
                  <pic:spPr bwMode="auto">
                    <a:xfrm>
                      <a:off x="0" y="0"/>
                      <a:ext cx="5486400" cy="3843027"/>
                    </a:xfrm>
                    <a:prstGeom prst="rect">
                      <a:avLst/>
                    </a:prstGeom>
                    <a:noFill/>
                    <a:ln w="9525">
                      <a:noFill/>
                      <a:headEnd/>
                      <a:tailEnd/>
                    </a:ln>
                  </pic:spPr>
                </pic:pic>
              </a:graphicData>
            </a:graphic>
          </wp:inline>
        </w:drawing>
      </w:r>
    </w:p>
    <w:p>
      <w:pPr>
        <w:pStyle w:val="ImageCaption"/>
      </w:pPr>
      <w:r>
        <w:t xml:space="preserve">Figure 7.2: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44"/>
    <w:bookmarkStart w:id="151"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86400" cy="5032030"/>
            <wp:effectExtent b="0" l="0" r="0" t="0"/>
            <wp:docPr descr="Figure 7.3: HALAH doctor subsystem – consent information, state and authorised data scope" title="" id="146" name="Picture"/>
            <a:graphic>
              <a:graphicData uri="http://schemas.openxmlformats.org/drawingml/2006/picture">
                <pic:pic>
                  <pic:nvPicPr>
                    <pic:cNvPr descr="halah_media/media/image3.png" id="147" name="Picture"/>
                    <pic:cNvPicPr>
                      <a:picLocks noChangeArrowheads="1" noChangeAspect="1"/>
                    </pic:cNvPicPr>
                  </pic:nvPicPr>
                  <pic:blipFill>
                    <a:blip r:embed="rId145"/>
                    <a:stretch>
                      <a:fillRect/>
                    </a:stretch>
                  </pic:blipFill>
                  <pic:spPr bwMode="auto">
                    <a:xfrm>
                      <a:off x="0" y="0"/>
                      <a:ext cx="5486400" cy="5032030"/>
                    </a:xfrm>
                    <a:prstGeom prst="rect">
                      <a:avLst/>
                    </a:prstGeom>
                    <a:noFill/>
                    <a:ln w="9525">
                      <a:noFill/>
                      <a:headEnd/>
                      <a:tailEnd/>
                    </a:ln>
                  </pic:spPr>
                </pic:pic>
              </a:graphicData>
            </a:graphic>
          </wp:inline>
        </w:drawing>
      </w:r>
    </w:p>
    <w:p>
      <w:pPr>
        <w:pStyle w:val="ImageCaption"/>
      </w:pPr>
      <w:r>
        <w:t xml:space="preserve">Figure 7.3: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r>
        <w:t xml:space="preserve"> </w:t>
      </w:r>
      <w:r>
        <w:rPr>
          <w:rStyle w:val="OrangeFix"/>
        </w:rPr>
        <w:t xml:space="preserve">In version 1 the</w:t>
      </w:r>
      <w:r>
        <w:rPr>
          <w:rStyle w:val="OrangeFix"/>
        </w:rPr>
        <w:t xml:space="preserve"> </w:t>
      </w:r>
      <w:r>
        <w:rPr>
          <w:rStyle w:val="OrangeFix"/>
          <w:i/>
          <w:iCs/>
        </w:rPr>
        <w:t xml:space="preserve">Execute Zero-Knowledge Access</w:t>
      </w:r>
      <w:r>
        <w:rPr>
          <w:rStyle w:val="OrangeFix"/>
        </w:rPr>
        <w:t xml:space="preserve"> </w:t>
      </w:r>
      <w:r>
        <w:rPr>
          <w:rStyle w:val="OrangeFix"/>
        </w:rPr>
        <w:t xml:space="preserve">button in Figure 7.4 invokes this verification step; the zero-knowledge proof itself is a placeholder until the circuit is built (Section 7.13).</w:t>
      </w:r>
    </w:p>
    <w:p>
      <w:pPr>
        <w:pStyle w:val="BodyText"/>
      </w:pPr>
      <w:r>
        <w:t xml:space="preserve">The message shows Cryptographic Verification Successful — Access Granted.</w:t>
      </w:r>
    </w:p>
    <w:p>
      <w:pPr>
        <w:pStyle w:val="BodyText"/>
      </w:pPr>
      <w:r>
        <w:t xml:space="preserve">This 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86400" cy="3060627"/>
            <wp:effectExtent b="0" l="0" r="0" t="0"/>
            <wp:docPr descr="Figure 7.4: HALAH doctor subsystem – requested modules, access decision and authorised medical records" title="" id="149" name="Picture"/>
            <a:graphic>
              <a:graphicData uri="http://schemas.openxmlformats.org/drawingml/2006/picture">
                <pic:pic>
                  <pic:nvPicPr>
                    <pic:cNvPr descr="halah_media/media/image4.png" id="150" name="Picture"/>
                    <pic:cNvPicPr>
                      <a:picLocks noChangeArrowheads="1" noChangeAspect="1"/>
                    </pic:cNvPicPr>
                  </pic:nvPicPr>
                  <pic:blipFill>
                    <a:blip r:embed="rId148"/>
                    <a:stretch>
                      <a:fillRect/>
                    </a:stretch>
                  </pic:blipFill>
                  <pic:spPr bwMode="auto">
                    <a:xfrm>
                      <a:off x="0" y="0"/>
                      <a:ext cx="5486400" cy="3060627"/>
                    </a:xfrm>
                    <a:prstGeom prst="rect">
                      <a:avLst/>
                    </a:prstGeom>
                    <a:noFill/>
                    <a:ln w="9525">
                      <a:noFill/>
                      <a:headEnd/>
                      <a:tailEnd/>
                    </a:ln>
                  </pic:spPr>
                </pic:pic>
              </a:graphicData>
            </a:graphic>
          </wp:inline>
        </w:drawing>
      </w:r>
    </w:p>
    <w:p>
      <w:pPr>
        <w:pStyle w:val="ImageCaption"/>
      </w:pPr>
      <w:r>
        <w:t xml:space="preserve">Figure 7.4: HALAH doctor subsystem – requested modules, access decision and authorised medical records</w:t>
      </w:r>
    </w:p>
    <w:p>
      <w:pPr>
        <w:pStyle w:val="BodyText"/>
      </w:pPr>
      <w:r>
        <w:t xml:space="preserve">This distinction is central to the HALAH design. Consent and data access are not treated as identical events. Instead, the flow goes as below</w:t>
      </w:r>
      <w:r>
        <w:rPr>
          <w:rStyle w:val="OrangeFix"/>
        </w:rPr>
        <w:t xml:space="preserve">:</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51"/>
    <w:bookmarkStart w:id="155"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4453128" cy="7686126"/>
            <wp:effectExtent b="0" l="0" r="0" t="0"/>
            <wp:docPr descr="Figure 7.5: HALAH auditor subsystem – Blockchain Audit &amp; Consent Lifecycle" title="" id="153" name="Picture"/>
            <a:graphic>
              <a:graphicData uri="http://schemas.openxmlformats.org/drawingml/2006/picture">
                <pic:pic>
                  <pic:nvPicPr>
                    <pic:cNvPr descr="halah_media/media/image5.png" id="154" name="Picture"/>
                    <pic:cNvPicPr>
                      <a:picLocks noChangeArrowheads="1" noChangeAspect="1"/>
                    </pic:cNvPicPr>
                  </pic:nvPicPr>
                  <pic:blipFill>
                    <a:blip r:embed="rId152"/>
                    <a:stretch>
                      <a:fillRect/>
                    </a:stretch>
                  </pic:blipFill>
                  <pic:spPr bwMode="auto">
                    <a:xfrm>
                      <a:off x="0" y="0"/>
                      <a:ext cx="4453128" cy="7686126"/>
                    </a:xfrm>
                    <a:prstGeom prst="rect">
                      <a:avLst/>
                    </a:prstGeom>
                    <a:noFill/>
                    <a:ln w="9525">
                      <a:noFill/>
                      <a:headEnd/>
                      <a:tailEnd/>
                    </a:ln>
                  </pic:spPr>
                </pic:pic>
              </a:graphicData>
            </a:graphic>
          </wp:inline>
        </w:drawing>
      </w:r>
    </w:p>
    <w:p>
      <w:pPr>
        <w:pStyle w:val="ImageCaption"/>
      </w:pPr>
      <w:r>
        <w:t xml:space="preserve">Figure 7.5: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OrangeDeletePara"/>
      </w:pPr>
      <w:r>
        <w:rPr>
          <w:rStyle w:val="OrangeDelete"/>
        </w:rPr>
        <w:t xml:space="preserve">More importantly, the</w:t>
      </w:r>
      <w:r>
        <w:rPr>
          <w:rStyle w:val="OrangeDelete"/>
        </w:rPr>
        <w:t xml:space="preserve"> </w:t>
      </w:r>
      <w:r>
        <w:rPr>
          <w:rStyle w:val="OrangeDelete"/>
          <w:b/>
          <w:bCs/>
        </w:rPr>
        <w:t xml:space="preserve">Consent Lifecycle</w:t>
      </w:r>
      <w:r>
        <w:rPr>
          <w:rStyle w:val="OrangeDelete"/>
        </w:rPr>
        <w:t xml:space="preserve"> </w:t>
      </w:r>
      <w:r>
        <w:rPr>
          <w:rStyle w:val="OrangeDelete"/>
        </w:rPr>
        <w:t xml:space="preserve">section reconstructs the sequence of events associated with a particular consent. The displayed records include:</w:t>
      </w:r>
      <w:r>
        <w:rPr>
          <w:rStyle w:val="OrangeDelete"/>
        </w:rPr>
        <w:t xml:space="preserve"> </w:t>
      </w:r>
      <m:oMath>
        <m:r>
          <w:rPr>
            <w:color w:val="E36C09"/>
            <w:strike/>
          </w:rPr>
          <m:t>C</m:t>
        </m:r>
        <m:r>
          <w:rPr>
            <w:color w:val="E36C09"/>
            <w:strike/>
          </w:rPr>
          <m:t>R</m:t>
        </m:r>
        <m:r>
          <w:rPr>
            <w:color w:val="E36C09"/>
            <w:strike/>
          </w:rPr>
          <m:t>E</m:t>
        </m:r>
        <m:r>
          <w:rPr>
            <w:color w:val="E36C09"/>
            <w:strike/>
          </w:rPr>
          <m:t>A</m:t>
        </m:r>
        <m:r>
          <w:rPr>
            <w:color w:val="E36C09"/>
            <w:strike/>
          </w:rPr>
          <m:t>T</m:t>
        </m:r>
        <m:r>
          <w:rPr>
            <w:color w:val="E36C09"/>
            <w:strike/>
          </w:rPr>
          <m:t>E</m:t>
        </m:r>
        <m:r>
          <m:rPr>
            <m:nor/>
          </m:rPr>
          <w:rPr>
            <w:color w:val="E36C09"/>
            <w:strike/>
          </w:rPr>
          <m:t>_</m:t>
        </m:r>
        <m:r>
          <w:rPr>
            <w:color w:val="E36C09"/>
            <w:strike/>
          </w:rPr>
          <m:t>C</m:t>
        </m:r>
        <m:r>
          <w:rPr>
            <w:color w:val="E36C09"/>
            <w:strike/>
          </w:rPr>
          <m:t>O</m:t>
        </m:r>
        <m:r>
          <w:rPr>
            <w:color w:val="E36C09"/>
            <w:strike/>
          </w:rPr>
          <m:t>N</m:t>
        </m:r>
        <m:r>
          <w:rPr>
            <w:color w:val="E36C09"/>
            <w:strike/>
          </w:rPr>
          <m:t>S</m:t>
        </m:r>
        <m:r>
          <w:rPr>
            <w:color w:val="E36C09"/>
            <w:strike/>
          </w:rPr>
          <m:t>E</m:t>
        </m:r>
        <m:r>
          <w:rPr>
            <w:color w:val="E36C09"/>
            <w:strike/>
          </w:rPr>
          <m:t>N</m:t>
        </m:r>
        <m:r>
          <w:rPr>
            <w:color w:val="E36C09"/>
            <w:strike/>
          </w:rPr>
          <m:t>T</m:t>
        </m:r>
      </m:oMath>
    </w:p>
    <w:p>
      <w:pPr>
        <w:pStyle w:val="OrangeDeletePara"/>
      </w:pPr>
      <w:r>
        <w:rPr>
          <w:rStyle w:val="OrangeDelete"/>
        </w:rPr>
        <w:t xml:space="preserve">performed by the patient, followed by:</w:t>
      </w:r>
      <w:r>
        <w:rPr>
          <w:rStyle w:val="OrangeDelete"/>
        </w:rPr>
        <w:t xml:space="preserve"> </w:t>
      </w:r>
      <m:oMath>
        <m:r>
          <w:rPr>
            <w:color w:val="E36C09"/>
            <w:strike/>
          </w:rPr>
          <m:t>S</m:t>
        </m:r>
        <m:r>
          <w:rPr>
            <w:color w:val="E36C09"/>
            <w:strike/>
          </w:rPr>
          <m:t>I</m:t>
        </m:r>
        <m:r>
          <w:rPr>
            <w:color w:val="E36C09"/>
            <w:strike/>
          </w:rPr>
          <m:t>G</m:t>
        </m:r>
        <m:r>
          <w:rPr>
            <w:color w:val="E36C09"/>
            <w:strike/>
          </w:rPr>
          <m:t>N</m:t>
        </m:r>
        <m:r>
          <m:rPr>
            <m:nor/>
          </m:rPr>
          <w:rPr>
            <w:color w:val="E36C09"/>
            <w:strike/>
          </w:rPr>
          <m:t>_</m:t>
        </m:r>
        <m:r>
          <w:rPr>
            <w:color w:val="E36C09"/>
            <w:strike/>
          </w:rPr>
          <m:t>C</m:t>
        </m:r>
        <m:r>
          <w:rPr>
            <w:color w:val="E36C09"/>
            <w:strike/>
          </w:rPr>
          <m:t>O</m:t>
        </m:r>
        <m:r>
          <w:rPr>
            <w:color w:val="E36C09"/>
            <w:strike/>
          </w:rPr>
          <m:t>N</m:t>
        </m:r>
        <m:r>
          <w:rPr>
            <w:color w:val="E36C09"/>
            <w:strike/>
          </w:rPr>
          <m:t>S</m:t>
        </m:r>
        <m:r>
          <w:rPr>
            <w:color w:val="E36C09"/>
            <w:strike/>
          </w:rPr>
          <m:t>E</m:t>
        </m:r>
        <m:r>
          <w:rPr>
            <w:color w:val="E36C09"/>
            <w:strike/>
          </w:rPr>
          <m:t>N</m:t>
        </m:r>
        <m:r>
          <w:rPr>
            <w:color w:val="E36C09"/>
            <w:strike/>
          </w:rPr>
          <m:t>T</m:t>
        </m:r>
      </m:oMath>
    </w:p>
    <w:p>
      <w:pPr>
        <w:pStyle w:val="OrangeDeletePara"/>
      </w:pPr>
      <w:r>
        <w:rPr>
          <w:rStyle w:val="OrangeDelete"/>
        </w:rPr>
        <w:t xml:space="preserve">performed by the guardians, followed by:</w:t>
      </w:r>
      <w:r>
        <w:rPr>
          <w:rStyle w:val="OrangeDelete"/>
        </w:rPr>
        <w:t xml:space="preserve"> </w:t>
      </w:r>
      <m:oMath>
        <m:r>
          <w:rPr>
            <w:color w:val="E36C09"/>
            <w:strike/>
          </w:rPr>
          <m:t>M</m:t>
        </m:r>
        <m:r>
          <w:rPr>
            <w:color w:val="E36C09"/>
            <w:strike/>
          </w:rPr>
          <m:t>I</m:t>
        </m:r>
        <m:r>
          <w:rPr>
            <w:color w:val="E36C09"/>
            <w:strike/>
          </w:rPr>
          <m:t>N</m:t>
        </m:r>
        <m:r>
          <w:rPr>
            <w:color w:val="E36C09"/>
            <w:strike/>
          </w:rPr>
          <m:t>T</m:t>
        </m:r>
        <m:r>
          <m:rPr>
            <m:nor/>
          </m:rPr>
          <w:rPr>
            <w:color w:val="E36C09"/>
            <w:strike/>
          </w:rPr>
          <m:t>_</m:t>
        </m:r>
        <m:r>
          <w:rPr>
            <w:color w:val="E36C09"/>
            <w:strike/>
          </w:rPr>
          <m:t>S</m:t>
        </m:r>
        <m:r>
          <w:rPr>
            <w:color w:val="E36C09"/>
            <w:strike/>
          </w:rPr>
          <m:t>B</m:t>
        </m:r>
        <m:r>
          <w:rPr>
            <w:color w:val="E36C09"/>
            <w:strike/>
          </w:rPr>
          <m:t>T</m:t>
        </m:r>
      </m:oMath>
    </w:p>
    <w:p>
      <w:pPr>
        <w:pStyle w:val="OrangeDeletePara"/>
      </w:pPr>
      <w:r>
        <w:rPr>
          <w:rStyle w:val="OrangeDelete"/>
        </w:rPr>
        <w:t xml:space="preserve">performed by the smart contract.</w:t>
      </w:r>
    </w:p>
    <w:p>
      <w:pPr>
        <w:pStyle w:val="OrangeDeletePara"/>
      </w:pPr>
      <w:r>
        <w:rPr>
          <w:rStyle w:val="OrangeDelete"/>
        </w:rPr>
        <w:t xml:space="preserve">The subsequent system events:</w:t>
      </w:r>
      <w:r>
        <w:rPr>
          <w:rStyle w:val="OrangeDelete"/>
        </w:rPr>
        <w:t xml:space="preserve"> </w:t>
      </w:r>
      <m:oMath>
        <m:r>
          <w:rPr>
            <w:color w:val="E36C09"/>
            <w:strike/>
          </w:rPr>
          <m:t>S</m:t>
        </m:r>
        <m:r>
          <w:rPr>
            <w:color w:val="E36C09"/>
            <w:strike/>
          </w:rPr>
          <m:t>T</m:t>
        </m:r>
        <m:r>
          <w:rPr>
            <w:color w:val="E36C09"/>
            <w:strike/>
          </w:rPr>
          <m:t>A</m:t>
        </m:r>
        <m:r>
          <w:rPr>
            <w:color w:val="E36C09"/>
            <w:strike/>
          </w:rPr>
          <m:t>T</m:t>
        </m:r>
        <m:r>
          <w:rPr>
            <w:color w:val="E36C09"/>
            <w:strike/>
          </w:rPr>
          <m:t>E</m:t>
        </m:r>
        <m:r>
          <m:rPr>
            <m:nor/>
          </m:rPr>
          <w:rPr>
            <w:color w:val="E36C09"/>
            <w:strike/>
          </w:rPr>
          <m:t>_</m:t>
        </m:r>
        <m:r>
          <w:rPr>
            <w:color w:val="E36C09"/>
            <w:strike/>
          </w:rPr>
          <m:t>C</m:t>
        </m:r>
        <m:r>
          <w:rPr>
            <w:color w:val="E36C09"/>
            <w:strike/>
          </w:rPr>
          <m:t>H</m:t>
        </m:r>
        <m:r>
          <w:rPr>
            <w:color w:val="E36C09"/>
            <w:strike/>
          </w:rPr>
          <m:t>E</m:t>
        </m:r>
        <m:r>
          <w:rPr>
            <w:color w:val="E36C09"/>
            <w:strike/>
          </w:rPr>
          <m:t>C</m:t>
        </m:r>
        <m:r>
          <w:rPr>
            <w:color w:val="E36C09"/>
            <w:strike/>
          </w:rPr>
          <m:t>K</m:t>
        </m:r>
      </m:oMath>
    </w:p>
    <w:p>
      <w:pPr>
        <w:pStyle w:val="OrangeDeletePara"/>
      </w:pPr>
      <w:r>
        <w:rPr>
          <w:rStyle w:val="OrangeDelete"/>
        </w:rPr>
        <w:t xml:space="preserve">demonstrate that the Consent Engine continuously evaluates the state of the authorisation. Finally, the doctor generates:</w:t>
      </w:r>
      <w:r>
        <w:rPr>
          <w:rStyle w:val="OrangeDelete"/>
        </w:rPr>
        <w:t xml:space="preserve"> </w:t>
      </w:r>
      <m:oMath>
        <m:r>
          <w:rPr>
            <w:color w:val="E36C09"/>
            <w:strike/>
          </w:rPr>
          <m:t>D</m:t>
        </m:r>
        <m:r>
          <w:rPr>
            <w:color w:val="E36C09"/>
            <w:strike/>
          </w:rPr>
          <m:t>A</m:t>
        </m:r>
        <m:r>
          <w:rPr>
            <w:color w:val="E36C09"/>
            <w:strike/>
          </w:rPr>
          <m:t>T</m:t>
        </m:r>
        <m:r>
          <w:rPr>
            <w:color w:val="E36C09"/>
            <w:strike/>
          </w:rPr>
          <m:t>A</m:t>
        </m:r>
        <m:r>
          <m:rPr>
            <m:nor/>
          </m:rPr>
          <w:rPr>
            <w:color w:val="E36C09"/>
            <w:strike/>
          </w:rPr>
          <m:t>_</m:t>
        </m:r>
        <m:r>
          <w:rPr>
            <w:color w:val="E36C09"/>
            <w:strike/>
          </w:rPr>
          <m:t>A</m:t>
        </m:r>
        <m:r>
          <w:rPr>
            <w:color w:val="E36C09"/>
            <w:strike/>
          </w:rPr>
          <m:t>C</m:t>
        </m:r>
        <m:r>
          <w:rPr>
            <w:color w:val="E36C09"/>
            <w:strike/>
          </w:rPr>
          <m:t>C</m:t>
        </m:r>
        <m:r>
          <w:rPr>
            <w:color w:val="E36C09"/>
            <w:strike/>
          </w:rPr>
          <m:t>E</m:t>
        </m:r>
        <m:r>
          <w:rPr>
            <w:color w:val="E36C09"/>
            <w:strike/>
          </w:rPr>
          <m:t>S</m:t>
        </m:r>
        <m:r>
          <w:rPr>
            <w:color w:val="E36C09"/>
            <w:strike/>
          </w:rPr>
          <m:t>S</m:t>
        </m:r>
      </m:oMath>
    </w:p>
    <w:p>
      <w:pPr>
        <w:pStyle w:val="OrangeDeletePara"/>
      </w:pPr>
      <w:r>
        <w:rPr>
          <w:rStyle w:val="OrangeDelete"/>
        </w:rPr>
        <w:t xml:space="preserve">with the result:</w:t>
      </w:r>
      <w:r>
        <w:rPr>
          <w:rStyle w:val="OrangeDelete"/>
        </w:rPr>
        <w:t xml:space="preserve"> </w:t>
      </w:r>
      <m:oMath>
        <m:r>
          <w:rPr>
            <w:color w:val="E36C09"/>
            <w:strike/>
          </w:rPr>
          <m:t>G</m:t>
        </m:r>
        <m:r>
          <w:rPr>
            <w:color w:val="E36C09"/>
            <w:strike/>
          </w:rPr>
          <m:t>R</m:t>
        </m:r>
        <m:r>
          <w:rPr>
            <w:color w:val="E36C09"/>
            <w:strike/>
          </w:rPr>
          <m:t>A</m:t>
        </m:r>
        <m:r>
          <w:rPr>
            <w:color w:val="E36C09"/>
            <w:strike/>
          </w:rPr>
          <m:t>N</m:t>
        </m:r>
        <m:r>
          <w:rPr>
            <w:color w:val="E36C09"/>
            <w:strike/>
          </w:rPr>
          <m:t>T</m:t>
        </m:r>
        <m:r>
          <w:rPr>
            <w:color w:val="E36C09"/>
            <w:strike/>
          </w:rPr>
          <m:t>E</m:t>
        </m:r>
        <m:r>
          <w:rPr>
            <w:color w:val="E36C09"/>
            <w:strike/>
          </w:rPr>
          <m:t>D</m:t>
        </m:r>
      </m:oMath>
      <w:r>
        <w:rPr>
          <w:rStyle w:val="OrangeDelete"/>
        </w:rPr>
        <w:t xml:space="preserve">.</w:t>
      </w:r>
    </w:p>
    <w:p>
      <w:pPr>
        <w:pStyle w:val="OrangeFixPara"/>
      </w:pPr>
      <w:r>
        <w:rPr>
          <w:rStyle w:val="OrangeFix"/>
        </w:rPr>
        <w:t xml:space="preserve">More importantly, the</w:t>
      </w:r>
      <w:r>
        <w:rPr>
          <w:rStyle w:val="OrangeFix"/>
        </w:rPr>
        <w:t xml:space="preserve"> </w:t>
      </w:r>
      <w:r>
        <w:rPr>
          <w:rStyle w:val="OrangeFix"/>
          <w:b/>
          <w:bCs/>
        </w:rPr>
        <w:t xml:space="preserve">Consent Lifecycle</w:t>
      </w:r>
      <w:r>
        <w:rPr>
          <w:rStyle w:val="OrangeFix"/>
        </w:rPr>
        <w:t xml:space="preserve"> </w:t>
      </w:r>
      <w:r>
        <w:rPr>
          <w:rStyle w:val="OrangeFix"/>
        </w:rPr>
        <w:t xml:space="preserve">section reconstructs the sequence of events associated with a particular consent. The recorded events are</w:t>
      </w:r>
      <w:r>
        <w:rPr>
          <w:rStyle w:val="OrangeFix"/>
        </w:rPr>
        <w:t xml:space="preserve"> </w:t>
      </w:r>
      <m:oMath>
        <m:r>
          <w:rPr>
            <w:color w:val="E36C09"/>
          </w:rPr>
          <m:t>C</m:t>
        </m:r>
        <m:r>
          <w:rPr>
            <w:color w:val="E36C09"/>
          </w:rPr>
          <m:t>R</m:t>
        </m:r>
        <m:r>
          <w:rPr>
            <w:color w:val="E36C09"/>
          </w:rPr>
          <m:t>E</m:t>
        </m:r>
        <m:r>
          <w:rPr>
            <w:color w:val="E36C09"/>
          </w:rPr>
          <m:t>A</m:t>
        </m:r>
        <m:r>
          <w:rPr>
            <w:color w:val="E36C09"/>
          </w:rPr>
          <m:t>T</m:t>
        </m:r>
        <m:r>
          <w:rPr>
            <w:color w:val="E36C09"/>
          </w:rPr>
          <m:t>E</m:t>
        </m:r>
        <m:r>
          <m:rPr>
            <m:nor/>
          </m:rPr>
          <w:rPr>
            <w:color w:val="E36C09"/>
          </w:rPr>
          <m:t>_</m:t>
        </m:r>
        <m:r>
          <w:rPr>
            <w:color w:val="E36C09"/>
          </w:rPr>
          <m:t>C</m:t>
        </m:r>
        <m:r>
          <w:rPr>
            <w:color w:val="E36C09"/>
          </w:rPr>
          <m:t>O</m:t>
        </m:r>
        <m:r>
          <w:rPr>
            <w:color w:val="E36C09"/>
          </w:rPr>
          <m:t>N</m:t>
        </m:r>
        <m:r>
          <w:rPr>
            <w:color w:val="E36C09"/>
          </w:rPr>
          <m:t>S</m:t>
        </m:r>
        <m:r>
          <w:rPr>
            <w:color w:val="E36C09"/>
          </w:rPr>
          <m:t>E</m:t>
        </m:r>
        <m:r>
          <w:rPr>
            <w:color w:val="E36C09"/>
          </w:rPr>
          <m:t>N</m:t>
        </m:r>
        <m:r>
          <w:rPr>
            <w:color w:val="E36C09"/>
          </w:rPr>
          <m:t>T</m:t>
        </m:r>
      </m:oMath>
      <w:r>
        <w:rPr>
          <w:rStyle w:val="OrangeFix"/>
        </w:rPr>
        <w:t xml:space="preserve">, performed by the patient, followed by</w:t>
      </w:r>
      <w:r>
        <w:rPr>
          <w:rStyle w:val="OrangeFix"/>
        </w:rPr>
        <w:t xml:space="preserve"> </w:t>
      </w:r>
      <m:oMath>
        <m:r>
          <w:rPr>
            <w:color w:val="E36C09"/>
          </w:rPr>
          <m:t>S</m:t>
        </m:r>
        <m:r>
          <w:rPr>
            <w:color w:val="E36C09"/>
          </w:rPr>
          <m:t>I</m:t>
        </m:r>
        <m:r>
          <w:rPr>
            <w:color w:val="E36C09"/>
          </w:rPr>
          <m:t>G</m:t>
        </m:r>
        <m:r>
          <w:rPr>
            <w:color w:val="E36C09"/>
          </w:rPr>
          <m:t>N</m:t>
        </m:r>
        <m:r>
          <m:rPr>
            <m:nor/>
          </m:rPr>
          <w:rPr>
            <w:color w:val="E36C09"/>
          </w:rPr>
          <m:t>_</m:t>
        </m:r>
        <m:r>
          <w:rPr>
            <w:color w:val="E36C09"/>
          </w:rPr>
          <m:t>C</m:t>
        </m:r>
        <m:r>
          <w:rPr>
            <w:color w:val="E36C09"/>
          </w:rPr>
          <m:t>O</m:t>
        </m:r>
        <m:r>
          <w:rPr>
            <w:color w:val="E36C09"/>
          </w:rPr>
          <m:t>N</m:t>
        </m:r>
        <m:r>
          <w:rPr>
            <w:color w:val="E36C09"/>
          </w:rPr>
          <m:t>S</m:t>
        </m:r>
        <m:r>
          <w:rPr>
            <w:color w:val="E36C09"/>
          </w:rPr>
          <m:t>E</m:t>
        </m:r>
        <m:r>
          <w:rPr>
            <w:color w:val="E36C09"/>
          </w:rPr>
          <m:t>N</m:t>
        </m:r>
        <m:r>
          <w:rPr>
            <w:color w:val="E36C09"/>
          </w:rPr>
          <m:t>T</m:t>
        </m:r>
      </m:oMath>
      <w:r>
        <w:rPr>
          <w:rStyle w:val="OrangeFix"/>
        </w:rPr>
        <w:t xml:space="preserve">, performed by each guardian, and</w:t>
      </w:r>
      <w:r>
        <w:rPr>
          <w:rStyle w:val="OrangeFix"/>
        </w:rPr>
        <w:t xml:space="preserve"> </w:t>
      </w:r>
      <m:oMath>
        <m:r>
          <w:rPr>
            <w:color w:val="E36C09"/>
          </w:rPr>
          <m:t>M</m:t>
        </m:r>
        <m:r>
          <w:rPr>
            <w:color w:val="E36C09"/>
          </w:rPr>
          <m:t>I</m:t>
        </m:r>
        <m:r>
          <w:rPr>
            <w:color w:val="E36C09"/>
          </w:rPr>
          <m:t>N</m:t>
        </m:r>
        <m:r>
          <w:rPr>
            <w:color w:val="E36C09"/>
          </w:rPr>
          <m:t>T</m:t>
        </m:r>
        <m:r>
          <m:rPr>
            <m:nor/>
          </m:rPr>
          <w:rPr>
            <w:color w:val="E36C09"/>
          </w:rPr>
          <m:t>_</m:t>
        </m:r>
        <m:r>
          <w:rPr>
            <w:color w:val="E36C09"/>
          </w:rPr>
          <m:t>S</m:t>
        </m:r>
        <m:r>
          <w:rPr>
            <w:color w:val="E36C09"/>
          </w:rPr>
          <m:t>B</m:t>
        </m:r>
        <m:r>
          <w:rPr>
            <w:color w:val="E36C09"/>
          </w:rPr>
          <m:t>T</m:t>
        </m:r>
      </m:oMath>
      <w:r>
        <w:rPr>
          <w:rStyle w:val="OrangeFix"/>
        </w:rPr>
        <w:t xml:space="preserve">, performed by the smart contract. The subsequent system events,</w:t>
      </w:r>
      <w:r>
        <w:rPr>
          <w:rStyle w:val="OrangeFix"/>
        </w:rPr>
        <w:t xml:space="preserve"> </w:t>
      </w:r>
      <m:oMath>
        <m:r>
          <w:rPr>
            <w:color w:val="E36C09"/>
          </w:rPr>
          <m:t>S</m:t>
        </m:r>
        <m:r>
          <w:rPr>
            <w:color w:val="E36C09"/>
          </w:rPr>
          <m:t>T</m:t>
        </m:r>
        <m:r>
          <w:rPr>
            <w:color w:val="E36C09"/>
          </w:rPr>
          <m:t>A</m:t>
        </m:r>
        <m:r>
          <w:rPr>
            <w:color w:val="E36C09"/>
          </w:rPr>
          <m:t>T</m:t>
        </m:r>
        <m:r>
          <w:rPr>
            <w:color w:val="E36C09"/>
          </w:rPr>
          <m:t>E</m:t>
        </m:r>
        <m:r>
          <m:rPr>
            <m:nor/>
          </m:rPr>
          <w:rPr>
            <w:color w:val="E36C09"/>
          </w:rPr>
          <m:t>_</m:t>
        </m:r>
        <m:r>
          <w:rPr>
            <w:color w:val="E36C09"/>
          </w:rPr>
          <m:t>C</m:t>
        </m:r>
        <m:r>
          <w:rPr>
            <w:color w:val="E36C09"/>
          </w:rPr>
          <m:t>H</m:t>
        </m:r>
        <m:r>
          <w:rPr>
            <w:color w:val="E36C09"/>
          </w:rPr>
          <m:t>E</m:t>
        </m:r>
        <m:r>
          <w:rPr>
            <w:color w:val="E36C09"/>
          </w:rPr>
          <m:t>C</m:t>
        </m:r>
        <m:r>
          <w:rPr>
            <w:color w:val="E36C09"/>
          </w:rPr>
          <m:t>K</m:t>
        </m:r>
      </m:oMath>
      <w:r>
        <w:rPr>
          <w:rStyle w:val="OrangeFix"/>
        </w:rPr>
        <w:t xml:space="preserve">, show that the Consent Engine continuously evaluates the state of the authorisation. Finally, the doctor generates</w:t>
      </w:r>
      <w:r>
        <w:rPr>
          <w:rStyle w:val="OrangeFix"/>
        </w:rPr>
        <w:t xml:space="preserve"> </w:t>
      </w:r>
      <m:oMath>
        <m:r>
          <w:rPr>
            <w:color w:val="E36C09"/>
          </w:rPr>
          <m:t>D</m:t>
        </m:r>
        <m:r>
          <w:rPr>
            <w:color w:val="E36C09"/>
          </w:rPr>
          <m:t>A</m:t>
        </m:r>
        <m:r>
          <w:rPr>
            <w:color w:val="E36C09"/>
          </w:rPr>
          <m:t>T</m:t>
        </m:r>
        <m:r>
          <w:rPr>
            <w:color w:val="E36C09"/>
          </w:rPr>
          <m:t>A</m:t>
        </m:r>
        <m:r>
          <m:rPr>
            <m:nor/>
          </m:rPr>
          <w:rPr>
            <w:color w:val="E36C09"/>
          </w:rPr>
          <m:t>_</m:t>
        </m:r>
        <m:r>
          <w:rPr>
            <w:color w:val="E36C09"/>
          </w:rPr>
          <m:t>A</m:t>
        </m:r>
        <m:r>
          <w:rPr>
            <w:color w:val="E36C09"/>
          </w:rPr>
          <m:t>C</m:t>
        </m:r>
        <m:r>
          <w:rPr>
            <w:color w:val="E36C09"/>
          </w:rPr>
          <m:t>C</m:t>
        </m:r>
        <m:r>
          <w:rPr>
            <w:color w:val="E36C09"/>
          </w:rPr>
          <m:t>E</m:t>
        </m:r>
        <m:r>
          <w:rPr>
            <w:color w:val="E36C09"/>
          </w:rPr>
          <m:t>S</m:t>
        </m:r>
        <m:r>
          <w:rPr>
            <w:color w:val="E36C09"/>
          </w:rPr>
          <m:t>S</m:t>
        </m:r>
      </m:oMath>
      <w:r>
        <w:rPr>
          <w:rStyle w:val="OrangeFix"/>
        </w:rPr>
        <w:t xml:space="preserve"> </w:t>
      </w:r>
      <w:r>
        <w:rPr>
          <w:rStyle w:val="OrangeFix"/>
        </w:rPr>
        <w:t xml:space="preserve">with the result</w:t>
      </w:r>
      <w:r>
        <w:rPr>
          <w:rStyle w:val="OrangeFix"/>
        </w:rPr>
        <w:t xml:space="preserve"> </w:t>
      </w:r>
      <m:oMath>
        <m:r>
          <w:rPr>
            <w:color w:val="E36C09"/>
          </w:rPr>
          <m:t>G</m:t>
        </m:r>
        <m:r>
          <w:rPr>
            <w:color w:val="E36C09"/>
          </w:rPr>
          <m:t>R</m:t>
        </m:r>
        <m:r>
          <w:rPr>
            <w:color w:val="E36C09"/>
          </w:rPr>
          <m:t>A</m:t>
        </m:r>
        <m:r>
          <w:rPr>
            <w:color w:val="E36C09"/>
          </w:rPr>
          <m:t>N</m:t>
        </m:r>
        <m:r>
          <w:rPr>
            <w:color w:val="E36C09"/>
          </w:rPr>
          <m:t>T</m:t>
        </m:r>
        <m:r>
          <w:rPr>
            <w:color w:val="E36C09"/>
          </w:rPr>
          <m:t>E</m:t>
        </m:r>
        <m:r>
          <w:rPr>
            <w:color w:val="E36C09"/>
          </w:rPr>
          <m:t>D</m:t>
        </m:r>
      </m:oMath>
      <w:r>
        <w:rPr>
          <w:rStyle w:val="OrangeFix"/>
        </w:rPr>
        <w:t xml:space="preserve">.</w:t>
      </w:r>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55"/>
    <w:bookmarkStart w:id="156"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bookmarkEnd w:id="156"/>
    <w:bookmarkStart w:id="157"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7"/>
    <w:bookmarkStart w:id="158"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7.1: Correspondence Between Subsystems and the HALAH Framework</w:t>
      </w:r>
    </w:p>
    <w:tbl>
      <w:tblPr>
        <w:tblStyle w:val="Table"/>
        <w:tblW w:type="pct" w:w="5000"/>
        <w:tblLayout w:type="fixed"/>
        <w:tblLook w:firstRow="1" w:lastRow="0" w:firstColumn="0" w:lastColumn="0" w:noHBand="0" w:noVBand="0" w:val="0020"/>
        <w:tblCaption w:val="Table 7.1: Correspondence Between Subsystems and the HALAH Framework"/>
      </w:tblPr>
      <w:tblGrid>
        <w:gridCol w:w="1947"/>
        <w:gridCol w:w="2661"/>
        <w:gridCol w:w="331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8"/>
    <w:bookmarkStart w:id="159"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m:oMathPara>
        <m:oMathParaPr>
          <m:jc m:val="center"/>
        </m:oMathParaPr>
        <m:oMath>
          <m:r>
            <m:t>C</m:t>
          </m:r>
          <m:r>
            <m:rPr>
              <m:sty m:val="p"/>
            </m:rPr>
            <m:t>→</m:t>
          </m:r>
          <m:r>
            <m:t>M</m:t>
          </m:r>
          <m:r>
            <m:t>S</m:t>
          </m:r>
          <m:r>
            <m:rPr>
              <m:sty m:val="p"/>
            </m:rPr>
            <m:t>→</m:t>
          </m:r>
          <m:r>
            <m:t>S</m:t>
          </m:r>
          <m:r>
            <m:t>B</m:t>
          </m:r>
          <m:r>
            <m:t>T</m:t>
          </m:r>
          <m:r>
            <m:rPr>
              <m:sty m:val="p"/>
            </m:rPr>
            <m:t>→</m:t>
          </m:r>
          <m:r>
            <m:t>S</m:t>
          </m:r>
          <m:r>
            <m:t>t</m:t>
          </m:r>
          <m:r>
            <m:t>a</m:t>
          </m:r>
          <m:r>
            <m:t>t</m:t>
          </m:r>
          <m:r>
            <m:t>e</m:t>
          </m:r>
          <m:r>
            <m:t>C</m:t>
          </m:r>
          <m:r>
            <m:t>h</m:t>
          </m:r>
          <m:r>
            <m:t>e</m:t>
          </m:r>
          <m:r>
            <m:t>c</m:t>
          </m:r>
          <m:r>
            <m:t>k</m:t>
          </m:r>
          <m:r>
            <m:rPr>
              <m:sty m:val="p"/>
            </m:rPr>
            <m:t>→</m:t>
          </m:r>
          <m:r>
            <m:t>A</m:t>
          </m:r>
          <m:r>
            <m:t>c</m:t>
          </m:r>
          <m:r>
            <m:t>c</m:t>
          </m:r>
          <m:r>
            <m:t>e</m:t>
          </m:r>
          <m:r>
            <m:t>s</m:t>
          </m:r>
          <m:r>
            <m:t>s</m:t>
          </m:r>
          <m:r>
            <m:t>D</m:t>
          </m:r>
          <m:r>
            <m:t>e</m:t>
          </m:r>
          <m:r>
            <m:t>c</m:t>
          </m:r>
          <m:r>
            <m:t>i</m:t>
          </m:r>
          <m:r>
            <m:t>s</m:t>
          </m:r>
          <m:r>
            <m:t>i</m:t>
          </m:r>
          <m:r>
            <m:t>o</m:t>
          </m:r>
          <m:r>
            <m:t>n</m:t>
          </m:r>
          <m:r>
            <m:rPr>
              <m:sty m:val="p"/>
            </m:rPr>
            <m:t>→</m:t>
          </m:r>
          <m:r>
            <m:t>E</m:t>
          </m:r>
          <m:r>
            <m:t>M</m:t>
          </m:r>
          <m:r>
            <m:t>R</m:t>
          </m:r>
          <m:r>
            <m:rPr>
              <m:sty m:val="p"/>
            </m:rPr>
            <m:t>→</m:t>
          </m:r>
          <m:r>
            <m:t>A</m:t>
          </m:r>
          <m:r>
            <m:t>u</m:t>
          </m:r>
          <m:r>
            <m:t>d</m:t>
          </m:r>
          <m:r>
            <m:t>i</m:t>
          </m:r>
          <m:r>
            <m:t>t</m:t>
          </m:r>
        </m:oMath>
      </m:oMathPara>
    </w:p>
    <w:p>
      <w:pPr>
        <w:pStyle w:val="FirstParagraph"/>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9"/>
    <w:bookmarkStart w:id="163" w:name="X88b3d53607b792a9f4430f1be3c348b9a46cb27"/>
    <w:p>
      <w:pPr>
        <w:pStyle w:val="Heading2"/>
      </w:pPr>
      <w:r>
        <w:t xml:space="preserve">7.10 Implementation Mapping to the Source Code</w:t>
      </w:r>
    </w:p>
    <w:p>
      <w:pPr>
        <w:pStyle w:val="FirstParagraph"/>
      </w:pPr>
      <w:r>
        <w:t xml:space="preserve">Table 7.2 shows how the MVC layers of Chapter 5 are realised in the HALAH prototype (repository commit 0a960ca, 22 September 2026), so that the architectural claims can be checked directly against the source code.</w:t>
      </w:r>
    </w:p>
    <w:p>
      <w:pPr>
        <w:pStyle w:val="TableCaption"/>
      </w:pPr>
      <w:r>
        <w:t xml:space="preserve">Table 7.2: MVC layers and their HALAH implementation</w:t>
      </w:r>
    </w:p>
    <w:tbl>
      <w:tblPr>
        <w:tblStyle w:val="Table"/>
        <w:tblW w:type="pct" w:w="5000"/>
        <w:tblLayout w:type="fixed"/>
        <w:tblLook w:firstRow="1" w:lastRow="0" w:firstColumn="0" w:lastColumn="0" w:noHBand="0" w:noVBand="0" w:val="0020"/>
        <w:tblCaption w:val="Table 7.2: MVC layers and their HALAH implementation"/>
      </w:tblPr>
      <w:tblGrid>
        <w:gridCol w:w="1243"/>
        <w:gridCol w:w="3338"/>
        <w:gridCol w:w="333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w:t>
            </w:r>
          </w:p>
        </w:tc>
        <w:tc>
          <w:tcPr/>
          <w:p>
            <w:pPr>
              <w:pStyle w:val="Compact"/>
              <w:jc w:val="left"/>
            </w:pPr>
            <w:r>
              <w:t xml:space="preserve">Controller</w:t>
            </w:r>
          </w:p>
        </w:tc>
        <w:tc>
          <w:tcPr/>
          <w:p>
            <w:pPr>
              <w:pStyle w:val="Compact"/>
              <w:jc w:val="left"/>
            </w:pPr>
            <w:r>
              <w:t xml:space="preserve">services/identity_service.py</w:t>
            </w:r>
          </w:p>
        </w:tc>
      </w:tr>
      <w:tr>
        <w:trPr>
          <w:cantSplit/>
        </w:trPr>
        <w:tc>
          <w:tcPr/>
          <w:p>
            <w:pPr>
              <w:pStyle w:val="Compact"/>
              <w:jc w:val="left"/>
            </w:pPr>
            <w:r>
              <w:t xml:space="preserve">[</w:t>
            </w:r>
          </w:p>
        </w:tc>
        <w:tc>
          <w:tcPr/>
          <w:p>
            <w:pPr>
              <w:pStyle w:val="Compact"/>
              <w:jc w:val="left"/>
            </w:pPr>
            <w:r>
              <w:t xml:space="preserve">Controller</w:t>
            </w:r>
          </w:p>
        </w:tc>
        <w:tc>
          <w:tcPr/>
          <w:p>
            <w:pPr>
              <w:pStyle w:val="Compact"/>
              <w:jc w:val="left"/>
            </w:pPr>
            <w:r>
              <w:t xml:space="preserve">services/state_service.py</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[41], released only after authorisation</w:t>
            </w:r>
          </w:p>
        </w:tc>
      </w:tr>
      <w:tr>
        <w:trPr>
          <w:cantSplit/>
        </w:trPr>
        <w:tc>
          <w:tcPr/>
          <w:p>
            <w:pPr>
              <w:pStyle w:val="Compact"/>
              <w:jc w:val="left"/>
            </w:pPr>
            <w:r>
              <w:t xml:space="preserve">[</w:t>
            </w:r>
          </w:p>
        </w:tc>
        <w:tc>
          <w:tcPr/>
          <w:p>
            <w:pPr>
              <w:pStyle w:val="Compact"/>
              <w:jc w:val="left"/>
            </w:pPr>
            <w:r>
              <w:t xml:space="preserve">Smart contract</w:t>
            </w:r>
          </w:p>
        </w:tc>
        <w:tc>
          <w:tcPr/>
          <w:p>
            <w:pPr>
              <w:pStyle w:val="Compact"/>
              <w:jc w:val="left"/>
            </w:pPr>
            <w:r>
              <w:t xml:space="preserve">contracts/ConsentSBTv3.sol</w:t>
            </w:r>
          </w:p>
        </w:tc>
      </w:tr>
    </w:tbl>
    <w:p>
      <w:pPr>
        <w:pStyle w:val="BodyText"/>
      </w:pPr>
      <w:r>
        <w:t xml:space="preserve">Figure 7.6 traces one consent through the four subsystems of the prototype and shows where each check is enforced and which events are written to the audit log.</w:t>
      </w:r>
    </w:p>
    <w:p>
      <w:pPr>
        <w:pStyle w:val="CaptionedFigure"/>
      </w:pPr>
      <w:r>
        <w:drawing>
          <wp:inline>
            <wp:extent cx="4800600" cy="7677252"/>
            <wp:effectExtent b="0" l="0" r="0" t="0"/>
            <wp:docPr descr="Figure 7.6: HALAH prototype workflow from consent creation to audited access decision" title="" id="161" name="Picture"/>
            <a:graphic>
              <a:graphicData uri="http://schemas.openxmlformats.org/drawingml/2006/picture">
                <pic:pic>
                  <pic:nvPicPr>
                    <pic:cNvPr descr="media_col/fig_halah.png" id="162" name="Picture"/>
                    <pic:cNvPicPr>
                      <a:picLocks noChangeArrowheads="1" noChangeAspect="1"/>
                    </pic:cNvPicPr>
                  </pic:nvPicPr>
                  <pic:blipFill>
                    <a:blip r:embed="rId160"/>
                    <a:stretch>
                      <a:fillRect/>
                    </a:stretch>
                  </pic:blipFill>
                  <pic:spPr bwMode="auto">
                    <a:xfrm>
                      <a:off x="0" y="0"/>
                      <a:ext cx="4800600" cy="7677252"/>
                    </a:xfrm>
                    <a:prstGeom prst="rect">
                      <a:avLst/>
                    </a:prstGeom>
                    <a:noFill/>
                    <a:ln w="9525">
                      <a:noFill/>
                      <a:headEnd/>
                      <a:tailEnd/>
                    </a:ln>
                  </pic:spPr>
                </pic:pic>
              </a:graphicData>
            </a:graphic>
          </wp:inline>
        </w:drawing>
      </w:r>
    </w:p>
    <w:p>
      <w:pPr>
        <w:pStyle w:val="ImageCaption"/>
      </w:pPr>
      <w:r>
        <w:t xml:space="preserve">Figure 7.6: HALAH prototype workflow from consent creation to audited access decision</w:t>
      </w:r>
    </w:p>
    <w:bookmarkEnd w:id="163"/>
    <w:bookmarkStart w:id="164" w:name="automated-test-evidence"/>
    <w:p>
      <w:pPr>
        <w:pStyle w:val="Heading2"/>
      </w:pPr>
      <w:r>
        <w:t xml:space="preserve">7.11 Automated Test Evidence</w:t>
      </w:r>
    </w:p>
    <w:p>
      <w:pPr>
        <w:pStyle w:val="FirstParagraph"/>
      </w:pPr>
      <w:r>
        <w:t xml:space="preserve">Table 7.3 summarises the automated tests of the prototype (pytest 9.1.1, Python 3.11, run on 28 September 2026): 16 tests passed, 2 were skipped and none failed.</w:t>
      </w:r>
    </w:p>
    <w:p>
      <w:pPr>
        <w:pStyle w:val="TableCaption"/>
      </w:pPr>
      <w:r>
        <w:t xml:space="preserve">Table 7.3: Automated test results of the HALAH prototype</w:t>
      </w:r>
    </w:p>
    <w:tbl>
      <w:tblPr>
        <w:tblStyle w:val="Table"/>
        <w:tblW w:type="pct" w:w="5000"/>
        <w:tblLayout w:type="fixed"/>
        <w:tblLook w:firstRow="1" w:lastRow="0" w:firstColumn="0" w:lastColumn="0" w:noHBand="0" w:noVBand="0" w:val="0020"/>
        <w:tblCaption w:val="Table 7.3: Automated test results of the HALAH prototype"/>
      </w:tblPr>
      <w:tblGrid>
        <w:gridCol w:w="674"/>
        <w:gridCol w:w="2022"/>
        <w:gridCol w:w="2864"/>
        <w:gridCol w:w="786"/>
        <w:gridCol w:w="157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w:t>
      </w:r>
      <w:r>
        <w:t xml:space="preserve"> </w:t>
      </w:r>
      <w:r>
        <w:rPr>
          <w:rStyle w:val="OrangeFix"/>
        </w:rPr>
        <w:t xml:space="preserve">and adversarial</w:t>
      </w:r>
      <w:r>
        <w:t xml:space="preserve"> </w:t>
      </w:r>
      <w:r>
        <w:t xml:space="preserve">cases still to be added in Stage 2 include insufficient approvals at the data-release gate, a duplicate approval attempt, an out-of-scope request submitted directly to the service interface, and a request with a mismatched declared purpose.</w:t>
      </w:r>
    </w:p>
    <w:bookmarkEnd w:id="164"/>
    <w:bookmarkStart w:id="165" w:name="on-chain-evidence"/>
    <w:p>
      <w:pPr>
        <w:pStyle w:val="Heading2"/>
      </w:pPr>
      <w:r>
        <w:t xml:space="preserve">7.12 On-Chain Evidence</w:t>
      </w:r>
    </w:p>
    <w:p>
      <w:pPr>
        <w:pStyle w:val="FirstParagraph"/>
      </w:pPr>
      <w:r>
        <w:t xml:space="preserve">Table 7.4 lists the consent tokens anchored on the Ethereum Sepolia testnet (chain ID 11155111)</w:t>
      </w:r>
      <w:r>
        <w:t xml:space="preserve"> </w:t>
      </w:r>
      <w:r>
        <w:rPr>
          <w:rStyle w:val="OrangeDelete"/>
        </w:rPr>
        <w:t xml:space="preserve">by the ConsentSBTv2 contract at address</w:t>
      </w:r>
      <w:r>
        <w:rPr>
          <w:rStyle w:val="OrangeFix"/>
        </w:rPr>
        <w:t xml:space="preserve">by the ConsentSBTv2 contract (contracts/ConsentSBT_v2_hardened.sol, the version deployed when the evidence was recorded; ConsentSBTv3 in Table 7.2 is the current source and is exercised by test T5) at address</w:t>
      </w:r>
      <w:r>
        <w:t xml:space="preserve"> </w:t>
      </w:r>
      <w:r>
        <w:t xml:space="preserve">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7.4: Consent SBTs anchored on Ethereum Sepolia</w:t>
      </w:r>
    </w:p>
    <w:tbl>
      <w:tblPr>
        <w:tblStyle w:val="Table"/>
        <w:tblW w:type="pct" w:w="5000"/>
        <w:tblLayout w:type="fixed"/>
        <w:tblLook w:firstRow="1" w:lastRow="0" w:firstColumn="0" w:lastColumn="0" w:noHBand="0" w:noVBand="0" w:val="0020"/>
        <w:tblCaption w:val="Table 7.4: Consent SBTs anchored on Ethereum Sepolia"/>
      </w:tblPr>
      <w:tblGrid>
        <w:gridCol w:w="1267"/>
        <w:gridCol w:w="1267"/>
        <w:gridCol w:w="538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65"/>
    <w:bookmarkStart w:id="166" w:name="implementation-status-and-limitations"/>
    <w:p>
      <w:pPr>
        <w:pStyle w:val="Heading2"/>
      </w:pPr>
      <w:r>
        <w:t xml:space="preserve">7.13 Implementation Status and Limitations</w:t>
      </w:r>
    </w:p>
    <w:p>
      <w:pPr>
        <w:pStyle w:val="FirstParagraph"/>
      </w:pPr>
      <w:r>
        <w:t xml:space="preserve">The screenshots in Figures 7.1–7.5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6"/>
        </w:numPr>
      </w:pPr>
      <w:r>
        <w:t xml:space="preserve">Guardian signing keys are derived from the DID for demonstration; a deployment would use each guardian’s own wallet.</w:t>
      </w:r>
    </w:p>
    <w:p>
      <w:pPr>
        <w:pStyle w:val="Compact"/>
        <w:numPr>
          <w:ilvl w:val="0"/>
          <w:numId w:val="1076"/>
        </w:numPr>
      </w:pPr>
      <w:r>
        <w:t xml:space="preserve">DID verification is syntactic, and no W3C Verifiable Credential is yet issued or verified (Stage 2).</w:t>
      </w:r>
    </w:p>
    <w:p>
      <w:pPr>
        <w:pStyle w:val="Compact"/>
        <w:numPr>
          <w:ilvl w:val="0"/>
          <w:numId w:val="1076"/>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6"/>
        </w:numPr>
      </w:pPr>
      <w:r>
        <w:t xml:space="preserve">Purpose is checked against a fixed list; per-request purpose binding is Stage 2 work.</w:t>
      </w:r>
    </w:p>
    <w:p>
      <w:pPr>
        <w:pStyle w:val="Compact"/>
        <w:numPr>
          <w:ilvl w:val="0"/>
          <w:numId w:val="1076"/>
        </w:numPr>
      </w:pPr>
      <w:r>
        <w:t xml:space="preserve">Data release is gated by consent state, proof and scope rather than by the full decision matrix.</w:t>
      </w:r>
    </w:p>
    <w:p>
      <w:pPr>
        <w:pStyle w:val="Compact"/>
        <w:numPr>
          <w:ilvl w:val="0"/>
          <w:numId w:val="1076"/>
        </w:numPr>
      </w:pPr>
      <w:r>
        <w:t xml:space="preserve">Healthcare data are synthetic (Synthea [41]), and the blockchain is a public testnet rather than a production network.</w:t>
      </w:r>
    </w:p>
    <w:p>
      <w:pPr>
        <w:pStyle w:val="Compact"/>
        <w:numPr>
          <w:ilvl w:val="0"/>
          <w:numId w:val="1076"/>
        </w:numPr>
      </w:pPr>
      <w:r>
        <w:t xml:space="preserve">The Groth16 circuit proves consent validity only and uses a development-only trusted setup.</w:t>
      </w:r>
    </w:p>
    <w:p>
      <w:pPr>
        <w:pStyle w:val="Compact"/>
        <w:numPr>
          <w:ilvl w:val="0"/>
          <w:numId w:val="1076"/>
        </w:numPr>
      </w:pPr>
      <w:r>
        <w:t xml:space="preserve">Evaluation to date is functional (18 automated tests); performance and adversarial measurements are Stage 2 work.</w:t>
      </w:r>
    </w:p>
    <w:bookmarkEnd w:id="166"/>
    <w:bookmarkEnd w:id="167"/>
    <w:bookmarkStart w:id="174" w:name="current-progress-status"/>
    <w:p>
      <w:pPr>
        <w:pStyle w:val="Heading1"/>
      </w:pPr>
      <w:r>
        <w:t xml:space="preserve">8 Current Progress Status</w:t>
      </w:r>
    </w:p>
    <w:bookmarkStart w:id="168"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w:t>
      </w:r>
      <w:r>
        <w:t xml:space="preserve"> </w:t>
      </w:r>
      <w:r>
        <w:rPr>
          <w:rStyle w:val="OrangeFix"/>
        </w:rPr>
        <w:t xml:space="preserve">representation</w:t>
      </w:r>
      <w:r>
        <w:t xml:space="preserve"> </w:t>
      </w:r>
      <w:r>
        <w:t xml:space="preserve">provides a conceptual basis for dynamic access decisions and allows subsequent authorisation conditions to be evaluated consistently.</w:t>
      </w:r>
    </w:p>
    <w:bookmarkEnd w:id="168"/>
    <w:bookmarkStart w:id="169"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7.3, T1).</w:t>
      </w:r>
    </w:p>
    <w:bookmarkEnd w:id="169"/>
    <w:bookmarkStart w:id="170"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If the threshold is not satisfied, the decision is DENY (Eq. (10)).</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7.2; Table 7.3, T3).</w:t>
      </w:r>
    </w:p>
    <w:p>
      <w:pPr>
        <w:pStyle w:val="BodyText"/>
      </w:pPr>
      <w:r>
        <w:t xml:space="preserve">This provides preliminary evidence that the proposed framework can enforce collective rather than unilateral authorisation.</w:t>
      </w:r>
    </w:p>
    <w:bookmarkEnd w:id="170"/>
    <w:bookmarkStart w:id="171"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w:t>
      </w:r>
      <w:r>
        <w:t xml:space="preserve"> </w:t>
      </w:r>
      <w:r>
        <w:rPr>
          <w:rStyle w:val="OrangeDelete"/>
        </w:rPr>
        <w:t xml:space="preserve">Doctor</w:t>
      </w:r>
      <w:r>
        <w:rPr>
          <w:rStyle w:val="OrangeFix"/>
        </w:rPr>
        <w:t xml:space="preserve">doctor</w:t>
      </w:r>
      <w:r>
        <w:t xml:space="preserve"> </w:t>
      </w:r>
      <w:r>
        <w:t xml:space="preserve">interface (Figures 7.3–7.4,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71"/>
    <w:bookmarkStart w:id="172"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w:t>
      </w:r>
      <w:r>
        <w:t xml:space="preserve"> </w:t>
      </w:r>
      <w:r>
        <w:rPr>
          <w:rStyle w:val="OrangeDelete"/>
        </w:rPr>
        <w:t xml:space="preserve">The consent validity interval is represented as [</w:t>
      </w:r>
      <w:r>
        <w:rPr>
          <w:rStyle w:val="OrangeDelete"/>
          <w:i/>
          <w:iCs/>
        </w:rPr>
        <w:t xml:space="preserve">t</w:t>
      </w:r>
      <w:r>
        <w:rPr>
          <w:rStyle w:val="OrangeDelete"/>
          <w:vertAlign w:val="subscript"/>
        </w:rPr>
        <w:t xml:space="preserve">s</w:t>
      </w:r>
      <w:r>
        <w:rPr>
          <w:rStyle w:val="OrangeDelete"/>
          <w:i/>
          <w:iCs/>
        </w:rPr>
        <w:t xml:space="preserve">, t</w:t>
      </w:r>
      <w:r>
        <w:rPr>
          <w:rStyle w:val="OrangeDelete"/>
          <w:vertAlign w:val="subscript"/>
        </w:rPr>
        <w:t xml:space="preserve">e</w:t>
      </w:r>
      <w:r>
        <w:rPr>
          <w:rStyle w:val="OrangeDelete"/>
        </w:rPr>
        <w:t xml:space="preserve">], with temporal validity defined by Eq. (12).</w:t>
      </w:r>
      <w:r>
        <w:rPr>
          <w:rStyle w:val="OrangeFix"/>
        </w:rPr>
        <w:t xml:space="preserve">The consent validity interval is represented as [</w:t>
      </w:r>
      <w:r>
        <w:rPr>
          <w:rStyle w:val="OrangeFix"/>
          <w:i/>
          <w:iCs/>
        </w:rPr>
        <w:t xml:space="preserve">t</w:t>
      </w:r>
      <w:r>
        <w:rPr>
          <w:rStyle w:val="OrangeFix"/>
          <w:vertAlign w:val="subscript"/>
        </w:rPr>
        <w:t xml:space="preserve">s</w:t>
      </w:r>
      <w:r>
        <w:rPr>
          <w:rStyle w:val="OrangeFix"/>
        </w:rPr>
        <w:t xml:space="preserve">,</w:t>
      </w:r>
      <w:r>
        <w:rPr>
          <w:rStyle w:val="OrangeFix"/>
        </w:rPr>
        <w:t xml:space="preserve"> </w:t>
      </w:r>
      <w:r>
        <w:rPr>
          <w:rStyle w:val="OrangeFix"/>
          <w:i/>
          <w:iCs/>
        </w:rPr>
        <w:t xml:space="preserve">t</w:t>
      </w:r>
      <w:r>
        <w:rPr>
          <w:rStyle w:val="OrangeFix"/>
          <w:vertAlign w:val="subscript"/>
        </w:rPr>
        <w:t xml:space="preserve">e</w:t>
      </w:r>
      <w:r>
        <w:rPr>
          <w:rStyle w:val="OrangeFix"/>
        </w:rPr>
        <w:t xml:space="preserve">], with temporal validity defined by Eq. (12).</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the next stage.</w:t>
      </w:r>
    </w:p>
    <w:bookmarkEnd w:id="172"/>
    <w:bookmarkStart w:id="173"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7.3)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the next stage. These activities will include policy-violation scenarios, temporal expiration, revocation, invalid lifecycle transitions, formal security properties, and broader experimental validation.</w:t>
      </w:r>
    </w:p>
    <w:bookmarkEnd w:id="173"/>
    <w:bookmarkEnd w:id="174"/>
    <w:bookmarkStart w:id="175"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9.1: Summary of Research Outputs and Publication Plan</w:t>
      </w:r>
    </w:p>
    <w:tbl>
      <w:tblPr>
        <w:tblStyle w:val="Table"/>
        <w:tblW w:type="pct" w:w="5000"/>
        <w:tblLayout w:type="fixed"/>
        <w:tblLook w:firstRow="1" w:lastRow="0" w:firstColumn="0" w:lastColumn="0" w:noHBand="0" w:noVBand="0" w:val="0020"/>
        <w:tblCaption w:val="Table 9.1: Summary of Research Outputs and Publication Plan"/>
      </w:tblPr>
      <w:tblGrid>
        <w:gridCol w:w="2207"/>
        <w:gridCol w:w="1384"/>
        <w:gridCol w:w="2120"/>
        <w:gridCol w:w="220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Computers &amp; Security (Elsevier)</w:t>
            </w:r>
          </w:p>
        </w:tc>
        <w:tc>
          <w:tcPr/>
          <w:p>
            <w:pPr>
              <w:pStyle w:val="Compact"/>
              <w:jc w:val="left"/>
            </w:pPr>
            <w:r>
              <w:t xml:space="preserve">Draft complete; submission planned November 2026</w:t>
            </w:r>
          </w:p>
        </w:tc>
        <w:tc>
          <w:tcPr/>
          <w:p>
            <w:pPr>
              <w:pStyle w:val="Compact"/>
              <w:jc w:val="left"/>
            </w:pPr>
            <w:r>
              <w:t xml:space="preserve">Core architectural contribution; addresses SRQ1–SRQ4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w:t>
      </w:r>
      <w:r>
        <w:t xml:space="preserve"> </w:t>
      </w:r>
      <w:r>
        <w:rPr>
          <w:rStyle w:val="OrangeDelete"/>
        </w:rPr>
        <w:t xml:space="preserve">publication strategy is aligned with the progression of the research. The</w:t>
      </w:r>
      <w:r>
        <w:t xml:space="preserve"> </w:t>
      </w:r>
      <w:r>
        <w:t xml:space="preserve">current stage work establishes the conceptual and technical foundation, while the next stage work will strengthen the framework through formal analysis and comprehensive empirical validation.</w:t>
      </w:r>
    </w:p>
    <w:bookmarkEnd w:id="175"/>
    <w:bookmarkStart w:id="178" w:name="research-plan"/>
    <w:p>
      <w:pPr>
        <w:pStyle w:val="Heading1"/>
      </w:pPr>
      <w:r>
        <w:t xml:space="preserve">10 Research Plan</w:t>
      </w:r>
    </w:p>
    <w:p>
      <w:pPr>
        <w:pStyle w:val="FirstParagraph"/>
      </w:pPr>
      <w:r>
        <w:t xml:space="preserve">The research plan is divided into two major stages corresponding to the current and next stages.</w:t>
      </w:r>
    </w:p>
    <w:bookmarkStart w:id="176"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6"/>
    <w:bookmarkStart w:id="177"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pStyle w:val="BodyText"/>
      </w:pPr>
      <w:r>
        <w:t xml:space="preserve">The first major focus of the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The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The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10.1.</w:t>
      </w:r>
    </w:p>
    <w:p>
      <w:pPr>
        <w:pStyle w:val="BodyText"/>
      </w:pPr>
      <w:r>
        <w:t xml:space="preserve">An important analytical objective of the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10.1: Next Stage Research Activities, Methodological Focus, and Expected Outcomes</w:t>
      </w:r>
    </w:p>
    <w:tbl>
      <w:tblPr>
        <w:tblStyle w:val="Table"/>
        <w:tblW w:type="pct" w:w="5000"/>
        <w:tblLayout w:type="fixed"/>
        <w:tblLook w:firstRow="1" w:lastRow="0" w:firstColumn="0" w:lastColumn="0" w:noHBand="0" w:noVBand="0" w:val="0020"/>
        <w:tblCaption w:val="Table 10.1: Next Stage Research Activities, Methodological Focus, and Expected Outcomes"/>
      </w:tblPr>
      <w:tblGrid>
        <w:gridCol w:w="2640"/>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the current stage and the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rStyle w:val="OrangeDelete"/>
          <w:i/>
          <w:iCs/>
        </w:rPr>
        <w:t xml:space="preserve">static consent</w:t>
      </w:r>
      <w:r>
        <w:rPr>
          <w:rStyle w:val="OrangeDelete"/>
        </w:rPr>
        <w:t xml:space="preserve"> </w:t>
      </w:r>
      <w:r>
        <w:rPr>
          <w:rStyle w:val="OrangeDelete"/>
          <w:i/>
          <w:iCs/>
        </w:rPr>
        <w:t xml:space="preserve">management</w:t>
      </w:r>
      <w:r>
        <w:rPr>
          <w:rStyle w:val="OrangeDelete"/>
        </w:rPr>
        <w:t xml:space="preserve"> </w:t>
      </w:r>
      <w:r>
        <w:rPr>
          <w:rStyle w:val="OrangeDelete"/>
        </w:rPr>
        <w:t xml:space="preserve">to</w:t>
      </w:r>
      <w:r>
        <w:rPr>
          <w:rStyle w:val="OrangeDelete"/>
        </w:rPr>
        <w:t xml:space="preserve"> </w:t>
      </w:r>
      <w:r>
        <w:rPr>
          <w:rStyle w:val="OrangeDelete"/>
          <w:i/>
          <w:iCs/>
        </w:rPr>
        <w:t xml:space="preserve">dynamic trustworthy authorisation</w:t>
      </w:r>
      <w:r>
        <w:rPr>
          <w:rStyle w:val="OrangeFix"/>
          <w:i/>
          <w:iCs/>
        </w:rPr>
        <w:t xml:space="preserve">static consent management</w:t>
      </w:r>
      <w:r>
        <w:rPr>
          <w:rStyle w:val="OrangeFix"/>
        </w:rPr>
        <w:t xml:space="preserve"> </w:t>
      </w:r>
      <w:r>
        <w:rPr>
          <w:rStyle w:val="OrangeFix"/>
        </w:rPr>
        <w:t xml:space="preserve">to</w:t>
      </w:r>
      <w:r>
        <w:rPr>
          <w:rStyle w:val="OrangeFix"/>
        </w:rPr>
        <w:t xml:space="preserve"> </w:t>
      </w:r>
      <w:r>
        <w:rPr>
          <w:rStyle w:val="OrangeFix"/>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the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the next stage will complete the transition from the foundational authorisation mechanisms established in the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7"/>
    <w:bookmarkEnd w:id="178"/>
    <w:bookmarkStart w:id="179" w:name="references"/>
    <w:p>
      <w:pPr>
        <w:pStyle w:val="Heading1"/>
      </w:pPr>
      <w:r>
        <w:t xml:space="preserve">References</w:t>
      </w:r>
    </w:p>
    <w:p>
      <w:pPr>
        <w:pStyle w:val="FirstParagraph"/>
      </w:pPr>
      <w:r>
        <w:t xml:space="preserve">[1]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r>
        <w:t xml:space="preserve"> </w:t>
      </w:r>
      <w:r>
        <w:rPr>
          <w:rStyle w:val="OrangeFix"/>
        </w:rPr>
        <w:t xml:space="preserve">doi:10.3390/cryptography9030052.</w:t>
      </w:r>
    </w:p>
    <w:p>
      <w:pPr>
        <w:pStyle w:val="BodyText"/>
      </w:pPr>
      <w:r>
        <w:t xml:space="preserve">[2]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r>
        <w:t xml:space="preserve"> </w:t>
      </w:r>
      <w:r>
        <w:rPr>
          <w:rStyle w:val="OrangeFix"/>
        </w:rPr>
        <w:t xml:space="preserve">doi:10.1109/ACCESS.2022.3141079.</w:t>
      </w:r>
    </w:p>
    <w:p>
      <w:pPr>
        <w:pStyle w:val="BodyText"/>
      </w:pPr>
      <w:r>
        <w:t xml:space="preserve">[3]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r>
        <w:t xml:space="preserve"> </w:t>
      </w:r>
      <w:r>
        <w:rPr>
          <w:rStyle w:val="OrangeFix"/>
        </w:rPr>
        <w:t xml:space="preserve">doi:10.1016/j.jnca.2023.103633.</w:t>
      </w:r>
    </w:p>
    <w:p>
      <w:pPr>
        <w:pStyle w:val="BodyText"/>
      </w:pPr>
      <w:r>
        <w:t xml:space="preserve">[4]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w:t>
      </w:r>
      <w:r>
        <w:t xml:space="preserve"> </w:t>
      </w:r>
      <w:r>
        <w:rPr>
          <w:rStyle w:val="OrangeFix"/>
        </w:rPr>
        <w:t xml:space="preserve">doi:10.1109/COMST.2022.3224644.</w:t>
      </w:r>
    </w:p>
    <w:p>
      <w:pPr>
        <w:pStyle w:val="BodyText"/>
      </w:pPr>
      <w:r>
        <w:t xml:space="preserve">[5] Marcela Tuler de Oliveira, Lúcio Henrik A. Reis, Yiannis Verginadis, Diogo M. F. Mattos, and Sílvia D. Olabarriaga. SmartAccess: Attribute-based access control system for medical records based on smart contracts.</w:t>
      </w:r>
      <w:r>
        <w:t xml:space="preserve"> </w:t>
      </w:r>
      <w:r>
        <w:rPr>
          <w:i/>
          <w:iCs/>
        </w:rPr>
        <w:t xml:space="preserve">IEEE Access</w:t>
      </w:r>
      <w:r>
        <w:t xml:space="preserve">, 10:117836–117854, 2022. doi:10.1109/ACCESS.2022.3217201.</w:t>
      </w:r>
    </w:p>
    <w:p>
      <w:pPr>
        <w:pStyle w:val="BodyText"/>
      </w:pPr>
      <w:r>
        <w:t xml:space="preserve">[6]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r>
        <w:t xml:space="preserve"> </w:t>
      </w:r>
      <w:r>
        <w:rPr>
          <w:rStyle w:val="OrangeFix"/>
        </w:rPr>
        <w:t xml:space="preserve">doi:10.1109/TC.2024.3398509.</w:t>
      </w:r>
    </w:p>
    <w:p>
      <w:pPr>
        <w:pStyle w:val="BodyText"/>
      </w:pPr>
      <w:r>
        <w:t xml:space="preserve">[7]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r>
        <w:t xml:space="preserve"> </w:t>
      </w:r>
      <w:r>
        <w:rPr>
          <w:rStyle w:val="OrangeFix"/>
        </w:rPr>
        <w:t xml:space="preserve">doi:10.1016/j.jisa.2024.103789.</w:t>
      </w:r>
      <w:r>
        <w:t xml:space="preserve"> </w:t>
      </w:r>
      <w:r>
        <w:t xml:space="preserve">Corrigendum: vol. 98, 104383, 2026.</w:t>
      </w:r>
    </w:p>
    <w:p>
      <w:pPr>
        <w:pStyle w:val="BodyText"/>
      </w:pPr>
      <w:r>
        <w:t xml:space="preserve">[8] Rodrigo Dutra Garcia, Gowri Ramachandran, Raja Jurdak, and Jó Ueyama. Blockchain-aided and privacy-preserving data governance in multi-stakeholder applications.</w:t>
      </w:r>
      <w:r>
        <w:t xml:space="preserve"> </w:t>
      </w:r>
      <w:r>
        <w:rPr>
          <w:i/>
          <w:iCs/>
        </w:rPr>
        <w:t xml:space="preserve">IEEE Transactions on Network and Service Management</w:t>
      </w:r>
      <w:r>
        <w:t xml:space="preserve">, 19(4):3781–3793, 2022. doi:10.1109/TNSM.2022.3225254.</w:t>
      </w:r>
    </w:p>
    <w:p>
      <w:pPr>
        <w:pStyle w:val="BodyText"/>
      </w:pPr>
      <w:r>
        <w:t xml:space="preserve">[9] Pranto Kumar Ghosh, Arindom Chakraborty, Mehedi Hasan, Khalid Rashid, and Abdul Hasib Siddique. Blockchain application in healthcare systems: a review.</w:t>
      </w:r>
      <w:r>
        <w:t xml:space="preserve"> </w:t>
      </w:r>
      <w:r>
        <w:rPr>
          <w:i/>
          <w:iCs/>
        </w:rPr>
        <w:t xml:space="preserve">Systems</w:t>
      </w:r>
      <w:r>
        <w:t xml:space="preserve">, 11(1):38, 2023.</w:t>
      </w:r>
      <w:r>
        <w:t xml:space="preserve"> </w:t>
      </w:r>
      <w:r>
        <w:rPr>
          <w:rStyle w:val="OrangeFix"/>
        </w:rPr>
        <w:t xml:space="preserve">doi:10.3390/systems11010038.</w:t>
      </w:r>
    </w:p>
    <w:p>
      <w:pPr>
        <w:pStyle w:val="BodyText"/>
      </w:pPr>
      <w:r>
        <w:t xml:space="preserve">[10] Josefin Hagström, Charlotte Blease, Barbara Haage, Isabella Scandurra, Scharlett Hansson, and Maria Hägglund. Views, use, and experiences of web-based access to pediatric electronic health records for children, adolescents, and parents: Scoping review.</w:t>
      </w:r>
      <w:r>
        <w:t xml:space="preserve"> </w:t>
      </w:r>
      <w:r>
        <w:rPr>
          <w:i/>
          <w:iCs/>
        </w:rPr>
        <w:t xml:space="preserve">Journal of Medical Internet Research</w:t>
      </w:r>
      <w:r>
        <w:t xml:space="preserve">, 24(11):e40328, 2022. doi:10.2196/40328.</w:t>
      </w:r>
    </w:p>
    <w:p>
      <w:pPr>
        <w:pStyle w:val="BodyText"/>
      </w:pPr>
      <w:r>
        <w:t xml:space="preserve">[11]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r>
        <w:t xml:space="preserve"> </w:t>
      </w:r>
      <w:r>
        <w:rPr>
          <w:rStyle w:val="OrangeFix"/>
        </w:rPr>
        <w:t xml:space="preserve">doi:10.1186/s12912-024-02231-1.</w:t>
      </w:r>
    </w:p>
    <w:p>
      <w:pPr>
        <w:pStyle w:val="BodyText"/>
      </w:pPr>
      <w:r>
        <w:t xml:space="preserve">[12] Vitor Jesus and Harshvardhan J Pandit. Consent receipts for a usable and auditable web of personal data.</w:t>
      </w:r>
      <w:r>
        <w:t xml:space="preserve"> </w:t>
      </w:r>
      <w:r>
        <w:rPr>
          <w:i/>
          <w:iCs/>
        </w:rPr>
        <w:t xml:space="preserve">IEEE Access</w:t>
      </w:r>
      <w:r>
        <w:t xml:space="preserve">, 10:28545–28563, 2022.</w:t>
      </w:r>
      <w:r>
        <w:t xml:space="preserve"> </w:t>
      </w:r>
      <w:r>
        <w:rPr>
          <w:rStyle w:val="OrangeFix"/>
        </w:rPr>
        <w:t xml:space="preserve">doi:10.1109/ACCESS.2022.3157850.</w:t>
      </w:r>
    </w:p>
    <w:p>
      <w:pPr>
        <w:pStyle w:val="BodyText"/>
      </w:pPr>
      <w:r>
        <w:t xml:space="preserve">[13] Rong Jiang, Xue Chen, Yimin Yu, Ying Zhang, and Weiping Ding. Risk and UCON-based access control model for healthcare big data.</w:t>
      </w:r>
      <w:r>
        <w:t xml:space="preserve"> </w:t>
      </w:r>
      <w:r>
        <w:rPr>
          <w:i/>
          <w:iCs/>
        </w:rPr>
        <w:t xml:space="preserve">Journal of Big Data</w:t>
      </w:r>
      <w:r>
        <w:t xml:space="preserve">, 10(1):104, 2023.</w:t>
      </w:r>
      <w:r>
        <w:t xml:space="preserve"> </w:t>
      </w:r>
      <w:r>
        <w:rPr>
          <w:rStyle w:val="OrangeFix"/>
        </w:rPr>
        <w:t xml:space="preserve">doi:10.1186/s40537-023-00783-8.</w:t>
      </w:r>
    </w:p>
    <w:p>
      <w:pPr>
        <w:pStyle w:val="BodyText"/>
      </w:pPr>
      <w:r>
        <w:t xml:space="preserve">[14]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r>
        <w:t xml:space="preserve"> </w:t>
      </w:r>
      <w:r>
        <w:rPr>
          <w:rStyle w:val="OrangeFix"/>
        </w:rPr>
        <w:t xml:space="preserve">doi:10.1177/20552076241290964.</w:t>
      </w:r>
    </w:p>
    <w:p>
      <w:pPr>
        <w:pStyle w:val="BodyText"/>
      </w:pPr>
      <w:r>
        <w:t xml:space="preserve">[15]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r>
        <w:t xml:space="preserve"> </w:t>
      </w:r>
      <w:r>
        <w:rPr>
          <w:rStyle w:val="OrangeFix"/>
        </w:rPr>
        <w:t xml:space="preserve">doi:10.3390/electronics12244973.</w:t>
      </w:r>
    </w:p>
    <w:p>
      <w:pPr>
        <w:pStyle w:val="BodyText"/>
      </w:pPr>
      <w:r>
        <w:t xml:space="preserve">[16] Alexander Kharlamov, Roland Hohmann, and Glenn Parry. Data sharing decisions: perceptions and intentions in healthcare.</w:t>
      </w:r>
      <w:r>
        <w:t xml:space="preserve"> </w:t>
      </w:r>
      <w:r>
        <w:rPr>
          <w:i/>
          <w:iCs/>
        </w:rPr>
        <w:t xml:space="preserve">Strategic Change</w:t>
      </w:r>
      <w:r>
        <w:t xml:space="preserve">, 32(6):223–237, 2023.</w:t>
      </w:r>
      <w:r>
        <w:t xml:space="preserve"> </w:t>
      </w:r>
      <w:r>
        <w:rPr>
          <w:rStyle w:val="OrangeFix"/>
        </w:rPr>
        <w:t xml:space="preserve">doi:10.1002/jsc.2558.</w:t>
      </w:r>
    </w:p>
    <w:p>
      <w:pPr>
        <w:pStyle w:val="BodyText"/>
      </w:pPr>
      <w:r>
        <w:t xml:space="preserve">[17]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r>
        <w:t xml:space="preserve"> </w:t>
      </w:r>
      <w:r>
        <w:rPr>
          <w:rStyle w:val="OrangeFix"/>
        </w:rPr>
        <w:t xml:space="preserve">doi:10.3390/iot6040065.</w:t>
      </w:r>
    </w:p>
    <w:p>
      <w:pPr>
        <w:pStyle w:val="BodyText"/>
      </w:pPr>
      <w:r>
        <w:t xml:space="preserve">[18]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r>
        <w:t xml:space="preserve"> </w:t>
      </w:r>
      <w:r>
        <w:rPr>
          <w:rStyle w:val="OrangeFix"/>
        </w:rPr>
        <w:t xml:space="preserve">doi:10.37256/cnc.1220233048.</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 2025.</w:t>
      </w:r>
    </w:p>
    <w:p>
      <w:pPr>
        <w:pStyle w:val="BodyText"/>
      </w:pPr>
      <w:r>
        <w:t xml:space="preserve">[21]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[22]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[23]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[24]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[25]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[26]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w:t>
      </w:r>
      <w:r>
        <w:t xml:space="preserve">, 13(4):1–21, 2022.</w:t>
      </w:r>
    </w:p>
    <w:p>
      <w:pPr>
        <w:pStyle w:val="BodyText"/>
      </w:pPr>
      <w:r>
        <w:t xml:space="preserve">[27] Sudip Phuyal, Manila Bhandari, Rabindra Bista, and João Carlos Ferreira. Blockchain-based dynamic and revocable consent for secondary health data use: Systematic review.</w:t>
      </w:r>
      <w:r>
        <w:t xml:space="preserve"> </w:t>
      </w:r>
      <w:r>
        <w:rPr>
          <w:i/>
          <w:iCs/>
        </w:rPr>
        <w:t xml:space="preserve">JMIR Medical Informatics</w:t>
      </w:r>
      <w:r>
        <w:t xml:space="preserve">, 14:e88536, 2026. doi:10.2196/88536.</w:t>
      </w:r>
    </w:p>
    <w:p>
      <w:pPr>
        <w:pStyle w:val="BodyText"/>
      </w:pPr>
      <w:r>
        <w:t xml:space="preserve">[28] Isabel Román, Jorge Calvillo-Arbizu, Vicente Mayor, Germán Madinabeitia-Luque, Antonio Estepa, and Rafael Estepa. Blockchain-based service-oriented architecture for consent management, access control, and auditing.</w:t>
      </w:r>
      <w:r>
        <w:t xml:space="preserve"> </w:t>
      </w:r>
      <w:r>
        <w:rPr>
          <w:i/>
          <w:iCs/>
        </w:rPr>
        <w:t xml:space="preserve">IEEE Access</w:t>
      </w:r>
      <w:r>
        <w:t xml:space="preserve">, 11:12727–12741, 2023. doi:10.1109/ACCESS.2023.3242605.</w:t>
      </w:r>
    </w:p>
    <w:p>
      <w:pPr>
        <w:pStyle w:val="BodyText"/>
      </w:pPr>
      <w:r>
        <w:t xml:space="preserve">[29] Kheng-Leong Tan, Chi-Hung Chi, and Kwok-Yan Lam. Secure and privacy-preserving sharing of personal health records with multi-party pre-authorization verification.</w:t>
      </w:r>
      <w:r>
        <w:t xml:space="preserve"> </w:t>
      </w:r>
      <w:r>
        <w:rPr>
          <w:i/>
          <w:iCs/>
        </w:rPr>
        <w:t xml:space="preserve">Wireless Networks</w:t>
      </w:r>
      <w:r>
        <w:t xml:space="preserve">, 30:4773–4795, 2024. doi:10.1007/s11276-022-03114-6.</w:t>
      </w:r>
    </w:p>
    <w:p>
      <w:pPr>
        <w:pStyle w:val="BodyText"/>
      </w:pPr>
      <w:r>
        <w:t xml:space="preserve">[30]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r>
        <w:t xml:space="preserve"> </w:t>
      </w:r>
      <w:r>
        <w:rPr>
          <w:rStyle w:val="OrangeFix"/>
        </w:rPr>
        <w:t xml:space="preserve">doi:10.1007/s10586-025-05308-x.</w:t>
      </w:r>
    </w:p>
    <w:p>
      <w:pPr>
        <w:pStyle w:val="BodyText"/>
      </w:pPr>
      <w:r>
        <w:t xml:space="preserve">[31] Faheem Ullah, Jingsha He, Nafei Zhu, Ahsan Wajahat, Ahsan Nazir, Sirajuddin Qureshi, Muhammad Salman Pathan, and Soumyabrata Dev. Blockchain-enabled EHR access auditing: Enhancing healthcare data security.</w:t>
      </w:r>
      <w:r>
        <w:t xml:space="preserve"> </w:t>
      </w:r>
      <w:r>
        <w:rPr>
          <w:i/>
          <w:iCs/>
        </w:rPr>
        <w:t xml:space="preserve">Heliyon</w:t>
      </w:r>
      <w:r>
        <w:t xml:space="preserve">, 10(16):e34407, 2024. doi:10.1016/j.heliyon.2024.e34407.</w:t>
      </w:r>
    </w:p>
    <w:p>
      <w:pPr>
        <w:pStyle w:val="BodyText"/>
      </w:pPr>
      <w:r>
        <w:t xml:space="preserve">[32]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[33] Cindy Welzel, Max Ostermann, H. Jeff Smith, Timo Minssen, Toralf Kirsten, and Stephen Gilbert. Enabling secure and self determined health data sharing and consent management.</w:t>
      </w:r>
      <w:r>
        <w:t xml:space="preserve"> </w:t>
      </w:r>
      <w:r>
        <w:rPr>
          <w:i/>
          <w:iCs/>
        </w:rPr>
        <w:t xml:space="preserve">npj Digital Medicine</w:t>
      </w:r>
      <w:r>
        <w:t xml:space="preserve">, 8:560, 2025. doi:10.1038/s41746-025-01945-z.</w:t>
      </w:r>
    </w:p>
    <w:p>
      <w:pPr>
        <w:pStyle w:val="BodyText"/>
      </w:pPr>
      <w:r>
        <w:t xml:space="preserve">[34] Nadeem Yaqub, Jianbiao Zhang, Muhammad Irfan Khalid, Weiru Wang, Markus Helfert, Mansoor Ahmed, and Jungsuk Kim. Blockchain enabled policy-based access control mechanism to restrict unauthorized access to electronic health records.</w:t>
      </w:r>
      <w:r>
        <w:t xml:space="preserve"> </w:t>
      </w:r>
      <w:r>
        <w:rPr>
          <w:i/>
          <w:iCs/>
        </w:rPr>
        <w:t xml:space="preserve">PeerJ Computer Science</w:t>
      </w:r>
      <w:r>
        <w:t xml:space="preserve">, 11:e2647, 2025. doi:10.7717/peerj-cs.2647.</w:t>
      </w:r>
    </w:p>
    <w:p>
      <w:pPr>
        <w:pStyle w:val="BodyText"/>
      </w:pPr>
      <w:r>
        <w:t xml:space="preserve">[35]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r>
        <w:t xml:space="preserve"> </w:t>
      </w:r>
      <w:r>
        <w:rPr>
          <w:rStyle w:val="OrangeFix"/>
        </w:rPr>
        <w:t xml:space="preserve">doi:10.1016/j.sysarc.2024.103081.</w:t>
      </w:r>
    </w:p>
    <w:p>
      <w:pPr>
        <w:pStyle w:val="BodyText"/>
      </w:pPr>
      <w:r>
        <w:t xml:space="preserve">[36] Jie Yin, Yang Xiao, Qian Chen, Xuefeng Liu, Qingqi Pei, Jianying Zhou, et al. DP-DID: A dynamic and proactive decentralized identity system.</w:t>
      </w:r>
      <w:r>
        <w:t xml:space="preserve"> </w:t>
      </w:r>
      <w:r>
        <w:rPr>
          <w:rStyle w:val="OrangeDelete"/>
          <w:i/>
          <w:iCs/>
        </w:rPr>
        <w:t xml:space="preserve">IEEE Transactions on Information Forensics and Security</w:t>
      </w:r>
      <w:r>
        <w:rPr>
          <w:rStyle w:val="OrangeDelete"/>
        </w:rPr>
        <w:t xml:space="preserve">, pages 4999–5014, 2025.</w:t>
      </w:r>
      <w:r>
        <w:rPr>
          <w:rStyle w:val="OrangeFix"/>
          <w:i/>
          <w:iCs/>
        </w:rPr>
        <w:t xml:space="preserve">IEEE Transactions on Information Forensics and Security</w:t>
      </w:r>
      <w:r>
        <w:rPr>
          <w:rStyle w:val="OrangeFix"/>
        </w:rPr>
        <w:t xml:space="preserve">, 20:4999–5014, 2025.</w:t>
      </w:r>
    </w:p>
    <w:p>
      <w:pPr>
        <w:pStyle w:val="BodyText"/>
      </w:pPr>
      <w:r>
        <w:t xml:space="preserve">[37]</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[38]</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[39]</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[40]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[41]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[42] Remco Bloemen, Leonid Logvinov, and Jacob Evans. EIP-712: Typed structured data hashing and signing. Ethereum Improvement Proposals, 2017. https://eips.ethereum.org/EIPS/eip-712.</w:t>
      </w:r>
    </w:p>
    <w:p>
      <w:pPr>
        <w:pStyle w:val="BodyText"/>
      </w:pPr>
      <w:r>
        <w:t xml:space="preserve">[43] ERC-5484: Consensual Soulbound Tokens. Ethereum Improvement Proposals, 2022. https://eips.ethereum.org/EIPS/eip-5484.</w:t>
      </w:r>
    </w:p>
    <w:p>
      <w:pPr>
        <w:pStyle w:val="BodyText"/>
      </w:pPr>
      <w:r>
        <w:t xml:space="preserve">[44] W3C. Decentralized Identifiers (DIDs) v1.0. W3C Recommendation, 2022. https://www.w3.org/TR/did-core/.</w:t>
      </w:r>
    </w:p>
    <w:p>
      <w:pPr>
        <w:pStyle w:val="BodyText"/>
      </w:pPr>
      <w:r>
        <w:t xml:space="preserve">[45] W3C. Verifiable Credentials Data Model v2.0. W3C Recommendation, 2025. https://www.w3.org/TR/vc-data-model-2.0/.</w:t>
      </w:r>
    </w:p>
    <w:bookmarkEnd w:id="179"/>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OrangeDelete" w:type="character">
    <w:name w:val="Orange Delete"/>
    <w:rPr>
      <w:strike/>
      <w:color w:val="E36C09"/>
    </w:rPr>
  </w:style>
  <w:style w:customStyle="1" w:styleId="OrangeFix" w:type="character">
    <w:name w:val="Orange Fix"/>
    <w:rPr>
      <w:color w:val="E36C09"/>
    </w:rPr>
  </w:style>
  <w:style w:customStyle="1" w:styleId="OrangeDeletePara" w:type="paragraph">
    <w:name w:val="Orange Delete Para"/>
    <w:basedOn w:val="BodyText"/>
    <w:rPr>
      <w:rFonts w:ascii="Times New Roman" w:cs="Times New Roman" w:eastAsia="Times New Roman" w:hAnsi="Times New Roman"/>
      <w:color w:val="E36C09"/>
      <w:sz w:val="24"/>
    </w:rPr>
  </w:style>
  <w:style w:customStyle="1" w:styleId="OrangeFixPara" w:type="paragraph">
    <w:name w:val="Orange Fix Para"/>
    <w:basedOn w:val="BodyText"/>
    <w:rPr>
      <w:rFonts w:ascii="Times New Roman" w:cs="Times New Roman" w:eastAsia="Times New Roman" w:hAnsi="Times New Roman"/>
      <w:color w:val="E36C09"/>
      <w:sz w:val="24"/>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27" Target="media/rId127.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2026-09-30T10:31:12Z</dcterms:created>
  <dcterms:modified xsi:type="dcterms:W3CDTF">2026-09-30T10:31:12Z</dcterms:modified>
</cp:coreProperties>
</file>

<file path=docProps/custom.xml><?xml version="1.0" encoding="utf-8"?>
<Properties xmlns="http://schemas.openxmlformats.org/officeDocument/2006/custom-properties" xmlns:vt="http://schemas.openxmlformats.org/officeDocument/2006/docPropsVTypes"/>
</file>