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w:t>
      </w:r>
      <w:r>
        <w:rPr>
          <w:rFonts w:ascii="Times New Roman" w:cs="Times New Roman" w:eastAsia="Times New Roman" w:hAnsi="Times New Roman"/>
          <w:sz w:val="22"/>
          <w:szCs w:val="22"/>
        </w:rPr>
        <w:t xml:space="preserve">temporal and lifecycle conditions</w:t>
      </w:r>
      <w:r>
        <w:rPr>
          <w:rFonts w:ascii="Times New Roman" w:cs="Times New Roman" w:eastAsia="Times New Roman" w:hAnsi="Times New Roman"/>
          <w:sz w:val="22"/>
          <w:szCs w:val="22"/>
        </w:rPr>
        <w:t xml:space="preserve">,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w:t>
      </w:r>
      <w:r>
        <w:rPr>
          <w:rFonts w:ascii="Times New Roman" w:cs="Times New Roman" w:eastAsia="Times New Roman" w:hAnsi="Times New Roman"/>
          <w:sz w:val="22"/>
          <w:szCs w:val="22"/>
        </w:rPr>
        <w:t xml:space="preserve">purpose and data scope</w:t>
      </w:r>
      <w:r>
        <w:rPr>
          <w:rFonts w:ascii="Times New Roman" w:cs="Times New Roman" w:eastAsia="Times New Roman" w:hAnsi="Times New Roman"/>
          <w:sz w:val="22"/>
          <w:szCs w:val="22"/>
        </w:rPr>
        <w:t xml:space="preserve">, temporal validity, </w:t>
      </w:r>
      <w:r>
        <w:rPr>
          <w:rFonts w:ascii="Times New Roman" w:cs="Times New Roman" w:eastAsia="Times New Roman" w:hAnsi="Times New Roman"/>
          <w:sz w:val="22"/>
          <w:szCs w:val="22"/>
        </w:rPr>
        <w:t xml:space="preserve">lifecycle state, </w:t>
      </w:r>
      <w:r>
        <w:rPr>
          <w:rFonts w:ascii="Times New Roman" w:cs="Times New Roman" w:eastAsia="Times New Roman" w:hAnsi="Times New Roman"/>
          <w:sz w:val="22"/>
          <w:szCs w:val="22"/>
        </w:rPr>
        <w:t xml:space="preserve">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w:t>
      </w:r>
      <w:r>
        <w:rPr>
          <w:rFonts w:ascii="Times New Roman" w:cs="Times New Roman" w:eastAsia="Times New Roman" w:hAnsi="Times New Roman"/>
          <w:sz w:val="22"/>
          <w:szCs w:val="22"/>
        </w:rPr>
        <w:t xml:space="preserve">This applies to every request</w:t>
      </w:r>
      <w:r>
        <w:rPr>
          <w:rFonts w:ascii="Times New Roman" w:cs="Times New Roman" w:eastAsia="Times New Roman" w:hAnsi="Times New Roman"/>
          <w:sz w:val="22"/>
          <w:szCs w:val="22"/>
        </w:rPr>
        <w:t xml:space="preserve">,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Li et al. </w:t>
      </w:r>
      <w:r>
        <w:rPr>
          <w:rFonts w:ascii="Times New Roman" w:cs="Times New Roman" w:eastAsia="Times New Roman" w:hAnsi="Times New Roman"/>
          <w:color w:val="FF0000"/>
          <w:sz w:val="22"/>
          <w:szCs w:val="22"/>
        </w:rPr>
        <w:t xml:space="preserve">(2026a)</w:t>
      </w:r>
      <w:r>
        <w:rPr>
          <w:rFonts w:ascii="Times New Roman" w:cs="Times New Roman" w:eastAsia="Times New Roman" w:hAnsi="Times New Roman"/>
          <w:color w:val="FF0000"/>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color w:val="FF0000"/>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color w:val="FF0000"/>
          <w:sz w:val="22"/>
          <w:szCs w:val="22"/>
        </w:rPr>
        <w:t xml:space="preserve">Madine et al. </w:t>
      </w:r>
      <w:r>
        <w:rPr>
          <w:rFonts w:ascii="Times New Roman" w:cs="Times New Roman" w:eastAsia="Times New Roman" w:hAnsi="Times New Roman"/>
          <w:color w:val="FF0000"/>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color w:val="FF0000"/>
          <w:sz w:val="22"/>
          <w:szCs w:val="22"/>
        </w:rPr>
        <w:t xml:space="preserve">Panagoulias et al. </w:t>
      </w:r>
      <w:r>
        <w:rPr>
          <w:rFonts w:ascii="Times New Roman" w:cs="Times New Roman" w:eastAsia="Times New Roman" w:hAnsi="Times New Roman"/>
          <w:color w:val="FF0000"/>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color w:val="FF0000"/>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w:t>
            </w:r>
            <w:r>
              <w:rPr>
                <w:rFonts w:ascii="Times New Roman" w:cs="Times New Roman" w:eastAsia="Times New Roman" w:hAnsi="Times New Roman"/>
                <w:b w:val="false"/>
                <w:bCs w:val="false"/>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Purpose and data-scope</w:t>
      </w:r>
      <w:r>
        <w:rPr>
          <w:rFonts w:ascii="Times New Roman" w:cs="Times New Roman" w:eastAsia="Times New Roman" w:hAnsi="Times New Roman"/>
          <w:sz w:val="22"/>
          <w:szCs w:val="22"/>
        </w:rPr>
        <w:t xml:space="preserv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w:t>
      </w:r>
      <w:r>
        <w:rPr>
          <w:rFonts w:ascii="Times New Roman" w:cs="Times New Roman" w:eastAsia="Times New Roman" w:hAnsi="Times New Roman"/>
          <w:sz w:val="22"/>
          <w:szCs w:val="22"/>
        </w:rPr>
        <w:t xml:space="preserve">Depending on the consent configuration, G may contain healthcare professionals, guardians, institutional representatives, or other authorised parties. In the current prototype, the members of G are guardians.</w:t>
      </w:r>
      <w:r>
        <w:rPr>
          <w:rFonts w:ascii="Times New Roman" w:cs="Times New Roman" w:eastAsia="Times New Roman" w:hAnsi="Times New Roman"/>
          <w:sz w:val="22"/>
          <w:szCs w:val="22"/>
        </w:rPr>
        <w:t xml:space="preserve"> Each </w:t>
      </w:r>
      <w:r>
        <w:rPr>
          <w:rFonts w:ascii="Times New Roman" w:cs="Times New Roman" w:eastAsia="Times New Roman" w:hAnsi="Times New Roman"/>
          <w:sz w:val="22"/>
          <w:szCs w:val="22"/>
        </w:rPr>
        <w:t xml:space="preserve">member of G</w:t>
      </w:r>
      <w:r>
        <w:rPr>
          <w:rFonts w:ascii="Times New Roman" w:cs="Times New Roman" w:eastAsia="Times New Roman" w:hAnsi="Times New Roman"/>
          <w:sz w:val="22"/>
          <w:szCs w:val="22"/>
        </w:rPr>
        <w:t xml:space="preserve"> is checked to determine whether the individual or entity possesses the required authority to participate in consent-related decisions. The threshold N is the number of valid </w:t>
      </w:r>
      <w:r>
        <w:rPr>
          <w:rFonts w:ascii="Times New Roman" w:cs="Times New Roman" w:eastAsia="Times New Roman" w:hAnsi="Times New Roman"/>
          <w:sz w:val="22"/>
          <w:szCs w:val="22"/>
        </w:rPr>
        <w:t xml:space="preserve">approvals from members of G</w:t>
      </w:r>
      <w:r>
        <w:rPr>
          <w:rFonts w:ascii="Times New Roman" w:cs="Times New Roman" w:eastAsia="Times New Roman" w:hAnsi="Times New Roman"/>
          <w:sz w:val="22"/>
          <w:szCs w:val="22"/>
        </w:rPr>
        <w:t xml:space="preserve">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w:t>
      </w:r>
      <w:r>
        <w:rPr>
          <w:rFonts w:ascii="Times New Roman" w:cs="Times New Roman" w:eastAsia="Times New Roman" w:hAnsi="Times New Roman"/>
          <w:sz w:val="22"/>
          <w:szCs w:val="22"/>
        </w:rPr>
        <w:t xml:space="preserve">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 9.5) to pass and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w:t>
      </w:r>
      <w:r>
        <w:rPr>
          <w:rFonts w:ascii="Times New Roman" w:cs="Times New Roman" w:eastAsia="Times New Roman" w:hAnsi="Times New Roman"/>
          <w:sz w:val="22"/>
          <w:szCs w:val="22"/>
        </w:rPr>
        <w:t xml:space="preserve">either fails, as in Scenario 4 (Section 11.3) and</w:t>
      </w:r>
      <w:r>
        <w:rPr>
          <w:rFonts w:ascii="Times New Roman" w:cs="Times New Roman" w:eastAsia="Times New Roman" w:hAnsi="Times New Roman"/>
          <w:sz w:val="22"/>
          <w:szCs w:val="22"/>
        </w:rPr>
        <w:t xml:space="preserve">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w:t>
      </w:r>
      <w:r>
        <w:rPr>
          <w:rFonts w:ascii="Times New Roman" w:cs="Times New Roman" w:eastAsia="Times New Roman" w:hAnsi="Times New Roman"/>
          <w:sz w:val="22"/>
          <w:szCs w:val="22"/>
        </w:rPr>
        <w:t xml:space="preserve">In the current prototype, a</w:t>
      </w:r>
      <w:r>
        <w:rPr>
          <w:rFonts w:ascii="Times New Roman" w:cs="Times New Roman" w:eastAsia="Times New Roman" w:hAnsi="Times New Roman"/>
          <w:sz w:val="22"/>
          <w:szCs w:val="22"/>
        </w:rPr>
        <w:t xml:space="preserve">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w:t>
      </w:r>
      <w:r>
        <w:rPr>
          <w:rFonts w:ascii="Times New Roman" w:cs="Times New Roman" w:eastAsia="Times New Roman" w:hAnsi="Times New Roman"/>
          <w:sz w:val="22"/>
          <w:szCs w:val="22"/>
        </w:rPr>
        <w:t xml:space="preserve">exploratory jurisdiction check of the</w:t>
      </w:r>
      <w:r>
        <w:rPr>
          <w:rFonts w:ascii="Times New Roman" w:cs="Times New Roman" w:eastAsia="Times New Roman" w:hAnsi="Times New Roman"/>
          <w:sz w:val="22"/>
          <w:szCs w:val="22"/>
        </w:rPr>
        <w:t xml:space="preserve"> application </w:t>
      </w:r>
      <w:r>
        <w:rPr>
          <w:rFonts w:ascii="Times New Roman" w:cs="Times New Roman" w:eastAsia="Times New Roman" w:hAnsi="Times New Roman"/>
          <w:sz w:val="22"/>
          <w:szCs w:val="22"/>
        </w:rPr>
        <w:t xml:space="preserve">(Section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trike/>
          <w:color w:val="FF0000"/>
          <w:sz w:val="22"/>
          <w:szCs w:val="22"/>
        </w:rPr>
        <w:t xml:space="preserve">performs the Sepolia mint and revoke transactions as a background process</w:t>
      </w:r>
      <w:r>
        <w:rPr>
          <w:rFonts w:ascii="Times New Roman" w:cs="Times New Roman" w:eastAsia="Times New Roman" w:hAnsi="Times New Roman"/>
          <w:color w:val="FF0000"/>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w:t>
      </w:r>
      <w:r>
        <w:rPr>
          <w:rFonts w:ascii="Times New Roman" w:cs="Times New Roman" w:eastAsia="Times New Roman" w:hAnsi="Times New Roman"/>
          <w:sz w:val="22"/>
          <w:szCs w:val="22"/>
        </w:rPr>
        <w:t xml:space="preserve">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 </w:t>
      </w:r>
      <w:r>
        <w:rPr>
          <w:rFonts w:ascii="Times New Roman" w:cs="Times New Roman" w:eastAsia="Times New Roman" w:hAnsi="Times New Roman"/>
          <w:sz w:val="22"/>
          <w:szCs w:val="22"/>
        </w:rPr>
        <w:t xml:space="preserve">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prototype interface also shows a check labelled VL, which compares the jurisdiction declared in the request with the jurisdiction recorded in the consent. This report denotes that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 while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color w:val="FF0000"/>
          <w:sz w:val="22"/>
          <w:szCs w:val="22"/>
        </w:rPr>
        <w:t xml:space="preserve">Figure 5.4 puts the same conditions in the order a request meets them. A DID answers who is asking, a verifiable credential and a signed approval answer what that participant may do, the threshold answers whether </w:t>
      </w:r>
      <w:r>
        <w:rPr>
          <w:rFonts w:ascii="Times New Roman" w:cs="Times New Roman" w:eastAsia="Times New Roman" w:hAnsi="Times New Roman"/>
          <w:color w:val="FF0000"/>
          <w:sz w:val="22"/>
          <w:szCs w:val="22"/>
        </w:rPr>
        <w:t xml:space="preserve">the members of G</w:t>
      </w:r>
      <w:r>
        <w:rPr>
          <w:rFonts w:ascii="Times New Roman" w:cs="Times New Roman" w:eastAsia="Times New Roman" w:hAnsi="Times New Roman"/>
          <w:color w:val="FF0000"/>
          <w:sz w:val="22"/>
          <w:szCs w:val="22"/>
        </w:rPr>
        <w:t xml:space="preserve"> agreed, and the policy, temporal and </w:t>
      </w:r>
      <w:r>
        <w:rPr>
          <w:rFonts w:ascii="Times New Roman" w:cs="Times New Roman" w:eastAsia="Times New Roman" w:hAnsi="Times New Roman"/>
          <w:color w:val="FF0000"/>
          <w:sz w:val="22"/>
          <w:szCs w:val="22"/>
        </w:rPr>
        <w:t xml:space="preserve">lifecycle</w:t>
      </w:r>
      <w:r>
        <w:rPr>
          <w:rFonts w:ascii="Times New Roman" w:cs="Times New Roman" w:eastAsia="Times New Roman" w:hAnsi="Times New Roman"/>
          <w:color w:val="FF0000"/>
          <w:sz w:val="22"/>
          <w:szCs w:val="22"/>
        </w:rPr>
        <w:t xml:space="preserve">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FF0000"/>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color w:val="FF0000"/>
          <w:sz w:val="18"/>
          <w:szCs w:val="18"/>
        </w:rPr>
        <w:t xml:space="preserve">lifecycle</w:t>
      </w:r>
      <w:r>
        <w:rPr>
          <w:rFonts w:ascii="Times New Roman" w:cs="Times New Roman" w:eastAsia="Times New Roman" w:hAnsi="Times New Roman"/>
          <w:color w:val="FF0000"/>
          <w:sz w:val="18"/>
          <w:szCs w:val="18"/>
        </w:rPr>
        <w:t xml:space="preserve"> and the zero-knowledge proof). Each gate names what the current prototype checks, and a failure at any gate produces DENY</w:t>
      </w:r>
      <w:r>
        <w:rPr>
          <w:rFonts w:ascii="Times New Roman" w:cs="Times New Roman" w:eastAsia="Times New Roman" w:hAnsi="Times New Roman"/>
          <w:color w:val="FF0000"/>
          <w:sz w:val="18"/>
          <w:szCs w:val="18"/>
        </w:rPr>
        <w:t xml:space="preserve">;</w:t>
      </w:r>
      <w:r>
        <w:rPr>
          <w:rFonts w:ascii="Times New Roman" w:cs="Times New Roman" w:eastAsia="Times New Roman" w:hAnsi="Times New Roman"/>
          <w:color w:val="FF0000"/>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participants'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participants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w:t>
      </w:r>
      <w:r>
        <w:rPr>
          <w:rFonts w:ascii="Times New Roman" w:cs="Times New Roman" w:eastAsia="Times New Roman" w:hAnsi="Times New Roman"/>
          <w:color w:val="FF0000"/>
          <w:sz w:val="22"/>
          <w:szCs w:val="22"/>
        </w:rPr>
        <w:t xml:space="preserve">participants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w:t>
      </w:r>
      <w:r>
        <w:rPr>
          <w:rFonts w:ascii="Times New Roman" w:cs="Times New Roman" w:eastAsia="Times New Roman" w:hAnsi="Times New Roman"/>
          <w:sz w:val="22"/>
          <w:szCs w:val="22"/>
        </w:rPr>
        <w:t xml:space="preserve">The policy, temporal and lifecycle checks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together with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w:t>
      </w:r>
      <w:r>
        <w:rPr>
          <w:rFonts w:ascii="Times New Roman" w:cs="Times New Roman" w:eastAsia="Times New Roman" w:hAnsi="Times New Roman"/>
          <w:sz w:val="22"/>
          <w:szCs w:val="22"/>
        </w:rPr>
        <w:t xml:space="preserv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w:t>
      </w:r>
      <w:r>
        <w:rPr>
          <w:rFonts w:ascii="Times New Roman" w:cs="Times New Roman" w:eastAsia="Times New Roman" w:hAnsi="Times New Roman"/>
          <w:sz w:val="22"/>
          <w:szCs w:val="22"/>
        </w:rPr>
        <w:t xml:space="preserve">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w:t>
      </w:r>
      <w:r>
        <w:rPr>
          <w:rFonts w:ascii="Times New Roman" w:cs="Times New Roman" w:eastAsia="Times New Roman" w:hAnsi="Times New Roman"/>
          <w:sz w:val="22"/>
          <w:szCs w:val="22"/>
        </w:rPr>
        <w:t xml:space="preserve">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 where L is the lifecycle state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w:t>
      </w:r>
      <w:r>
        <w:rPr>
          <w:rFonts w:ascii="Times New Roman" w:cs="Times New Roman" w:eastAsia="Times New Roman" w:hAnsi="Times New Roman"/>
          <w:sz w:val="22"/>
          <w:szCs w:val="22"/>
        </w:rPr>
        <w:t xml:space="preserve">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T → A</w:t>
      </w:r>
      <w:r>
        <w:rPr>
          <w:rFonts w:ascii="Times New Roman" w:cs="Times New Roman" w:eastAsia="Times New Roman" w:hAnsi="Times New Roman"/>
          <w:sz w:val="22"/>
          <w:szCs w:val="22"/>
        </w:rPr>
        <w:t xml:space="preserve">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w:t>
      </w:r>
      <w:r>
        <w:rPr>
          <w:rFonts w:ascii="Times New Roman" w:cs="Times New Roman" w:eastAsia="Times New Roman" w:hAnsi="Times New Roman"/>
          <w:sz w:val="19"/>
          <w:szCs w:val="19"/>
        </w:rPr>
        <w:t xml:space="preserve">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T holds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L ← PENDING   ▷ PENDING_SIGNATURE in the prototype, where</w:t>
      </w:r>
      <w:r>
        <w:rPr>
          <w:rFonts w:ascii="Times New Roman" w:cs="Times New Roman" w:eastAsia="Times New Roman" w:hAnsi="Times New Roman"/>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w:t>
      </w:r>
      <w:r>
        <w:rPr>
          <w:rFonts w:ascii="Times New Roman" w:cs="Times New Roman" w:eastAsia="Times New Roman" w:hAnsi="Times New Roman"/>
          <w:sz w:val="22"/>
          <w:szCs w:val="22"/>
        </w:rPr>
        <w:t xml:space="preserve">PENDING state (PENDING_SIGNATURE in the prototype)</w:t>
      </w:r>
      <w:r>
        <w:rPr>
          <w:rFonts w:ascii="Times New Roman" w:cs="Times New Roman" w:eastAsia="Times New Roman" w:hAnsi="Times New Roman"/>
          <w:sz w:val="22"/>
          <w:szCs w:val="22"/>
        </w:rPr>
        <w:t xml:space="preserv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authorisation participants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trike/>
          <w:color w:val="FF0000"/>
          <w:sz w:val="22"/>
          <w:szCs w:val="22"/>
        </w:rPr>
        <w:t xml:space="preserve">Guardian workflow verifies the guardian VC, appends the guardian DID to the consent signatures, and displays the current approval count relative to the threshold.</w:t>
      </w:r>
      <w:r>
        <w:rPr>
          <w:rFonts w:ascii="Times New Roman" w:cs="Times New Roman" w:eastAsia="Times New Roman" w:hAnsi="Times New Roman"/>
          <w:color w:val="FF0000"/>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w:t>
      </w:r>
      <w:r>
        <w:rPr>
          <w:rFonts w:ascii="Times New Roman" w:cs="Times New Roman" w:eastAsia="Times New Roman" w:hAnsi="Times New Roman"/>
          <w:sz w:val="22"/>
          <w:szCs w:val="22"/>
        </w:rPr>
        <w:t xml:space="preserve">The set G defines which participants are eligible to contribute an approval to the authorisation process.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w:t>
      </w:r>
      <w:r>
        <w:rPr>
          <w:rFonts w:ascii="Times New Roman" w:cs="Times New Roman" w:eastAsia="Times New Roman" w:hAnsi="Times New Roman"/>
          <w:color w:val="FF0000"/>
          <w:sz w:val="22"/>
          <w:szCs w:val="22"/>
        </w:rPr>
        <w:t xml:space="preserve">the corresponding participant g</w:t>
      </w:r>
      <w:r>
        <w:rPr>
          <w:rFonts w:ascii="Times New Roman" w:cs="Times New Roman" w:eastAsia="Times New Roman" w:hAnsi="Times New Roman"/>
          <w:color w:val="FF0000"/>
          <w:sz w:val="22"/>
          <w:szCs w:val="22"/>
        </w:rPr>
        <w:t xml:space="preserve">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w:t>
      </w:r>
      <w:r>
        <w:rPr>
          <w:rFonts w:ascii="Times New Roman" w:cs="Times New Roman" w:eastAsia="Times New Roman" w:hAnsi="Times New Roman"/>
          <w:sz w:val="22"/>
          <w:szCs w:val="22"/>
        </w:rPr>
        <w:t xml:space="preserve">the five verification predicates in Equation (9.3)</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w:t>
      </w:r>
      <w:r>
        <w:rPr>
          <w:rFonts w:ascii="Times New Roman" w:cs="Times New Roman" w:eastAsia="Times New Roman" w:hAnsi="Times New Roman"/>
          <w:sz w:val="22"/>
          <w:szCs w:val="22"/>
        </w:rPr>
        <w:t xml:space="preserve">The matrix column labelled VL is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(Sections 5.2 and 9.5), whereas the lifecycle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Equation (9.3) corresponds to the requirement that the consent state be ACTIVE.</w:t>
      </w:r>
      <w:r>
        <w:rPr>
          <w:rFonts w:ascii="Times New Roman" w:cs="Times New Roman" w:eastAsia="Times New Roman" w:hAnsi="Times New Roman"/>
          <w:sz w:val="22"/>
          <w:szCs w:val="22"/>
        </w:rPr>
        <w:t xml:space="preserve"> The final decision therefore combines the decision matrix with that scope check</w:t>
      </w:r>
      <w:r>
        <w:rPr>
          <w:rFonts w:ascii="Times New Roman" w:cs="Times New Roman" w:eastAsia="Times New Roman" w:hAnsi="Times New Roman"/>
          <w:sz w:val="22"/>
          <w:szCs w:val="22"/>
        </w:rPr>
        <w:t xml:space="preserve">, with the ACTIVE-state check</w:t>
      </w:r>
      <w:r>
        <w:rPr>
          <w:rFonts w:ascii="Times New Roman" w:cs="Times New Roman" w:eastAsia="Times New Roman" w:hAnsi="Times New Roman"/>
          <w:sz w:val="22"/>
          <w:szCs w:val="22"/>
        </w:rPr>
        <w:t xml:space="preserve">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w:t>
      </w:r>
      <w:r>
        <w:rPr>
          <w:rFonts w:ascii="Times New Roman" w:cs="Times New Roman" w:eastAsia="Times New Roman" w:hAnsi="Times New Roman"/>
          <w:color w:val="FF0000"/>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w:t>
      </w:r>
      <w:r>
        <w:rPr>
          <w:rFonts w:ascii="Times New Roman" w:cs="Times New Roman" w:eastAsia="Times New Roman" w:hAnsi="Times New Roman"/>
          <w:sz w:val="22"/>
          <w:szCs w:val="22"/>
        </w:rPr>
        <w:t xml:space="preserve">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w:t>
      </w:r>
      <w:r>
        <w:rPr>
          <w:rFonts w:ascii="Times New Roman" w:cs="Times New Roman" w:eastAsia="Times New Roman" w:hAnsi="Times New Roman"/>
          <w:color w:val="FF0000"/>
          <w:sz w:val="22"/>
          <w:szCs w:val="22"/>
        </w:rPr>
        <w:t xml:space="preserve">after the decision matrix has been evaluated, and the decision combines the two</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w:t>
      </w:r>
      <w:r>
        <w:rPr>
          <w:rFonts w:ascii="Times New Roman" w:cs="Times New Roman" w:eastAsia="Times New Roman" w:hAnsi="Times New Roman"/>
          <w:sz w:val="22"/>
          <w:szCs w:val="22"/>
        </w:rPr>
        <w:t xml:space="preserve">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w:t>
      </w:r>
      <w:r>
        <w:rPr>
          <w:rFonts w:ascii="Times New Roman" w:cs="Times New Roman" w:eastAsia="Times New Roman" w:hAnsi="Times New Roman"/>
          <w:sz w:val="22"/>
          <w:szCs w:val="22"/>
        </w:rP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(C, R) = 1 ⟺ Jur(R) = Jur(C).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w:t>
      </w:r>
      <w:r>
        <w:rPr>
          <w:rFonts w:ascii="Times New Roman" w:cs="Times New Roman" w:eastAsia="Times New Roman" w:hAnsi="Times New Roman"/>
          <w:color w:val="FF0000"/>
          <w:sz w:val="22"/>
          <w:szCs w:val="22"/>
        </w:rPr>
        <w:t xml:space="preserve">lifecycle</w:t>
      </w:r>
      <w:r>
        <w:rPr>
          <w:rFonts w:ascii="Times New Roman" w:cs="Times New Roman" w:eastAsia="Times New Roman" w:hAnsi="Times New Roman"/>
          <w:color w:val="FF0000"/>
          <w:sz w:val="22"/>
          <w:szCs w:val="22"/>
        </w:rPr>
        <w:t xml:space="preserv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 </w:t>
      </w:r>
      <w:r>
        <w:rPr>
          <w:rFonts w:ascii="Times New Roman" w:cs="Times New Roman" w:eastAsia="Times New Roman" w:hAnsi="Times New Roman"/>
          <w:sz w:val="22"/>
          <w:szCs w:val="22"/>
        </w:rPr>
        <w:t xml:space="preserve">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derives the lifecycle state from the application record and also checks the revocation flag and the token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 current prototype,</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sz w:val="22"/>
          <w:szCs w:val="22"/>
        </w:rPr>
        <w:t xml:space="preserve">, including the SUSPENDED state</w:t>
      </w:r>
      <w:r>
        <w:rPr>
          <w:rFonts w:ascii="Times New Roman" w:cs="Times New Roman" w:eastAsia="Times New Roman" w:hAnsi="Times New Roman"/>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checks of the prototype decision matrix</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trike/>
          <w:color w:val="FF0000"/>
          <w:sz w:val="22"/>
          <w:szCs w:val="22"/>
        </w:rPr>
        <w:t xml:space="preserve">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r>
        <w:rPr>
          <w:rFonts w:ascii="Times New Roman" w:cs="Times New Roman" w:eastAsia="Times New Roman" w:hAnsi="Times New Roman"/>
          <w:color w:val="FF0000"/>
          <w:sz w:val="22"/>
          <w:szCs w:val="22"/>
        </w:rPr>
        <w:t xml:space="preserve">Its 23 functional and regression tests check that each of </w:t>
      </w:r>
      <w:r>
        <w:rPr>
          <w:rFonts w:ascii="Times New Roman" w:cs="Times New Roman" w:eastAsia="Times New Roman" w:hAnsi="Times New Roman"/>
          <w:color w:val="FF0000"/>
          <w:sz w:val="22"/>
          <w:szCs w:val="22"/>
        </w:rPr>
        <w:t xml:space="preserve">these five checks</w:t>
      </w:r>
      <w:r>
        <w:rPr>
          <w:rFonts w:ascii="Times New Roman" w:cs="Times New Roman" w:eastAsia="Times New Roman" w:hAnsi="Times New Roman"/>
          <w:color w:val="FF0000"/>
          <w:sz w:val="22"/>
          <w:szCs w:val="22"/>
        </w:rPr>
        <w:t xml:space="preserve"> can refuse a request on its own: an invalid guardian signature (V</w:t>
      </w:r>
      <w:r>
        <w:rPr>
          <w:rFonts w:ascii="Times New Roman" w:cs="Times New Roman" w:eastAsia="Times New Roman" w:hAnsi="Times New Roman"/>
          <w:color w:val="FF0000"/>
          <w:sz w:val="22"/>
          <w:szCs w:val="22"/>
          <w:vertAlign w:val="subscript"/>
        </w:rPr>
        <w:t xml:space="preserve">I</w:t>
      </w:r>
      <w:r>
        <w:rPr>
          <w:rFonts w:ascii="Times New Roman" w:cs="Times New Roman" w:eastAsia="Times New Roman" w:hAnsi="Times New Roman"/>
          <w:color w:val="FF0000"/>
          <w:sz w:val="22"/>
          <w:szCs w:val="22"/>
        </w:rPr>
        <w:t xml:space="preserve">), a revoked consent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a purpose that is not a supported healthcare use (V</w:t>
      </w:r>
      <w:r>
        <w:rPr>
          <w:rFonts w:ascii="Times New Roman" w:cs="Times New Roman" w:eastAsia="Times New Roman" w:hAnsi="Times New Roman"/>
          <w:color w:val="FF0000"/>
          <w:sz w:val="22"/>
          <w:szCs w:val="22"/>
          <w:vertAlign w:val="subscript"/>
        </w:rPr>
        <w:t xml:space="preserve">P</w:t>
      </w:r>
      <w:r>
        <w:rPr>
          <w:rFonts w:ascii="Times New Roman" w:cs="Times New Roman" w:eastAsia="Times New Roman" w:hAnsi="Times New Roman"/>
          <w:color w:val="FF0000"/>
          <w:sz w:val="22"/>
          <w:szCs w:val="22"/>
        </w:rPr>
        <w:t xml:space="preserve">), an expired consent (V</w:t>
      </w:r>
      <w:r>
        <w:rPr>
          <w:rFonts w:ascii="Times New Roman" w:cs="Times New Roman" w:eastAsia="Times New Roman" w:hAnsi="Times New Roman"/>
          <w:color w:val="FF0000"/>
          <w:sz w:val="22"/>
          <w:szCs w:val="22"/>
          <w:vertAlign w:val="subscript"/>
        </w:rPr>
        <w:t xml:space="preserve">T</w:t>
      </w:r>
      <w:r>
        <w:rPr>
          <w:rFonts w:ascii="Times New Roman" w:cs="Times New Roman" w:eastAsia="Times New Roman" w:hAnsi="Times New Roman"/>
          <w:color w:val="FF0000"/>
          <w:sz w:val="22"/>
          <w:szCs w:val="22"/>
        </w:rPr>
        <w:t xml:space="preserve">) and a jurisdiction mismatch </w:t>
      </w:r>
      <w:r>
        <w:rPr>
          <w:rFonts w:ascii="Times New Roman" w:cs="Times New Roman" w:eastAsia="Times New Roman" w:hAnsi="Times New Roman"/>
          <w:color w:val="FF0000"/>
          <w:sz w:val="22"/>
          <w:szCs w:val="22"/>
        </w:rPr>
        <w:t xml:space="preserve">(the exploratory check V</w:t>
      </w:r>
      <w:r>
        <w:rPr>
          <w:rFonts w:ascii="Times New Roman" w:cs="Times New Roman" w:eastAsia="Times New Roman" w:hAnsi="Times New Roman"/>
          <w:color w:val="FF0000"/>
          <w:sz w:val="22"/>
          <w:szCs w:val="22"/>
          <w:vertAlign w:val="subscript"/>
        </w:rPr>
        <w:t xml:space="preserve">J</w:t>
      </w:r>
      <w:r>
        <w:rPr>
          <w:rFonts w:ascii="Times New Roman" w:cs="Times New Roman" w:eastAsia="Times New Roman" w:hAnsi="Times New Roman"/>
          <w:color w:val="FF0000"/>
          <w:sz w:val="22"/>
          <w:szCs w:val="22"/>
        </w:rPr>
        <w:t xml:space="preserve">, labelled VL in the prototype)</w:t>
      </w:r>
      <w:r>
        <w:rPr>
          <w:rFonts w:ascii="Times New Roman" w:cs="Times New Roman" w:eastAsia="Times New Roman" w:hAnsi="Times New Roman"/>
          <w:color w:val="FF0000"/>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w:t>
      </w:r>
      <w:r>
        <w:rPr>
          <w:rFonts w:ascii="Times New Roman" w:cs="Times New Roman" w:eastAsia="Times New Roman" w:hAnsi="Times New Roman"/>
          <w:b/>
          <w:bCs/>
          <w:sz w:val="22"/>
          <w:szCs w:val="22"/>
        </w:rPr>
        <w:t xml:space="preserve">exploratory check, supports RQ4</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w:t>
      </w:r>
      <w:r>
        <w:rPr>
          <w:rFonts w:ascii="Times New Roman" w:cs="Times New Roman" w:eastAsia="Times New Roman" w:hAnsi="Times New Roman"/>
          <w:sz w:val="22"/>
          <w:szCs w:val="22"/>
        </w:rPr>
        <w:t xml:space="preserve">the jurisdiction check passed. This check is the exploratory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of Section 9.5, which the prototype interface labels VL.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w:t>
      </w:r>
      <w:r>
        <w:rPr>
          <w:rFonts w:ascii="Times New Roman" w:cs="Times New Roman" w:eastAsia="Times New Roman" w:hAnsi="Times New Roman"/>
          <w:sz w:val="22"/>
          <w:szCs w:val="22"/>
        </w:rPr>
        <w:t xml:space="preserv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w:t>
      </w:r>
      <w:r>
        <w:rPr>
          <w:rFonts w:ascii="Times New Roman" w:cs="Times New Roman" w:eastAsia="Times New Roman" w:hAnsi="Times New Roman"/>
          <w:sz w:val="22"/>
          <w:szCs w:val="22"/>
        </w:rPr>
        <w:t xml:space="preserve">the five checks of the prototype decision matrix</w:t>
      </w:r>
      <w:r>
        <w:rPr>
          <w:rFonts w:ascii="Times New Roman" w:cs="Times New Roman" w:eastAsia="Times New Roman" w:hAnsi="Times New Roman"/>
          <w:sz w:val="22"/>
          <w:szCs w:val="22"/>
        </w:rPr>
        <w:t xml:space="preserve">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trike/>
          <w:color w:val="FF0000"/>
          <w:sz w:val="22"/>
          <w:szCs w:val="22"/>
        </w:rPr>
        <w:t xml:space="preserve">Anchoring confirmation is the slowest step, but it runs in the background, so it delays neither the guardians nor the doctor.</w:t>
      </w:r>
      <w:r>
        <w:rPr>
          <w:rFonts w:ascii="Times New Roman" w:cs="Times New Roman" w:eastAsia="Times New Roman" w:hAnsi="Times New Roman"/>
          <w:color w:val="FF0000"/>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t>
      </w:r>
      <w:r>
        <w:rPr>
          <w:rFonts w:ascii="Times New Roman" w:cs="Times New Roman" w:eastAsia="Times New Roman" w:hAnsi="Times New Roman"/>
          <w:sz w:val="22"/>
          <w:szCs w:val="22"/>
        </w:rPr>
        <w:t xml:space="preserve">and contextual policy conditions such as jurisdiction extend the policy evaluation of Section 9,</w:t>
      </w:r>
      <w:r>
        <w:rPr>
          <w:rFonts w:ascii="Times New Roman" w:cs="Times New Roman" w:eastAsia="Times New Roman" w:hAnsi="Times New Roman"/>
          <w:sz w:val="22"/>
          <w:szCs w:val="22"/>
        </w:rPr>
        <w:t xml:space="preserve">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2026-10-09T15:44:00.395Z</dcterms:created>
  <dcterms:modified xsi:type="dcterms:W3CDTF">2026-10-09T15:44:00.396Z</dcterms:modified>
</cp:coreProperties>
</file>

<file path=docProps/custom.xml><?xml version="1.0" encoding="utf-8"?>
<Properties xmlns="http://schemas.openxmlformats.org/officeDocument/2006/custom-properties" xmlns:vt="http://schemas.openxmlformats.org/officeDocument/2006/docPropsVTypes"/>
</file>