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green"/>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w:t>
      </w:r>
      <w:r>
        <w:rPr>
          <w:rFonts w:ascii="Times New Roman" w:cs="Times New Roman" w:eastAsia="Times New Roman" w:hAnsi="Times New Roman"/>
          <w:sz w:val="22"/>
          <w:szCs w:val="22"/>
        </w:rPr>
        <w:t xml:space="preserve">temporal and lifecycle conditions</w:t>
      </w:r>
      <w:r>
        <w:rPr>
          <w:rFonts w:ascii="Times New Roman" w:cs="Times New Roman" w:eastAsia="Times New Roman" w:hAnsi="Times New Roman"/>
          <w:sz w:val="22"/>
          <w:szCs w:val="22"/>
        </w:rPr>
        <w:t xml:space="preserve">,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w:t>
      </w:r>
      <w:r>
        <w:rPr>
          <w:rFonts w:ascii="Times New Roman" w:cs="Times New Roman" w:eastAsia="Times New Roman" w:hAnsi="Times New Roman"/>
          <w:sz w:val="22"/>
          <w:szCs w:val="22"/>
        </w:rPr>
        <w:t xml:space="preserve">purpose and data scope</w:t>
      </w:r>
      <w:r>
        <w:rPr>
          <w:rFonts w:ascii="Times New Roman" w:cs="Times New Roman" w:eastAsia="Times New Roman" w:hAnsi="Times New Roman"/>
          <w:sz w:val="22"/>
          <w:szCs w:val="22"/>
        </w:rPr>
        <w:t xml:space="preserve">, temporal validity, </w:t>
      </w:r>
      <w:r>
        <w:rPr>
          <w:rFonts w:ascii="Times New Roman" w:cs="Times New Roman" w:eastAsia="Times New Roman" w:hAnsi="Times New Roman"/>
          <w:sz w:val="22"/>
          <w:szCs w:val="22"/>
        </w:rPr>
        <w:t xml:space="preserve">lifecycle state, </w:t>
      </w:r>
      <w:r>
        <w:rPr>
          <w:rFonts w:ascii="Times New Roman" w:cs="Times New Roman" w:eastAsia="Times New Roman" w:hAnsi="Times New Roman"/>
          <w:sz w:val="22"/>
          <w:szCs w:val="22"/>
        </w:rPr>
        <w:t xml:space="preserve">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w:t>
      </w:r>
      <w:r>
        <w:rPr>
          <w:rFonts w:ascii="Times New Roman" w:cs="Times New Roman" w:eastAsia="Times New Roman" w:hAnsi="Times New Roman"/>
          <w:sz w:val="22"/>
          <w:szCs w:val="22"/>
        </w:rPr>
        <w:t xml:space="preserve">This applies to every request</w:t>
      </w:r>
      <w:r>
        <w:rPr>
          <w:rFonts w:ascii="Times New Roman" w:cs="Times New Roman" w:eastAsia="Times New Roman" w:hAnsi="Times New Roman"/>
          <w:sz w:val="22"/>
          <w:szCs w:val="22"/>
        </w:rPr>
        <w:t xml:space="preserve">, because many unauthorised disclosures are caused by legitimate requesters who exceed their scope </w:t>
      </w:r>
      <w:r>
        <w:rPr>
          <w:rFonts w:ascii="Times New Roman" w:cs="Times New Roman" w:eastAsia="Times New Roman" w:hAnsi="Times New Roman"/>
          <w:sz w:val="22"/>
          <w:szCs w:val="22"/>
          <w:highlight w:val="green"/>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highlight w:val="green"/>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through Algorithm 9.1.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w:t>
            </w:r>
            <w:r>
              <w:rPr>
                <w:rFonts w:ascii="Times New Roman" w:cs="Times New Roman" w:eastAsia="Times New Roman" w:hAnsi="Times New Roman"/>
                <w:b w:val="false"/>
                <w:bCs w:val="false"/>
                <w:sz w:val="17"/>
                <w:szCs w:val="17"/>
              </w:rPr>
              <w:t xml:space="preserve">The SUSPENDED state and the lifecycle transition check are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Purpose and data-scope</w:t>
      </w:r>
      <w:r>
        <w:rPr>
          <w:rFonts w:ascii="Times New Roman" w:cs="Times New Roman" w:eastAsia="Times New Roman" w:hAnsi="Times New Roman"/>
          <w:sz w:val="22"/>
          <w:szCs w:val="22"/>
        </w:rPr>
        <w:t xml:space="preserve">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w:t>
      </w:r>
      <w:r>
        <w:rPr>
          <w:rFonts w:ascii="Times New Roman" w:cs="Times New Roman" w:eastAsia="Times New Roman" w:hAnsi="Times New Roman"/>
          <w:sz w:val="22"/>
          <w:szCs w:val="22"/>
        </w:rPr>
        <w:t xml:space="preserve">Depending on the consent configuration, G may contain healthcare professionals, guardians, institutional representatives, or other authorised parties. In the current prototype, the members of G are guardians.</w:t>
      </w:r>
      <w:r>
        <w:rPr>
          <w:rFonts w:ascii="Times New Roman" w:cs="Times New Roman" w:eastAsia="Times New Roman" w:hAnsi="Times New Roman"/>
          <w:sz w:val="22"/>
          <w:szCs w:val="22"/>
        </w:rPr>
        <w:t xml:space="preserve"> Each </w:t>
      </w:r>
      <w:r>
        <w:rPr>
          <w:rFonts w:ascii="Times New Roman" w:cs="Times New Roman" w:eastAsia="Times New Roman" w:hAnsi="Times New Roman"/>
          <w:sz w:val="22"/>
          <w:szCs w:val="22"/>
        </w:rPr>
        <w:t xml:space="preserve">member of G</w:t>
      </w:r>
      <w:r>
        <w:rPr>
          <w:rFonts w:ascii="Times New Roman" w:cs="Times New Roman" w:eastAsia="Times New Roman" w:hAnsi="Times New Roman"/>
          <w:sz w:val="22"/>
          <w:szCs w:val="22"/>
        </w:rPr>
        <w:t xml:space="preserve"> is checked to determine whether the individual or entity possesses the required authority to participate in consent-related decisions. The threshold N is the number of valid </w:t>
      </w:r>
      <w:r>
        <w:rPr>
          <w:rFonts w:ascii="Times New Roman" w:cs="Times New Roman" w:eastAsia="Times New Roman" w:hAnsi="Times New Roman"/>
          <w:sz w:val="22"/>
          <w:szCs w:val="22"/>
        </w:rPr>
        <w:t xml:space="preserve">approvals from members of G</w:t>
      </w:r>
      <w:r>
        <w:rPr>
          <w:rFonts w:ascii="Times New Roman" w:cs="Times New Roman" w:eastAsia="Times New Roman" w:hAnsi="Times New Roman"/>
          <w:sz w:val="22"/>
          <w:szCs w:val="22"/>
        </w:rPr>
        <w:t xml:space="preserve">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w:t>
      </w:r>
      <w:r>
        <w:rPr>
          <w:rFonts w:ascii="Times New Roman" w:cs="Times New Roman" w:eastAsia="Times New Roman" w:hAnsi="Times New Roman"/>
          <w:sz w:val="22"/>
          <w:szCs w:val="22"/>
        </w:rPr>
        <w:t xml:space="preserve">T is the temporal validity window, and L represents the current state of the consent object and its permissible transitions, including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consent lifecycle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 9.5) to pass and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Groth16 ZK proof </w:t>
      </w:r>
      <w:r>
        <w:rPr>
          <w:rFonts w:ascii="Times New Roman" w:cs="Times New Roman" w:eastAsia="Times New Roman" w:hAnsi="Times New Roman"/>
          <w:sz w:val="22"/>
          <w:szCs w:val="22"/>
          <w:highlight w:val="green"/>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w:t>
      </w:r>
      <w:r>
        <w:rPr>
          <w:rFonts w:ascii="Times New Roman" w:cs="Times New Roman" w:eastAsia="Times New Roman" w:hAnsi="Times New Roman"/>
          <w:sz w:val="22"/>
          <w:szCs w:val="22"/>
        </w:rPr>
        <w:t xml:space="preserve">either fails, as in Scenario 4 (Section 11.3) and</w:t>
      </w:r>
      <w:r>
        <w:rPr>
          <w:rFonts w:ascii="Times New Roman" w:cs="Times New Roman" w:eastAsia="Times New Roman" w:hAnsi="Times New Roman"/>
          <w:sz w:val="22"/>
          <w:szCs w:val="22"/>
        </w:rPr>
        <w:t xml:space="preserve">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w:t>
      </w:r>
      <w:r>
        <w:rPr>
          <w:rFonts w:ascii="Times New Roman" w:cs="Times New Roman" w:eastAsia="Times New Roman" w:hAnsi="Times New Roman"/>
          <w:sz w:val="22"/>
          <w:szCs w:val="22"/>
        </w:rPr>
        <w:t xml:space="preserve">In the current prototype, a</w:t>
      </w:r>
      <w:r>
        <w:rPr>
          <w:rFonts w:ascii="Times New Roman" w:cs="Times New Roman" w:eastAsia="Times New Roman" w:hAnsi="Times New Roman"/>
          <w:sz w:val="22"/>
          <w:szCs w:val="22"/>
        </w:rPr>
        <w:t xml:space="preserve">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w:t>
      </w:r>
      <w:r>
        <w:rPr>
          <w:rFonts w:ascii="Times New Roman" w:cs="Times New Roman" w:eastAsia="Times New Roman" w:hAnsi="Times New Roman"/>
          <w:sz w:val="22"/>
          <w:szCs w:val="22"/>
        </w:rPr>
        <w:t xml:space="preserve">exploratory jurisdiction check of the</w:t>
      </w:r>
      <w:r>
        <w:rPr>
          <w:rFonts w:ascii="Times New Roman" w:cs="Times New Roman" w:eastAsia="Times New Roman" w:hAnsi="Times New Roman"/>
          <w:sz w:val="22"/>
          <w:szCs w:val="22"/>
        </w:rPr>
        <w:t xml:space="preserve"> application </w:t>
      </w:r>
      <w:r>
        <w:rPr>
          <w:rFonts w:ascii="Times New Roman" w:cs="Times New Roman" w:eastAsia="Times New Roman" w:hAnsi="Times New Roman"/>
          <w:sz w:val="22"/>
          <w:szCs w:val="22"/>
        </w:rPr>
        <w:t xml:space="preserve">(Section 9.5)</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w:t>
      </w:r>
      <w:r>
        <w:rPr>
          <w:rFonts w:ascii="Times New Roman" w:cs="Times New Roman" w:eastAsia="Times New Roman" w:hAnsi="Times New Roman"/>
          <w:sz w:val="22"/>
          <w:szCs w:val="22"/>
        </w:rPr>
        <w:t xml:space="preserve">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consent remains in a valid lifecycle state.</w:t>
      </w:r>
      <w:r>
        <w:rPr>
          <w:rFonts w:ascii="Times New Roman" w:cs="Times New Roman" w:eastAsia="Times New Roman" w:hAnsi="Times New Roman"/>
          <w:sz w:val="22"/>
          <w:szCs w:val="22"/>
        </w:rPr>
        <w:t xml:space="preserve"> The integrated decision can therefore be expressed as Equation (3.2). </w:t>
      </w:r>
      <w:r>
        <w:rPr>
          <w:rFonts w:ascii="Times New Roman" w:cs="Times New Roman" w:eastAsia="Times New Roman" w:hAnsi="Times New Roman"/>
          <w:sz w:val="22"/>
          <w:szCs w:val="22"/>
        </w:rPr>
        <w:t xml:space="preserve">In the current prototype, the Consent Engine derives the lifecycle state, a request proceeds only when this state is ACTIVE, and the revocation flag and the token are also checked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prototype interface also shows a check labelled VL, which compares the jurisdiction declared in the request with the jurisdiction recorded in the consent. This report denotes that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and treats jurisdiction as a contextual policy condition for the next stage (Section 9.5).</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 while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w:t>
      </w:r>
      <w:r>
        <w:rPr>
          <w:rFonts w:ascii="Times New Roman" w:cs="Times New Roman" w:eastAsia="Times New Roman" w:hAnsi="Times New Roman"/>
          <w:sz w:val="22"/>
          <w:szCs w:val="22"/>
        </w:rPr>
        <w:t xml:space="preserve">the members of G</w:t>
      </w:r>
      <w:r>
        <w:rPr>
          <w:rFonts w:ascii="Times New Roman" w:cs="Times New Roman" w:eastAsia="Times New Roman" w:hAnsi="Times New Roman"/>
          <w:sz w:val="22"/>
          <w:szCs w:val="22"/>
        </w:rPr>
        <w:t xml:space="preserve"> agreed, and the policy,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895850"/>
            <wp:effectExtent t="0" r="0" b="0" l="0"/>
            <wp:docPr id="1" name="F44.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w:t>
      </w:r>
      <w:r>
        <w:rPr>
          <w:rFonts w:ascii="Times New Roman" w:cs="Times New Roman" w:eastAsia="Times New Roman" w:hAnsi="Times New Roman"/>
          <w:sz w:val="18"/>
          <w:szCs w:val="18"/>
        </w:rPr>
        <w:t xml:space="preserve">lifecycle</w:t>
      </w:r>
      <w:r>
        <w:rPr>
          <w:rFonts w:ascii="Times New Roman" w:cs="Times New Roman" w:eastAsia="Times New Roman" w:hAnsi="Times New Roman"/>
          <w:sz w:val="18"/>
          <w:szCs w:val="18"/>
        </w:rPr>
        <w:t xml:space="preserve">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participants'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participants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w:t>
      </w:r>
      <w:r>
        <w:rPr>
          <w:rFonts w:ascii="Times New Roman" w:cs="Times New Roman" w:eastAsia="Times New Roman" w:hAnsi="Times New Roman"/>
          <w:sz w:val="22"/>
          <w:szCs w:val="22"/>
        </w:rPr>
        <w:t xml:space="preserve">participants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w:t>
      </w:r>
      <w:r>
        <w:rPr>
          <w:rFonts w:ascii="Times New Roman" w:cs="Times New Roman" w:eastAsia="Times New Roman" w:hAnsi="Times New Roman"/>
          <w:sz w:val="22"/>
          <w:szCs w:val="22"/>
        </w:rPr>
        <w:t xml:space="preserve">The policy, temporal and lifecycle checks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together with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w:t>
      </w:r>
      <w:r>
        <w:rPr>
          <w:rFonts w:ascii="Times New Roman" w:cs="Times New Roman" w:eastAsia="Times New Roman" w:hAnsi="Times New Roman"/>
          <w:sz w:val="22"/>
          <w:szCs w:val="22"/>
        </w:rPr>
        <w:t xml:space="preserv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w:t>
      </w:r>
      <w:r>
        <w:rPr>
          <w:rFonts w:ascii="Times New Roman" w:cs="Times New Roman" w:eastAsia="Times New Roman" w:hAnsi="Times New Roman"/>
          <w:sz w:val="22"/>
          <w:szCs w:val="22"/>
        </w:rPr>
        <w:t xml:space="preserve">L represents the current state of the consent object and its permissible transitions.</w:t>
      </w:r>
      <w:r>
        <w:rPr>
          <w:rFonts w:ascii="Times New Roman" w:cs="Times New Roman" w:eastAsia="Times New Roman" w:hAnsi="Times New Roman"/>
          <w:sz w:val="22"/>
          <w:szCs w:val="22"/>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981325"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813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w:t>
      </w:r>
      <w:r>
        <w:rPr>
          <w:rFonts w:ascii="Times New Roman" w:cs="Times New Roman" w:eastAsia="Times New Roman" w:hAnsi="Times New Roman"/>
          <w:sz w:val="22"/>
          <w:szCs w:val="22"/>
        </w:rPr>
        <w:t xml:space="preserve">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where L is the lifecycle state; the states shown are those of the design, and the states implemented in the prototype are given in Section 10.2" title="Six-component consent model C = (I, A, P, T, L, E) with the content and supplier of each component, where L is the lifecycle state; the states shown are those of the design, and the states implemented in the prototype are given in Sectio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 where L is the lifecycle state</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states shown are those of the design, and the states implemented in the prototype are given in Section 10.2</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w:t>
      </w:r>
      <w:r>
        <w:rPr>
          <w:rFonts w:ascii="Times New Roman" w:cs="Times New Roman" w:eastAsia="Times New Roman" w:hAnsi="Times New Roman"/>
          <w:sz w:val="22"/>
          <w:szCs w:val="22"/>
        </w:rPr>
        <w:t xml:space="preserve">validity interval,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w:t>
      </w:r>
      <w:r>
        <w:rPr>
          <w:rFonts w:ascii="Times New Roman" w:cs="Times New Roman" w:eastAsia="Times New Roman" w:hAnsi="Times New Roman"/>
          <w:sz w:val="22"/>
          <w:szCs w:val="22"/>
        </w:rPr>
        <w:t xml:space="preserve">T → A</w:t>
      </w:r>
      <w:r>
        <w:rPr>
          <w:rFonts w:ascii="Times New Roman" w:cs="Times New Roman" w:eastAsia="Times New Roman" w:hAnsi="Times New Roman"/>
          <w:sz w:val="22"/>
          <w:szCs w:val="22"/>
        </w:rPr>
        <w:t xml:space="preserve">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validity interval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w:t>
      </w:r>
      <w:r>
        <w:rPr>
          <w:rFonts w:ascii="Times New Roman" w:cs="Times New Roman" w:eastAsia="Times New Roman" w:hAnsi="Times New Roman"/>
          <w:sz w:val="19"/>
          <w:szCs w:val="19"/>
        </w:rPr>
        <w:t xml:space="preserve">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T holds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L holds the lifecycle state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L ← PENDING   ▷ PENDING_SIGNATURE in the prototype, where</w:t>
      </w:r>
      <w:r>
        <w:rPr>
          <w:rFonts w:ascii="Times New Roman" w:cs="Times New Roman" w:eastAsia="Times New Roman" w:hAnsi="Times New Roman"/>
          <w:sz w:val="19"/>
          <w:szCs w:val="19"/>
        </w:rPr>
        <w:t xml:space="preserve">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w:t>
      </w:r>
      <w:r>
        <w:rPr>
          <w:rFonts w:ascii="Times New Roman" w:cs="Times New Roman" w:eastAsia="Times New Roman" w:hAnsi="Times New Roman"/>
          <w:sz w:val="22"/>
          <w:szCs w:val="22"/>
        </w:rPr>
        <w:t xml:space="preserve">PENDING state (PENDING_SIGNATURE in the prototype)</w:t>
      </w:r>
      <w:r>
        <w:rPr>
          <w:rFonts w:ascii="Times New Roman" w:cs="Times New Roman" w:eastAsia="Times New Roman" w:hAnsi="Times New Roman"/>
          <w:sz w:val="22"/>
          <w:szCs w:val="22"/>
        </w:rPr>
        <w:t xml:space="preserv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authorisation participants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w:t>
      </w:r>
      <w:r>
        <w:rPr>
          <w:rFonts w:ascii="Times New Roman" w:cs="Times New Roman" w:eastAsia="Times New Roman" w:hAnsi="Times New Roman"/>
          <w:sz w:val="22"/>
          <w:szCs w:val="22"/>
        </w:rPr>
        <w:t xml:space="preserve">The set G defines which participants are eligible to contribute an approval to the authorisation process. Depending on the consent configuration, G may contain healthcare professionals, guardians, institutional representatives, or other authorised parties.</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w:t>
      </w:r>
      <w:r>
        <w:rPr>
          <w:rFonts w:ascii="Times New Roman" w:cs="Times New Roman" w:eastAsia="Times New Roman" w:hAnsi="Times New Roman"/>
          <w:sz w:val="22"/>
          <w:szCs w:val="22"/>
        </w:rPr>
        <w:t xml:space="preserve">the corresponding participant g</w:t>
      </w:r>
      <w:r>
        <w:rPr>
          <w:rFonts w:ascii="Times New Roman" w:cs="Times New Roman" w:eastAsia="Times New Roman" w:hAnsi="Times New Roman"/>
          <w:sz w:val="22"/>
          <w:szCs w:val="22"/>
        </w:rPr>
        <w:t xml:space="preserve">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jurisdiction code Jur(C) recorded by the prototype</w:t>
      </w:r>
      <w:r>
        <w:rPr>
          <w:rFonts w:ascii="Times New Roman" w:cs="Times New Roman" w:eastAsia="Times New Roman" w:hAnsi="Times New Roman"/>
          <w:sz w:val="19"/>
          <w:szCs w:val="19"/>
        </w:rPr>
        <w:t xml:space="preserve">,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w:t>
      </w:r>
      <w:r>
        <w:rPr>
          <w:rFonts w:ascii="Times New Roman" w:cs="Times New Roman" w:eastAsia="Times New Roman" w:hAnsi="Times New Roman"/>
          <w:sz w:val="19"/>
          <w:szCs w:val="19"/>
        </w:rPr>
        <w:t xml:space="preserve">L</w:t>
      </w:r>
      <w:r>
        <w:rPr>
          <w:rFonts w:ascii="Times New Roman" w:cs="Times New Roman" w:eastAsia="Times New Roman" w:hAnsi="Times New Roman"/>
          <w:sz w:val="19"/>
          <w:szCs w:val="19"/>
        </w:rPr>
        <w:t xml:space="preserv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w:t>
      </w:r>
      <w:r>
        <w:rPr>
          <w:rFonts w:ascii="Times New Roman" w:cs="Times New Roman" w:eastAsia="Times New Roman" w:hAnsi="Times New Roman"/>
          <w:sz w:val="19"/>
          <w:szCs w:val="19"/>
        </w:rPr>
        <w:t xml:space="preserve">,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w:t>
      </w:r>
      <w:r>
        <w:rPr>
          <w:rFonts w:ascii="Times New Roman" w:cs="Times New Roman" w:eastAsia="Times New Roman" w:hAnsi="Times New Roman"/>
          <w:sz w:val="22"/>
          <w:szCs w:val="22"/>
        </w:rPr>
        <w:t xml:space="preserve">the five verification predicates in Equation (9.3)</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w:t>
      </w:r>
      <w:r>
        <w:rPr>
          <w:rFonts w:ascii="Times New Roman" w:cs="Times New Roman" w:eastAsia="Times New Roman" w:hAnsi="Times New Roman"/>
          <w:sz w:val="22"/>
          <w:szCs w:val="22"/>
        </w:rPr>
        <w:t xml:space="preserve">The matrix column labelled VL is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(Sections 5.2 and 9.5), whereas the lifecycle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Equation (9.3) corresponds to the requirement that the consent state be ACTIVE.</w:t>
      </w:r>
      <w:r>
        <w:rPr>
          <w:rFonts w:ascii="Times New Roman" w:cs="Times New Roman" w:eastAsia="Times New Roman" w:hAnsi="Times New Roman"/>
          <w:sz w:val="22"/>
          <w:szCs w:val="22"/>
        </w:rPr>
        <w:t xml:space="preserve"> The final decision therefore combines the decision matrix with that scope check</w:t>
      </w:r>
      <w:r>
        <w:rPr>
          <w:rFonts w:ascii="Times New Roman" w:cs="Times New Roman" w:eastAsia="Times New Roman" w:hAnsi="Times New Roman"/>
          <w:sz w:val="22"/>
          <w:szCs w:val="22"/>
        </w:rPr>
        <w:t xml:space="preserve">, with the ACTIVE-state check</w:t>
      </w:r>
      <w:r>
        <w:rPr>
          <w:rFonts w:ascii="Times New Roman" w:cs="Times New Roman" w:eastAsia="Times New Roman" w:hAnsi="Times New Roman"/>
          <w:sz w:val="22"/>
          <w:szCs w:val="22"/>
        </w:rPr>
        <w:t xml:space="preserve">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evaluation step also applies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of the prototype (Section 9.5)</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w:t>
      </w:r>
      <w:r>
        <w:rPr>
          <w:rFonts w:ascii="Times New Roman" w:cs="Times New Roman" w:eastAsia="Times New Roman" w:hAnsi="Times New Roman"/>
          <w:sz w:val="19"/>
          <w:szCs w:val="19"/>
        </w:rPr>
        <w:t xml:space="preserve">the consent lifecycle state, V</w:t>
      </w:r>
      <w:r>
        <w:rPr>
          <w:rFonts w:ascii="Times New Roman" w:cs="Times New Roman" w:eastAsia="Times New Roman" w:hAnsi="Times New Roman"/>
          <w:sz w:val="19"/>
          <w:szCs w:val="19"/>
          <w:vertAlign w:val="subscript"/>
        </w:rPr>
        <w:t xml:space="preserve">L</w:t>
      </w:r>
      <w:r>
        <w:rPr>
          <w:rFonts w:ascii="Times New Roman" w:cs="Times New Roman" w:eastAsia="Times New Roman" w:hAnsi="Times New Roman"/>
          <w:sz w:val="19"/>
          <w:szCs w:val="19"/>
        </w:rPr>
        <w:t xml:space="preserve">(C)</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exploratory jurisdiction check V</w:t>
      </w:r>
      <w:r>
        <w:rPr>
          <w:rFonts w:ascii="Times New Roman" w:cs="Times New Roman" w:eastAsia="Times New Roman" w:hAnsi="Times New Roman"/>
          <w:sz w:val="19"/>
          <w:szCs w:val="19"/>
          <w:vertAlign w:val="subscript"/>
        </w:rPr>
        <w:t xml:space="preserve">J</w:t>
      </w:r>
      <w:r>
        <w:rPr>
          <w:rFonts w:ascii="Times New Roman" w:cs="Times New Roman" w:eastAsia="Times New Roman" w:hAnsi="Times New Roman"/>
          <w:sz w:val="19"/>
          <w:szCs w:val="19"/>
        </w:rPr>
        <w:t xml:space="preserve"> of the prototype (Section 9.5)</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w:t>
      </w:r>
      <w:r>
        <w:rPr>
          <w:rFonts w:ascii="Times New Roman" w:cs="Times New Roman" w:eastAsia="Times New Roman" w:hAnsi="Times New Roman"/>
          <w:sz w:val="19"/>
          <w:szCs w:val="19"/>
        </w:rPr>
        <w:t xml:space="preserve">after the decision matrix has been evaluated, and the decision combines the two</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w:t>
      </w:r>
      <w:r>
        <w:rPr>
          <w:rFonts w:ascii="Times New Roman" w:cs="Times New Roman" w:eastAsia="Times New Roman" w:hAnsi="Times New Roman"/>
          <w:sz w:val="22"/>
          <w:szCs w:val="22"/>
        </w:rPr>
        <w:t xml:space="preserve">and temporal validity</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w:t>
      </w:r>
      <w:r>
        <w:rPr>
          <w:rFonts w:ascii="Times New Roman" w:cs="Times New Roman" w:eastAsia="Times New Roman" w:hAnsi="Times New Roman"/>
          <w:sz w:val="22"/>
          <w:szCs w:val="22"/>
        </w:rPr>
        <w:t xml:space="preserve">after the decision matrix has been evaluated, and the decision combines the two</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green"/>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green"/>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w:t>
      </w:r>
      <w:r>
        <w:rPr>
          <w:rFonts w:ascii="Times New Roman" w:cs="Times New Roman" w:eastAsia="Times New Roman" w:hAnsi="Times New Roman"/>
          <w:sz w:val="22"/>
          <w:szCs w:val="22"/>
        </w:rPr>
        <w:t xml:space="preserve">Malformed guardian identifiers and empty scopes therefore do not reach the decision logic, whereas the doctor DID is checked for DID format only when the access decision is evaluated.</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w:t>
      </w:r>
      <w:r>
        <w:rPr>
          <w:rFonts w:ascii="Times New Roman" w:cs="Times New Roman" w:eastAsia="Times New Roman" w:hAnsi="Times New Roman"/>
          <w:sz w:val="22"/>
          <w:szCs w:val="22"/>
        </w:rP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(C, R) = 1 ⟺ Jur(R) = Jur(C). The current prototype already includes an exploratory version of this check, which its interface labels VL and which Section 11 uses in one refused request.</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and Lifecycle</w:t>
      </w:r>
      <w:r>
        <w:rPr>
          <w:rFonts w:ascii="Times New Roman" w:cs="Times New Roman" w:eastAsia="Times New Roman" w:hAnsi="Times New Roman"/>
          <w:b/>
          <w:bCs/>
          <w:sz w:val="26"/>
          <w:szCs w:val="26"/>
        </w:rPr>
        <w:t xml:space="preserve"> 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Temporal validity must also be evaluated together with the lifecycle state of the consent. The lifecycle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Specification → Verification → Approval → Active → Expiration/Revocation.</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 q.</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If the consent is temporally valid, in an appropriate lifecycle state, and has not been revoked, the system validates the requested transition q. The transition is evaluated against the predefined lifecycle-transition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w:t>
      </w:r>
      <w:r>
        <w:rPr>
          <w:rFonts w:ascii="Cambria Math" w:cs="Cambria Math" w:eastAsia="Cambria Math" w:hAnsi="Cambria Math"/>
          <w:i w:val="false"/>
          <w:iCs w:val="false"/>
          <w:sz w:val="21"/>
          <w:szCs w:val="21"/>
          <w:vertAlign w:val="superscript"/>
        </w:rPr>
        <w:t xml:space="preserve">q</w:t>
      </w:r>
      <w:r>
        <w:rPr>
          <w:rFonts w:ascii="Cambria Math" w:cs="Cambria Math" w:eastAsia="Cambria Math" w:hAnsi="Cambria Math"/>
          <w:i w:val="false"/>
          <w:iCs w:val="false"/>
          <w:sz w:val="21"/>
          <w:szCs w:val="21"/>
        </w:rPr>
        <w:t xml:space="preserve"> State′(C).</w:t>
      </w:r>
      <w:r>
        <w:rPr>
          <w:rFonts w:ascii="Times New Roman" w:cs="Times New Roman" w:eastAsia="Times New Roman" w:hAnsi="Times New Roman"/>
          <w:sz w:val="22"/>
          <w:szCs w:val="22"/>
        </w:rPr>
        <w:t xml:space="preserve">	(10.4)</w:t>
      </w:r>
    </w:p>
    <w:p>
      <w:pPr>
        <w:spacing w:after="110" w:line="264"/>
        <w:jc w:val="both"/>
      </w:pPr>
      <w:r>
        <w:rPr>
          <w:rFonts w:ascii="Times New Roman" w:cs="Times New Roman" w:eastAsia="Times New Roman" w:hAnsi="Times New Roman"/>
          <w:sz w:val="22"/>
          <w:szCs w:val="22"/>
        </w:rPr>
        <w:t xml:space="preserve">The transition is valid only when q is explicitly permitted from the current state. The lifecycle validity predicate can therefore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 ValidState(C) ∧ ValidTransition(C).</w:t>
      </w:r>
      <w:r>
        <w:rPr>
          <w:rFonts w:ascii="Times New Roman" w:cs="Times New Roman" w:eastAsia="Times New Roman" w:hAnsi="Times New Roman"/>
          <w:sz w:val="22"/>
          <w:szCs w:val="22"/>
        </w:rPr>
        <w:t xml:space="preserve">	(10.5)</w:t>
      </w:r>
    </w:p>
    <w:p>
      <w:pPr>
        <w:spacing w:after="110" w:line="264"/>
        <w:jc w:val="both"/>
      </w:pPr>
      <w:r>
        <w:rPr>
          <w:rFonts w:ascii="Times New Roman" w:cs="Times New Roman" w:eastAsia="Times New Roman" w:hAnsi="Times New Roman"/>
          <w:sz w:val="22"/>
          <w:szCs w:val="22"/>
        </w:rPr>
        <w:t xml:space="preserve">An authorisation decision consequently requires both temporal and lifecycle validity. </w:t>
      </w:r>
      <w:r>
        <w:rPr>
          <w:rFonts w:ascii="Times New Roman" w:cs="Times New Roman" w:eastAsia="Times New Roman" w:hAnsi="Times New Roman"/>
          <w:sz w:val="22"/>
          <w:szCs w:val="22"/>
        </w:rPr>
        <w:t xml:space="preserve">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extended authorisation decision is therefore given by Equation (10.6).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(10.6)</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derives the lifecycle state from the application record and also checks the revocation flag and the token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 current prototype,</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sz w:val="22"/>
          <w:szCs w:val="22"/>
        </w:rPr>
        <w:t xml:space="preserve">.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w:t>
      </w:r>
      <w:r>
        <w:rPr>
          <w:rFonts w:ascii="Times New Roman" w:cs="Times New Roman" w:eastAsia="Times New Roman" w:hAnsi="Times New Roman"/>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sz w:val="22"/>
          <w:szCs w:val="22"/>
        </w:rPr>
        <w:t xml:space="preserve">, including the SUSPENDED state</w:t>
      </w:r>
      <w:r>
        <w:rPr>
          <w:rFonts w:ascii="Times New Roman" w:cs="Times New Roman" w:eastAsia="Times New Roman" w:hAnsi="Times New Roman"/>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checks of the prototype decision matrix</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w:t>
      </w:r>
      <w:r>
        <w:rPr>
          <w:rFonts w:ascii="Times New Roman" w:cs="Times New Roman" w:eastAsia="Times New Roman" w:hAnsi="Times New Roman"/>
          <w:sz w:val="22"/>
          <w:szCs w:val="22"/>
        </w:rPr>
        <w:t xml:space="preserve">these five checks</w:t>
      </w:r>
      <w:r>
        <w:rPr>
          <w:rFonts w:ascii="Times New Roman" w:cs="Times New Roman" w:eastAsia="Times New Roman" w:hAnsi="Times New Roman"/>
          <w:sz w:val="22"/>
          <w:szCs w:val="22"/>
        </w:rPr>
        <w:t xml:space="preserve">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w:t>
      </w:r>
      <w:r>
        <w:rPr>
          <w:rFonts w:ascii="Times New Roman" w:cs="Times New Roman" w:eastAsia="Times New Roman" w:hAnsi="Times New Roman"/>
          <w:sz w:val="22"/>
          <w:szCs w:val="22"/>
        </w:rPr>
        <w:t xml:space="preserve">(the exploratory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labelled VL in the prototype)</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green"/>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green"/>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green"/>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green"/>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green"/>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he check labelled VL in the prototype interface is the exploratory jurisdiction check VJ)" title="Doctor subsystem for the evaluated consent f050c29a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w:t>
      </w:r>
      <w:r>
        <w:rPr>
          <w:rFonts w:ascii="Times New Roman" w:cs="Times New Roman" w:eastAsia="Times New Roman" w:hAnsi="Times New Roman"/>
          <w:b/>
          <w:bCs/>
          <w:sz w:val="22"/>
          <w:szCs w:val="22"/>
        </w:rPr>
        <w:t xml:space="preserve">exploratory check, supports RQ4</w:t>
      </w:r>
      <w:r>
        <w:rPr>
          <w:rFonts w:ascii="Times New Roman" w:cs="Times New Roman" w:eastAsia="Times New Roman" w:hAnsi="Times New Roman"/>
          <w:b/>
          <w:bCs/>
          <w:sz w:val="22"/>
          <w:szCs w:val="22"/>
        </w:rPr>
        <w:t xml:space="preserve">).</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w:t>
      </w:r>
      <w:r>
        <w:rPr>
          <w:rFonts w:ascii="Times New Roman" w:cs="Times New Roman" w:eastAsia="Times New Roman" w:hAnsi="Times New Roman"/>
          <w:sz w:val="22"/>
          <w:szCs w:val="22"/>
        </w:rPr>
        <w:t xml:space="preserve">the jurisdiction check passed. This check is the exploratory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of Section 9.5, which the prototype interface labels VL. Here,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 FAIL (shown as VL = FAIL in the interface)</w:t>
      </w:r>
      <w:r>
        <w:rPr>
          <w:rFonts w:ascii="Times New Roman" w:cs="Times New Roman" w:eastAsia="Times New Roman" w:hAnsi="Times New Roman"/>
          <w:sz w:val="22"/>
          <w:szCs w:val="22"/>
        </w:rPr>
        <w:t xml:space="preserv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w:t>
      </w:r>
      <w:r>
        <w:rPr>
          <w:rFonts w:ascii="Times New Roman" w:cs="Times New Roman" w:eastAsia="Times New Roman" w:hAnsi="Times New Roman"/>
          <w:sz w:val="18"/>
          <w:szCs w:val="18"/>
        </w:rPr>
        <w:t xml:space="preserve">the jurisdiction check (VL in the prototype interface)</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Exploratory jurisdiction check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 prototype only)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Lifecycle / Revocation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r>
        <w:rPr>
          <w:rFonts w:ascii="Times New Roman" w:cs="Times New Roman" w:eastAsia="Times New Roman" w:hAnsi="Times New Roman"/>
          <w:sz w:val="18"/>
          <w:szCs w:val="18"/>
        </w:rPr>
        <w:t xml:space="preserve">.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is the exploratory jurisdiction check, which the prototype logs as VL</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J</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w:t>
      </w:r>
      <w:r>
        <w:rPr>
          <w:rFonts w:ascii="Times New Roman" w:cs="Times New Roman" w:eastAsia="Times New Roman" w:hAnsi="Times New Roman"/>
          <w:sz w:val="22"/>
          <w:szCs w:val="22"/>
        </w:rPr>
        <w:t xml:space="preserve">the five checks of the prototype decision matrix</w:t>
      </w:r>
      <w:r>
        <w:rPr>
          <w:rFonts w:ascii="Times New Roman" w:cs="Times New Roman" w:eastAsia="Times New Roman" w:hAnsi="Times New Roman"/>
          <w:sz w:val="22"/>
          <w:szCs w:val="22"/>
        </w:rPr>
        <w:t xml:space="preserve">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matrix checks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t>
      </w:r>
      <w:r>
        <w:rPr>
          <w:rFonts w:ascii="Times New Roman" w:cs="Times New Roman" w:eastAsia="Times New Roman" w:hAnsi="Times New Roman"/>
          <w:sz w:val="22"/>
          <w:szCs w:val="22"/>
        </w:rPr>
        <w:t xml:space="preserve">and contextual policy conditions such as jurisdiction extend the policy evaluation of Section 9,</w:t>
      </w:r>
      <w:r>
        <w:rPr>
          <w:rFonts w:ascii="Times New Roman" w:cs="Times New Roman" w:eastAsia="Times New Roman" w:hAnsi="Times New Roman"/>
          <w:sz w:val="22"/>
          <w:szCs w:val="22"/>
        </w:rPr>
        <w:t xml:space="preserve">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w:t>
            </w:r>
            <w:r>
              <w:rPr>
                <w:rFonts w:ascii="Times New Roman" w:cs="Times New Roman" w:eastAsia="Times New Roman" w:hAnsi="Times New Roman"/>
                <w:b w:val="false"/>
                <w:bCs w:val="false"/>
                <w:sz w:val="17"/>
                <w:szCs w:val="17"/>
              </w:rPr>
              <w:t xml:space="preserve">extend the policy evaluation with a declared request purpose and the jurisdiction condition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13e368c9dad0544d3c7961bdb693a1f1fcac25d0.png"/><Relationship Id="rId13" Type="http://schemas.openxmlformats.org/officeDocument/2006/relationships/image" Target="media/02ec6b71342c7cbb65a5819a55b29b0ad7d8bd11.png"/><Relationship Id="rId14" Type="http://schemas.openxmlformats.org/officeDocument/2006/relationships/image" Target="media/f5bdc53204d3b216ef8c53808cc02dbdf91460a7.png"/><Relationship Id="rId15" Type="http://schemas.openxmlformats.org/officeDocument/2006/relationships/image" Target="media/86b8a1f466d92e497dab36c77f4f2b7f13737b14.png"/><Relationship Id="rId16" Type="http://schemas.openxmlformats.org/officeDocument/2006/relationships/image" Target="media/939b693dd50d175247d7a3ec87e22966428d2f14.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d4093bf96631d297dbe1b92195fb5ae7117de337.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03f3cc9e9c04c506887e27abc0699ec48e9486f.png"/><Relationship Id="rId33" Type="http://schemas.openxmlformats.org/officeDocument/2006/relationships/image" Target="media/b893ea07e7a42364ae781659ff3cff507e859f93.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2026-10-09T15:44:03.674Z</dcterms:created>
  <dcterms:modified xsi:type="dcterms:W3CDTF">2026-10-09T15:44:03.674Z</dcterms:modified>
</cp:coreProperties>
</file>

<file path=docProps/custom.xml><?xml version="1.0" encoding="utf-8"?>
<Properties xmlns="http://schemas.openxmlformats.org/officeDocument/2006/custom-properties" xmlns:vt="http://schemas.openxmlformats.org/officeDocument/2006/docPropsVTypes"/>
</file>