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w:t>
      </w:r>
      <w:r>
        <w:rPr>
          <w:rFonts w:ascii="Times New Roman" w:cs="Times New Roman" w:eastAsia="Times New Roman" w:hAnsi="Times New Roman"/>
          <w:sz w:val="22"/>
          <w:szCs w:val="22"/>
        </w:rPr>
        <w:t xml:space="preserve">temporal and lifecycle conditions</w:t>
      </w:r>
      <w:r>
        <w:rPr>
          <w:rFonts w:ascii="Times New Roman" w:cs="Times New Roman" w:eastAsia="Times New Roman" w:hAnsi="Times New Roman"/>
          <w:sz w:val="22"/>
          <w:szCs w:val="22"/>
        </w:rPr>
        <w:t xml:space="preserve">,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w:t>
      </w:r>
      <w:r>
        <w:rPr>
          <w:rFonts w:ascii="Times New Roman" w:cs="Times New Roman" w:eastAsia="Times New Roman" w:hAnsi="Times New Roman"/>
          <w:sz w:val="22"/>
          <w:szCs w:val="22"/>
        </w:rPr>
        <w:t xml:space="preserve">purpose and data scope</w:t>
      </w:r>
      <w:r>
        <w:rPr>
          <w:rFonts w:ascii="Times New Roman" w:cs="Times New Roman" w:eastAsia="Times New Roman" w:hAnsi="Times New Roman"/>
          <w:sz w:val="22"/>
          <w:szCs w:val="22"/>
        </w:rPr>
        <w:t xml:space="preserve">, temporal validity, </w:t>
      </w:r>
      <w:r>
        <w:rPr>
          <w:rFonts w:ascii="Times New Roman" w:cs="Times New Roman" w:eastAsia="Times New Roman" w:hAnsi="Times New Roman"/>
          <w:sz w:val="22"/>
          <w:szCs w:val="22"/>
        </w:rPr>
        <w:t xml:space="preserve">lifecycle state, </w:t>
      </w:r>
      <w:r>
        <w:rPr>
          <w:rFonts w:ascii="Times New Roman" w:cs="Times New Roman" w:eastAsia="Times New Roman" w:hAnsi="Times New Roman"/>
          <w:sz w:val="22"/>
          <w:szCs w:val="22"/>
        </w:rPr>
        <w:t xml:space="preserve">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w:t>
      </w:r>
      <w:r>
        <w:rPr>
          <w:rFonts w:ascii="Times New Roman" w:cs="Times New Roman" w:eastAsia="Times New Roman" w:hAnsi="Times New Roman"/>
          <w:sz w:val="22"/>
          <w:szCs w:val="22"/>
        </w:rPr>
        <w:t xml:space="preserve">This applies to every request</w:t>
      </w:r>
      <w:r>
        <w:rPr>
          <w:rFonts w:ascii="Times New Roman" w:cs="Times New Roman" w:eastAsia="Times New Roman" w:hAnsi="Times New Roman"/>
          <w:sz w:val="22"/>
          <w:szCs w:val="22"/>
        </w:rPr>
        <w:t xml:space="preserve">,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color w:val="FF0000"/>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w:t>
            </w:r>
            <w:r>
              <w:rPr>
                <w:rFonts w:ascii="Times New Roman" w:cs="Times New Roman" w:eastAsia="Times New Roman" w:hAnsi="Times New Roman"/>
                <w:b w:val="false"/>
                <w:bCs w:val="false"/>
                <w:color w:val="FF0000"/>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w:t>
            </w:r>
            <w:r>
              <w:rPr>
                <w:rFonts w:ascii="Times New Roman" w:cs="Times New Roman" w:eastAsia="Times New Roman" w:hAnsi="Times New Roman"/>
                <w:b w:val="false"/>
                <w:bCs w:val="false"/>
                <w:color w:val="FF0000"/>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w:t>
            </w:r>
            <w:r>
              <w:rPr>
                <w:rFonts w:ascii="Times New Roman" w:cs="Times New Roman" w:eastAsia="Times New Roman" w:hAnsi="Times New Roman"/>
                <w:b w:val="false"/>
                <w:bCs w:val="false"/>
                <w:color w:val="FF0000"/>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w:t>
            </w:r>
            <w:r>
              <w:rPr>
                <w:rFonts w:ascii="Times New Roman" w:cs="Times New Roman" w:eastAsia="Times New Roman" w:hAnsi="Times New Roman"/>
                <w:b w:val="false"/>
                <w:bCs w:val="false"/>
                <w:color w:val="FF0000"/>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w:t>
            </w:r>
            <w:r>
              <w:rPr>
                <w:rFonts w:ascii="Times New Roman" w:cs="Times New Roman" w:eastAsia="Times New Roman" w:hAnsi="Times New Roman"/>
                <w:b w:val="false"/>
                <w:bCs w:val="false"/>
                <w:color w:val="FF0000"/>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w:t>
            </w:r>
            <w:r>
              <w:rPr>
                <w:rFonts w:ascii="Times New Roman" w:cs="Times New Roman" w:eastAsia="Times New Roman" w:hAnsi="Times New Roman"/>
                <w:b w:val="false"/>
                <w:bCs w:val="false"/>
                <w:color w:val="FF0000"/>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w:t>
            </w:r>
            <w:r>
              <w:rPr>
                <w:rFonts w:ascii="Times New Roman" w:cs="Times New Roman" w:eastAsia="Times New Roman" w:hAnsi="Times New Roman"/>
                <w:b w:val="false"/>
                <w:bCs w:val="false"/>
                <w:color w:val="FF0000"/>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w:t>
            </w:r>
            <w:r>
              <w:rPr>
                <w:rFonts w:ascii="Times New Roman" w:cs="Times New Roman" w:eastAsia="Times New Roman" w:hAnsi="Times New Roman"/>
                <w:b w:val="false"/>
                <w:bCs w:val="false"/>
                <w:color w:val="FF0000"/>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w:t>
      </w:r>
      <w:r>
        <w:rPr>
          <w:rFonts w:ascii="Times New Roman" w:cs="Times New Roman" w:eastAsia="Times New Roman" w:hAnsi="Times New Roman"/>
          <w:color w:val="00B0F0"/>
          <w:sz w:val="22"/>
          <w:szCs w:val="22"/>
        </w:rPr>
        <w:t xml:space="preserve">(Hagström et al. 2024)</w:t>
      </w:r>
      <w:r>
        <w:rPr>
          <w:rFonts w:ascii="Times New Roman" w:cs="Times New Roman" w:eastAsia="Times New Roman" w:hAnsi="Times New Roman"/>
          <w:color w:val="00B0F0"/>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w:t>
      </w:r>
      <w:r>
        <w:rPr>
          <w:rFonts w:ascii="Times New Roman" w:cs="Times New Roman" w:eastAsia="Times New Roman" w:hAnsi="Times New Roman"/>
          <w:color w:val="FF0000"/>
          <w:sz w:val="22"/>
          <w:szCs w:val="22"/>
        </w:rPr>
        <w:t xml:space="preserve">(2023)</w:t>
      </w:r>
      <w:r>
        <w:rPr>
          <w:rFonts w:ascii="Times New Roman" w:cs="Times New Roman" w:eastAsia="Times New Roman" w:hAnsi="Times New Roman"/>
          <w:color w:val="FF0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as conditions fixed at encryption time </w:t>
      </w:r>
      <w:r>
        <w:rPr>
          <w:rFonts w:ascii="Times New Roman" w:cs="Times New Roman" w:eastAsia="Times New Roman" w:hAnsi="Times New Roman"/>
          <w:color w:val="00B0F0"/>
          <w:sz w:val="22"/>
          <w:szCs w:val="22"/>
        </w:rPr>
        <w:t xml:space="preserve">(Zhang, Kan &amp; Huang 2022)</w:t>
      </w:r>
      <w:r>
        <w:rPr>
          <w:rFonts w:ascii="Times New Roman" w:cs="Times New Roman" w:eastAsia="Times New Roman" w:hAnsi="Times New Roman"/>
          <w:color w:val="00B0F0"/>
          <w:sz w:val="22"/>
          <w:szCs w:val="22"/>
        </w:rPr>
        <w:t xml:space="preserve">, or as a key issued by the patient for each request </w:t>
      </w:r>
      <w:r>
        <w:rPr>
          <w:rFonts w:ascii="Times New Roman" w:cs="Times New Roman" w:eastAsia="Times New Roman" w:hAnsi="Times New Roman"/>
          <w:color w:val="00B0F0"/>
          <w:sz w:val="22"/>
          <w:szCs w:val="22"/>
        </w:rPr>
        <w:t xml:space="preserve">(Teeda &amp; Subba Rao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color w:val="FF0000"/>
          <w:sz w:val="22"/>
          <w:szCs w:val="22"/>
        </w:rPr>
        <w:t xml:space="preserve">(Ekholm et al. 2025)</w:t>
      </w:r>
      <w:r>
        <w:rPr>
          <w:rFonts w:ascii="Times New Roman" w:cs="Times New Roman" w:eastAsia="Times New Roman" w:hAnsi="Times New Roman"/>
          <w:color w:val="FF0000"/>
          <w:sz w:val="22"/>
          <w:szCs w:val="22"/>
        </w:rPr>
        <w:t xml:space="preserve"> reports guardian co-consent at registration time, and </w:t>
      </w:r>
      <w:r>
        <w:rPr>
          <w:rFonts w:ascii="Times New Roman" w:cs="Times New Roman" w:eastAsia="Times New Roman" w:hAnsi="Times New Roman"/>
          <w:color w:val="FF0000"/>
          <w:sz w:val="22"/>
          <w:szCs w:val="22"/>
        </w:rPr>
        <w:t xml:space="preserve">(Hagström et al. 2024)</w:t>
      </w:r>
      <w:r>
        <w:rPr>
          <w:rFonts w:ascii="Times New Roman" w:cs="Times New Roman" w:eastAsia="Times New Roman" w:hAnsi="Times New Roman"/>
          <w:color w:val="FF0000"/>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w:t>
      </w:r>
      <w:r>
        <w:rPr>
          <w:rFonts w:ascii="Times New Roman" w:cs="Times New Roman" w:eastAsia="Times New Roman" w:hAnsi="Times New Roman"/>
          <w:color w:val="00B0F0"/>
          <w:sz w:val="22"/>
          <w:szCs w:val="22"/>
        </w:rPr>
        <w:t xml:space="preserve">(Phuyal et al. 2026b)</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w:t>
            </w:r>
            <w:r>
              <w:rPr>
                <w:rFonts w:ascii="Times New Roman" w:cs="Times New Roman" w:eastAsia="Times New Roman" w:hAnsi="Times New Roman"/>
                <w:b w:val="false"/>
                <w:bCs w:val="false"/>
                <w:color w:val="FF0000"/>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w:t>
            </w:r>
            <w:r>
              <w:rPr>
                <w:rFonts w:ascii="Times New Roman" w:cs="Times New Roman" w:eastAsia="Times New Roman" w:hAnsi="Times New Roman"/>
                <w:b w:val="false"/>
                <w:bCs w:val="false"/>
                <w:color w:val="FF0000"/>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w:t>
            </w:r>
            <w:r>
              <w:rPr>
                <w:rFonts w:ascii="Times New Roman" w:cs="Times New Roman" w:eastAsia="Times New Roman" w:hAnsi="Times New Roman"/>
                <w:b w:val="false"/>
                <w:bCs w:val="false"/>
                <w:color w:val="FF0000"/>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w:t>
            </w:r>
            <w:r>
              <w:rPr>
                <w:rFonts w:ascii="Times New Roman" w:cs="Times New Roman" w:eastAsia="Times New Roman" w:hAnsi="Times New Roman"/>
                <w:b w:val="false"/>
                <w:bCs w:val="false"/>
                <w:color w:val="FF0000"/>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w:t>
            </w:r>
            <w:r>
              <w:rPr>
                <w:rFonts w:ascii="Times New Roman" w:cs="Times New Roman" w:eastAsia="Times New Roman" w:hAnsi="Times New Roman"/>
                <w:b w:val="false"/>
                <w:bCs w:val="false"/>
                <w:color w:val="FF0000"/>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w:t>
            </w:r>
            <w:r>
              <w:rPr>
                <w:rFonts w:ascii="Times New Roman" w:cs="Times New Roman" w:eastAsia="Times New Roman" w:hAnsi="Times New Roman"/>
                <w:b w:val="false"/>
                <w:bCs w:val="false"/>
                <w:color w:val="FF0000"/>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w:t>
            </w:r>
            <w:r>
              <w:rPr>
                <w:rFonts w:ascii="Times New Roman" w:cs="Times New Roman" w:eastAsia="Times New Roman" w:hAnsi="Times New Roman"/>
                <w:b w:val="false"/>
                <w:bCs w:val="false"/>
                <w:color w:val="FF0000"/>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w:t>
            </w:r>
            <w:r>
              <w:rPr>
                <w:rFonts w:ascii="Times New Roman" w:cs="Times New Roman" w:eastAsia="Times New Roman" w:hAnsi="Times New Roman"/>
                <w:b w:val="false"/>
                <w:bCs w:val="false"/>
                <w:color w:val="FF0000"/>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w:t>
            </w:r>
            <w:r>
              <w:rPr>
                <w:rFonts w:ascii="Times New Roman" w:cs="Times New Roman" w:eastAsia="Times New Roman" w:hAnsi="Times New Roman"/>
                <w:b w:val="false"/>
                <w:bCs w:val="false"/>
                <w:color w:val="FF0000"/>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color w:val="00B0F0"/>
          <w:sz w:val="22"/>
          <w:szCs w:val="22"/>
        </w:rPr>
        <w:t xml:space="preserve">(Mei et al. 2026)</w:t>
      </w:r>
      <w:r>
        <w:rPr>
          <w:rFonts w:ascii="Times New Roman" w:cs="Times New Roman" w:eastAsia="Times New Roman" w:hAnsi="Times New Roman"/>
          <w:color w:val="00B0F0"/>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7.1.</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w:t>
            </w:r>
            <w:r>
              <w:rPr>
                <w:rFonts w:ascii="Times New Roman" w:cs="Times New Roman" w:eastAsia="Times New Roman" w:hAnsi="Times New Roman"/>
                <w:b w:val="false"/>
                <w:bCs w:val="false"/>
                <w:color w:val="00B0F0"/>
                <w:sz w:val="17"/>
                <w:szCs w:val="17"/>
              </w:rPr>
              <w:t xml:space="preserve">(Bloemen, Logvinov &amp; Evans 2017)</w:t>
            </w:r>
            <w:r>
              <w:rPr>
                <w:rFonts w:ascii="Times New Roman" w:cs="Times New Roman" w:eastAsia="Times New Roman" w:hAnsi="Times New Roman"/>
                <w:b w:val="false"/>
                <w:bCs w:val="false"/>
                <w:color w:val="00B0F0"/>
                <w:sz w:val="17"/>
                <w:szCs w:val="17"/>
              </w:rPr>
              <w:t xml:space="preserve">,</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w:t>
            </w:r>
            <w:r>
              <w:rPr>
                <w:rFonts w:ascii="Times New Roman" w:cs="Times New Roman" w:eastAsia="Times New Roman" w:hAnsi="Times New Roman"/>
                <w:b w:val="false"/>
                <w:bCs w:val="false"/>
                <w:color w:val="FF0000"/>
                <w:sz w:val="17"/>
                <w:szCs w:val="17"/>
              </w:rPr>
              <w:t xml:space="preserve">through Algorithm 9.1.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w:t>
            </w:r>
            <w:r>
              <w:rPr>
                <w:rFonts w:ascii="Times New Roman" w:cs="Times New Roman" w:eastAsia="Times New Roman" w:hAnsi="Times New Roman"/>
                <w:b w:val="false"/>
                <w:bCs w:val="false"/>
                <w:color w:val="00B0F0"/>
                <w:sz w:val="17"/>
                <w:szCs w:val="17"/>
              </w:rPr>
              <w:t xml:space="preserve">The SUSPENDED state and the lifecycle transition check are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w:t>
      </w:r>
      <w:r>
        <w:rPr>
          <w:rFonts w:ascii="Times New Roman" w:cs="Times New Roman" w:eastAsia="Times New Roman" w:hAnsi="Times New Roman"/>
          <w:color w:val="00B0F0"/>
          <w:sz w:val="22"/>
          <w:szCs w:val="22"/>
        </w:rPr>
        <w:t xml:space="preserve">(Akter &amp; Sanam 2025; Prashanth et al. 2024)</w:t>
      </w:r>
      <w:r>
        <w:rPr>
          <w:rFonts w:ascii="Times New Roman" w:cs="Times New Roman" w:eastAsia="Times New Roman" w:hAnsi="Times New Roman"/>
          <w:color w:val="00B0F0"/>
          <w:sz w:val="22"/>
          <w:szCs w:val="22"/>
        </w:rPr>
        <w:t xml:space="preserve">, and some claim consent but leave it out of the access decision </w:t>
      </w:r>
      <w:r>
        <w:rPr>
          <w:rFonts w:ascii="Times New Roman" w:cs="Times New Roman" w:eastAsia="Times New Roman" w:hAnsi="Times New Roman"/>
          <w:color w:val="00B0F0"/>
          <w:sz w:val="22"/>
          <w:szCs w:val="22"/>
        </w:rPr>
        <w:t xml:space="preserve">(Sawant &amp; Gomes 2026)</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w:t>
      </w:r>
      <w:r>
        <w:rPr>
          <w:rFonts w:ascii="Times New Roman" w:cs="Times New Roman" w:eastAsia="Times New Roman" w:hAnsi="Times New Roman"/>
          <w:color w:val="00B0F0"/>
          <w:sz w:val="22"/>
          <w:szCs w:val="22"/>
        </w:rPr>
        <w:t xml:space="preserve">(Madine et al. 2020; Punia et al. 2025; Tan, Chi &amp; Lam 2024)</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Purpose and data-scope</w:t>
      </w:r>
      <w:r>
        <w:rPr>
          <w:rFonts w:ascii="Times New Roman" w:cs="Times New Roman" w:eastAsia="Times New Roman" w:hAnsi="Times New Roman"/>
          <w:sz w:val="22"/>
          <w:szCs w:val="22"/>
        </w:rPr>
        <w:t xml:space="preserve">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w:t>
      </w:r>
      <w:r>
        <w:rPr>
          <w:rFonts w:ascii="Times New Roman" w:cs="Times New Roman" w:eastAsia="Times New Roman" w:hAnsi="Times New Roman"/>
          <w:sz w:val="22"/>
          <w:szCs w:val="22"/>
        </w:rPr>
        <w:t xml:space="preserve">Depending on the consent configuration, G may contain healthcare professionals, guardians, institutional representatives, or other authorised parties. In the current prototype, the members of G are guardians.</w:t>
      </w:r>
      <w:r>
        <w:rPr>
          <w:rFonts w:ascii="Times New Roman" w:cs="Times New Roman" w:eastAsia="Times New Roman" w:hAnsi="Times New Roman"/>
          <w:sz w:val="22"/>
          <w:szCs w:val="22"/>
        </w:rPr>
        <w:t xml:space="preserve"> Each </w:t>
      </w:r>
      <w:r>
        <w:rPr>
          <w:rFonts w:ascii="Times New Roman" w:cs="Times New Roman" w:eastAsia="Times New Roman" w:hAnsi="Times New Roman"/>
          <w:sz w:val="22"/>
          <w:szCs w:val="22"/>
        </w:rPr>
        <w:t xml:space="preserve">member of G</w:t>
      </w:r>
      <w:r>
        <w:rPr>
          <w:rFonts w:ascii="Times New Roman" w:cs="Times New Roman" w:eastAsia="Times New Roman" w:hAnsi="Times New Roman"/>
          <w:sz w:val="22"/>
          <w:szCs w:val="22"/>
        </w:rPr>
        <w:t xml:space="preserve"> is checked to determine whether the individual or entity possesses the required authority to participate in consent-related decisions. The threshold N is the number of valid </w:t>
      </w:r>
      <w:r>
        <w:rPr>
          <w:rFonts w:ascii="Times New Roman" w:cs="Times New Roman" w:eastAsia="Times New Roman" w:hAnsi="Times New Roman"/>
          <w:sz w:val="22"/>
          <w:szCs w:val="22"/>
        </w:rPr>
        <w:t xml:space="preserve">approvals from members of G</w:t>
      </w:r>
      <w:r>
        <w:rPr>
          <w:rFonts w:ascii="Times New Roman" w:cs="Times New Roman" w:eastAsia="Times New Roman" w:hAnsi="Times New Roman"/>
          <w:sz w:val="22"/>
          <w:szCs w:val="22"/>
        </w:rPr>
        <w:t xml:space="preserve">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w:t>
      </w:r>
      <w:r>
        <w:rPr>
          <w:rFonts w:ascii="Times New Roman" w:cs="Times New Roman" w:eastAsia="Times New Roman" w:hAnsi="Times New Roman"/>
          <w:sz w:val="22"/>
          <w:szCs w:val="22"/>
        </w:rPr>
        <w:t xml:space="preserve">T is the temporal validity window, and L represents the current state of the consent object and its permissible transitions, including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consent lifecycle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 9.5) to pass and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Groth16 ZK proof </w:t>
      </w:r>
      <w:r>
        <w:rPr>
          <w:rFonts w:ascii="Times New Roman" w:cs="Times New Roman" w:eastAsia="Times New Roman" w:hAnsi="Times New Roman"/>
          <w:color w:val="00B0F0"/>
          <w:sz w:val="22"/>
          <w:szCs w:val="22"/>
        </w:rPr>
        <w:t xml:space="preserve">(Groth 2016)</w:t>
      </w:r>
      <w:r>
        <w:rPr>
          <w:rFonts w:ascii="Times New Roman" w:cs="Times New Roman" w:eastAsia="Times New Roman" w:hAnsi="Times New Roman"/>
          <w:color w:val="00B0F0"/>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w:t>
      </w:r>
      <w:r>
        <w:rPr>
          <w:rFonts w:ascii="Times New Roman" w:cs="Times New Roman" w:eastAsia="Times New Roman" w:hAnsi="Times New Roman"/>
          <w:sz w:val="22"/>
          <w:szCs w:val="22"/>
        </w:rPr>
        <w:t xml:space="preserve">either fails, as in Scenario 4 (Section 11.3) and</w:t>
      </w:r>
      <w:r>
        <w:rPr>
          <w:rFonts w:ascii="Times New Roman" w:cs="Times New Roman" w:eastAsia="Times New Roman" w:hAnsi="Times New Roman"/>
          <w:sz w:val="22"/>
          <w:szCs w:val="22"/>
        </w:rPr>
        <w:t xml:space="preserve">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w:t>
      </w:r>
      <w:r>
        <w:rPr>
          <w:rFonts w:ascii="Times New Roman" w:cs="Times New Roman" w:eastAsia="Times New Roman" w:hAnsi="Times New Roman"/>
          <w:sz w:val="22"/>
          <w:szCs w:val="22"/>
        </w:rPr>
        <w:t xml:space="preserve">In the current prototype, a</w:t>
      </w:r>
      <w:r>
        <w:rPr>
          <w:rFonts w:ascii="Times New Roman" w:cs="Times New Roman" w:eastAsia="Times New Roman" w:hAnsi="Times New Roman"/>
          <w:sz w:val="22"/>
          <w:szCs w:val="22"/>
        </w:rPr>
        <w:t xml:space="preserve">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w:t>
      </w:r>
      <w:r>
        <w:rPr>
          <w:rFonts w:ascii="Times New Roman" w:cs="Times New Roman" w:eastAsia="Times New Roman" w:hAnsi="Times New Roman"/>
          <w:sz w:val="22"/>
          <w:szCs w:val="22"/>
        </w:rPr>
        <w:t xml:space="preserve">exploratory jurisdiction check of the</w:t>
      </w:r>
      <w:r>
        <w:rPr>
          <w:rFonts w:ascii="Times New Roman" w:cs="Times New Roman" w:eastAsia="Times New Roman" w:hAnsi="Times New Roman"/>
          <w:sz w:val="22"/>
          <w:szCs w:val="22"/>
        </w:rPr>
        <w:t xml:space="preserve"> application </w:t>
      </w:r>
      <w:r>
        <w:rPr>
          <w:rFonts w:ascii="Times New Roman" w:cs="Times New Roman" w:eastAsia="Times New Roman" w:hAnsi="Times New Roman"/>
          <w:sz w:val="22"/>
          <w:szCs w:val="22"/>
        </w:rPr>
        <w:t xml:space="preserve">(Section 9.5)</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w:t>
      </w:r>
      <w:r>
        <w:rPr>
          <w:rFonts w:ascii="Times New Roman" w:cs="Times New Roman" w:eastAsia="Times New Roman" w:hAnsi="Times New Roman"/>
          <w:sz w:val="22"/>
          <w:szCs w:val="22"/>
        </w:rPr>
        <w:t xml:space="preserve">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consent remains in a valid lifecycle state.</w:t>
      </w:r>
      <w:r>
        <w:rPr>
          <w:rFonts w:ascii="Times New Roman" w:cs="Times New Roman" w:eastAsia="Times New Roman" w:hAnsi="Times New Roman"/>
          <w:sz w:val="22"/>
          <w:szCs w:val="22"/>
        </w:rPr>
        <w:t xml:space="preserve"> The integrated decision can therefore be expressed as Equation (3.2). </w:t>
      </w:r>
      <w:r>
        <w:rPr>
          <w:rFonts w:ascii="Times New Roman" w:cs="Times New Roman" w:eastAsia="Times New Roman" w:hAnsi="Times New Roman"/>
          <w:sz w:val="22"/>
          <w:szCs w:val="22"/>
        </w:rPr>
        <w:t xml:space="preserve">In the current prototype, the Consent Engine derives the lifecycle state, a request proceeds only when this state is ACTIVE, and the revocation flag and the token are also checked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 prototype interface also shows a check labelled VL, which compares the jurisdiction declared in the request with the jurisdiction recorded in the consent. This report denotes that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and treats jurisdiction as a contextual policy condition for the next stage (Section 9.5).</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not recorded,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color w:val="00B0F0"/>
          <w:sz w:val="18"/>
          <w:szCs w:val="18"/>
        </w:rPr>
        <w:t xml:space="preserve">, while the check labelled VL in the prototype interface is the exploratory jurisdiction check V</w:t>
      </w:r>
      <w:r>
        <w:rPr>
          <w:rFonts w:ascii="Times New Roman" w:cs="Times New Roman" w:eastAsia="Times New Roman" w:hAnsi="Times New Roman"/>
          <w:color w:val="00B0F0"/>
          <w:sz w:val="18"/>
          <w:szCs w:val="18"/>
          <w:vertAlign w:val="subscript"/>
        </w:rPr>
        <w:t xml:space="preserve">J</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w:t>
      </w:r>
      <w:r>
        <w:rPr>
          <w:rFonts w:ascii="Times New Roman" w:cs="Times New Roman" w:eastAsia="Times New Roman" w:hAnsi="Times New Roman"/>
          <w:sz w:val="22"/>
          <w:szCs w:val="22"/>
        </w:rPr>
        <w:t xml:space="preserve">the members of G</w:t>
      </w:r>
      <w:r>
        <w:rPr>
          <w:rFonts w:ascii="Times New Roman" w:cs="Times New Roman" w:eastAsia="Times New Roman" w:hAnsi="Times New Roman"/>
          <w:sz w:val="22"/>
          <w:szCs w:val="22"/>
        </w:rPr>
        <w:t xml:space="preserve"> agreed, and the policy,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895850"/>
            <wp:effectExtent t="0" r="0" b="0" l="0"/>
            <wp:docPr id="1" name="F44.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w:t>
      </w:r>
      <w:r>
        <w:rPr>
          <w:rFonts w:ascii="Times New Roman" w:cs="Times New Roman" w:eastAsia="Times New Roman" w:hAnsi="Times New Roman"/>
          <w:sz w:val="18"/>
          <w:szCs w:val="18"/>
        </w:rPr>
        <w:t xml:space="preserve">lifecycle</w:t>
      </w:r>
      <w:r>
        <w:rPr>
          <w:rFonts w:ascii="Times New Roman" w:cs="Times New Roman" w:eastAsia="Times New Roman" w:hAnsi="Times New Roman"/>
          <w:sz w:val="18"/>
          <w:szCs w:val="18"/>
        </w:rPr>
        <w:t xml:space="preserve">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participants'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participants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w:t>
      </w:r>
      <w:r>
        <w:rPr>
          <w:rFonts w:ascii="Times New Roman" w:cs="Times New Roman" w:eastAsia="Times New Roman" w:hAnsi="Times New Roman"/>
          <w:sz w:val="22"/>
          <w:szCs w:val="22"/>
        </w:rPr>
        <w:t xml:space="preserve">participants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color w:val="00B0F0"/>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w:t>
      </w:r>
      <w:r>
        <w:rPr>
          <w:rFonts w:ascii="Times New Roman" w:cs="Times New Roman" w:eastAsia="Times New Roman" w:hAnsi="Times New Roman"/>
          <w:sz w:val="22"/>
          <w:szCs w:val="22"/>
        </w:rPr>
        <w:t xml:space="preserve">The policy, temporal and lifecycle checks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together with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w:t>
      </w:r>
      <w:r>
        <w:rPr>
          <w:rFonts w:ascii="Times New Roman" w:cs="Times New Roman" w:eastAsia="Times New Roman" w:hAnsi="Times New Roman"/>
          <w:sz w:val="22"/>
          <w:szCs w:val="22"/>
        </w:rPr>
        <w:t xml:space="preserv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w:t>
      </w:r>
      <w:r>
        <w:rPr>
          <w:rFonts w:ascii="Times New Roman" w:cs="Times New Roman" w:eastAsia="Times New Roman" w:hAnsi="Times New Roman"/>
          <w:sz w:val="22"/>
          <w:szCs w:val="22"/>
        </w:rPr>
        <w:t xml:space="preserve">temporal, and lifecycle</w:t>
      </w:r>
      <w:r>
        <w:rPr>
          <w:rFonts w:ascii="Times New Roman" w:cs="Times New Roman" w:eastAsia="Times New Roman" w:hAnsi="Times New Roman"/>
          <w:sz w:val="22"/>
          <w:szCs w:val="22"/>
        </w:rPr>
        <w:t xml:space="preserv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w:t>
      </w:r>
      <w:r>
        <w:rPr>
          <w:rFonts w:ascii="Times New Roman" w:cs="Times New Roman" w:eastAsia="Times New Roman" w:hAnsi="Times New Roman"/>
          <w:sz w:val="22"/>
          <w:szCs w:val="22"/>
        </w:rPr>
        <w:t xml:space="preserve">L represents the current state of the consent object and its permissible transitions.</w:t>
      </w:r>
      <w:r>
        <w:rPr>
          <w:rFonts w:ascii="Times New Roman" w:cs="Times New Roman" w:eastAsia="Times New Roman" w:hAnsi="Times New Roman"/>
          <w:sz w:val="22"/>
          <w:szCs w:val="22"/>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981325"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813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w:t>
      </w:r>
      <w:r>
        <w:rPr>
          <w:rFonts w:ascii="Times New Roman" w:cs="Times New Roman" w:eastAsia="Times New Roman" w:hAnsi="Times New Roman"/>
          <w:sz w:val="22"/>
          <w:szCs w:val="22"/>
        </w:rPr>
        <w:t xml:space="preserve">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where L is the lifecycle state; the states shown are those of the design, and the states implemented in the prototype are given in Section 10.2" title="Six-component consent model C = (I, A, P, T, L, E) with the content and supplier of each component, where L is the lifecycle state; the states shown are those of the design, and the states implemented in the prototype are given in Sectio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color w:val="00B0F0"/>
          <w:sz w:val="18"/>
          <w:szCs w:val="18"/>
        </w:rPr>
        <w:t xml:space="preserve">, where L is the lifecycle state</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states shown are those of the design, and the states implemented in the prototype are given in Section 10.2</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w:t>
      </w:r>
      <w:r>
        <w:rPr>
          <w:rFonts w:ascii="Times New Roman" w:cs="Times New Roman" w:eastAsia="Times New Roman" w:hAnsi="Times New Roman"/>
          <w:sz w:val="22"/>
          <w:szCs w:val="22"/>
        </w:rPr>
        <w:t xml:space="preserve">validity interval,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w:t>
      </w:r>
      <w:r>
        <w:rPr>
          <w:rFonts w:ascii="Times New Roman" w:cs="Times New Roman" w:eastAsia="Times New Roman" w:hAnsi="Times New Roman"/>
          <w:sz w:val="22"/>
          <w:szCs w:val="22"/>
        </w:rPr>
        <w:t xml:space="preserve">T → A</w:t>
      </w:r>
      <w:r>
        <w:rPr>
          <w:rFonts w:ascii="Times New Roman" w:cs="Times New Roman" w:eastAsia="Times New Roman" w:hAnsi="Times New Roman"/>
          <w:sz w:val="22"/>
          <w:szCs w:val="22"/>
        </w:rPr>
        <w:t xml:space="preserve">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validity interval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w:t>
      </w:r>
      <w:r>
        <w:rPr>
          <w:rFonts w:ascii="Times New Roman" w:cs="Times New Roman" w:eastAsia="Times New Roman" w:hAnsi="Times New Roman"/>
          <w:color w:val="00B0F0"/>
          <w:sz w:val="19"/>
          <w:szCs w:val="19"/>
        </w:rPr>
        <w:t xml:space="preserve">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T holds (t</w:t>
      </w:r>
      <w:r>
        <w:rPr>
          <w:rFonts w:ascii="Times New Roman" w:cs="Times New Roman" w:eastAsia="Times New Roman" w:hAnsi="Times New Roman"/>
          <w:color w:val="00B0F0"/>
          <w:sz w:val="19"/>
          <w:szCs w:val="19"/>
          <w:vertAlign w:val="subscript"/>
        </w:rPr>
        <w:t xml:space="preserve">s</w:t>
      </w:r>
      <w:r>
        <w:rPr>
          <w:rFonts w:ascii="Times New Roman" w:cs="Times New Roman" w:eastAsia="Times New Roman" w:hAnsi="Times New Roman"/>
          <w:color w:val="00B0F0"/>
          <w:sz w:val="19"/>
          <w:szCs w:val="19"/>
        </w:rPr>
        <w:t xml:space="preserve">, t</w:t>
      </w:r>
      <w:r>
        <w:rPr>
          <w:rFonts w:ascii="Times New Roman" w:cs="Times New Roman" w:eastAsia="Times New Roman" w:hAnsi="Times New Roman"/>
          <w:color w:val="00B0F0"/>
          <w:sz w:val="19"/>
          <w:szCs w:val="19"/>
          <w:vertAlign w:val="subscript"/>
        </w:rPr>
        <w:t xml:space="preserve">e</w:t>
      </w:r>
      <w:r>
        <w:rPr>
          <w:rFonts w:ascii="Times New Roman" w:cs="Times New Roman" w:eastAsia="Times New Roman" w:hAnsi="Times New Roman"/>
          <w:color w:val="00B0F0"/>
          <w:sz w:val="19"/>
          <w:szCs w:val="19"/>
        </w:rPr>
        <w:t xml:space="preserve">), and L holds the lifecycle state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L ← PENDING   ▷ PENDING_SIGNATURE in the prototype, where</w:t>
      </w:r>
      <w:r>
        <w:rPr>
          <w:rFonts w:ascii="Times New Roman" w:cs="Times New Roman" w:eastAsia="Times New Roman" w:hAnsi="Times New Roman"/>
          <w:color w:val="00B0F0"/>
          <w:sz w:val="19"/>
          <w:szCs w:val="19"/>
        </w:rPr>
        <w:t xml:space="preserve">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w:t>
      </w:r>
      <w:r>
        <w:rPr>
          <w:rFonts w:ascii="Times New Roman" w:cs="Times New Roman" w:eastAsia="Times New Roman" w:hAnsi="Times New Roman"/>
          <w:sz w:val="22"/>
          <w:szCs w:val="22"/>
        </w:rPr>
        <w:t xml:space="preserve">PENDING state (PENDING_SIGNATURE in the prototype)</w:t>
      </w:r>
      <w:r>
        <w:rPr>
          <w:rFonts w:ascii="Times New Roman" w:cs="Times New Roman" w:eastAsia="Times New Roman" w:hAnsi="Times New Roman"/>
          <w:sz w:val="22"/>
          <w:szCs w:val="22"/>
        </w:rPr>
        <w:t xml:space="preserv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authorisation participants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w:t>
      </w:r>
      <w:r>
        <w:rPr>
          <w:rFonts w:ascii="Times New Roman" w:cs="Times New Roman" w:eastAsia="Times New Roman" w:hAnsi="Times New Roman"/>
          <w:sz w:val="22"/>
          <w:szCs w:val="22"/>
        </w:rPr>
        <w:t xml:space="preserve">The set G defines which participants are eligible to contribute an approval to the authorisation process. Depending on the consent configuration, G may contain healthcare professionals, guardians, institutional representatives, or other authorised parties.</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w:t>
      </w:r>
      <w:r>
        <w:rPr>
          <w:rFonts w:ascii="Times New Roman" w:cs="Times New Roman" w:eastAsia="Times New Roman" w:hAnsi="Times New Roman"/>
          <w:sz w:val="22"/>
          <w:szCs w:val="22"/>
        </w:rPr>
        <w:t xml:space="preserve">the corresponding participant g</w:t>
      </w:r>
      <w:r>
        <w:rPr>
          <w:rFonts w:ascii="Times New Roman" w:cs="Times New Roman" w:eastAsia="Times New Roman" w:hAnsi="Times New Roman"/>
          <w:sz w:val="22"/>
          <w:szCs w:val="22"/>
        </w:rPr>
        <w:t xml:space="preserve">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jurisdiction code Jur(C) recorded by the prototype</w:t>
      </w:r>
      <w:r>
        <w:rPr>
          <w:rFonts w:ascii="Times New Roman" w:cs="Times New Roman" w:eastAsia="Times New Roman" w:hAnsi="Times New Roman"/>
          <w:sz w:val="19"/>
          <w:szCs w:val="19"/>
        </w:rPr>
        <w:t xml:space="preserve">,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w:t>
      </w:r>
      <w:r>
        <w:rPr>
          <w:rFonts w:ascii="Times New Roman" w:cs="Times New Roman" w:eastAsia="Times New Roman" w:hAnsi="Times New Roman"/>
          <w:sz w:val="19"/>
          <w:szCs w:val="19"/>
        </w:rPr>
        <w:t xml:space="preserve">L</w:t>
      </w:r>
      <w:r>
        <w:rPr>
          <w:rFonts w:ascii="Times New Roman" w:cs="Times New Roman" w:eastAsia="Times New Roman" w:hAnsi="Times New Roman"/>
          <w:sz w:val="19"/>
          <w:szCs w:val="19"/>
        </w:rPr>
        <w:t xml:space="preserv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w:t>
      </w:r>
      <w:r>
        <w:rPr>
          <w:rFonts w:ascii="Times New Roman" w:cs="Times New Roman" w:eastAsia="Times New Roman" w:hAnsi="Times New Roman"/>
          <w:sz w:val="19"/>
          <w:szCs w:val="19"/>
        </w:rPr>
        <w:t xml:space="preserve">,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w:t>
      </w:r>
      <w:r>
        <w:rPr>
          <w:rFonts w:ascii="Times New Roman" w:cs="Times New Roman" w:eastAsia="Times New Roman" w:hAnsi="Times New Roman"/>
          <w:sz w:val="22"/>
          <w:szCs w:val="22"/>
        </w:rPr>
        <w:t xml:space="preserve">the five verification predicates in Equation (9.3)</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w:t>
      </w:r>
      <w:r>
        <w:rPr>
          <w:rFonts w:ascii="Times New Roman" w:cs="Times New Roman" w:eastAsia="Times New Roman" w:hAnsi="Times New Roman"/>
          <w:sz w:val="22"/>
          <w:szCs w:val="22"/>
        </w:rPr>
        <w:t xml:space="preserve">The matrix column labelled VL is the exploratory jurisdiction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(Sections 5.2 and 9.5), whereas the lifecycle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Equation (9.3) corresponds to the requirement that the consent state be ACTIVE.</w:t>
      </w:r>
      <w:r>
        <w:rPr>
          <w:rFonts w:ascii="Times New Roman" w:cs="Times New Roman" w:eastAsia="Times New Roman" w:hAnsi="Times New Roman"/>
          <w:sz w:val="22"/>
          <w:szCs w:val="22"/>
        </w:rPr>
        <w:t xml:space="preserve"> The final decision therefore combines the decision matrix with that scope check</w:t>
      </w:r>
      <w:r>
        <w:rPr>
          <w:rFonts w:ascii="Times New Roman" w:cs="Times New Roman" w:eastAsia="Times New Roman" w:hAnsi="Times New Roman"/>
          <w:sz w:val="22"/>
          <w:szCs w:val="22"/>
        </w:rPr>
        <w:t xml:space="preserve">, with the ACTIVE-state check</w:t>
      </w:r>
      <w:r>
        <w:rPr>
          <w:rFonts w:ascii="Times New Roman" w:cs="Times New Roman" w:eastAsia="Times New Roman" w:hAnsi="Times New Roman"/>
          <w:sz w:val="22"/>
          <w:szCs w:val="22"/>
        </w:rPr>
        <w:t xml:space="preserve">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evaluation step also applies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of the prototype (Section 9.5)</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w:t>
      </w:r>
      <w:r>
        <w:rPr>
          <w:rFonts w:ascii="Times New Roman" w:cs="Times New Roman" w:eastAsia="Times New Roman" w:hAnsi="Times New Roman"/>
          <w:sz w:val="19"/>
          <w:szCs w:val="19"/>
        </w:rPr>
        <w:t xml:space="preserve">the consent lifecycle state, V</w:t>
      </w:r>
      <w:r>
        <w:rPr>
          <w:rFonts w:ascii="Times New Roman" w:cs="Times New Roman" w:eastAsia="Times New Roman" w:hAnsi="Times New Roman"/>
          <w:sz w:val="19"/>
          <w:szCs w:val="19"/>
          <w:vertAlign w:val="subscript"/>
        </w:rPr>
        <w:t xml:space="preserve">L</w:t>
      </w:r>
      <w:r>
        <w:rPr>
          <w:rFonts w:ascii="Times New Roman" w:cs="Times New Roman" w:eastAsia="Times New Roman" w:hAnsi="Times New Roman"/>
          <w:sz w:val="19"/>
          <w:szCs w:val="19"/>
        </w:rPr>
        <w:t xml:space="preserve">(C)</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exploratory jurisdiction check V</w:t>
      </w:r>
      <w:r>
        <w:rPr>
          <w:rFonts w:ascii="Times New Roman" w:cs="Times New Roman" w:eastAsia="Times New Roman" w:hAnsi="Times New Roman"/>
          <w:sz w:val="19"/>
          <w:szCs w:val="19"/>
          <w:vertAlign w:val="subscript"/>
        </w:rPr>
        <w:t xml:space="preserve">J</w:t>
      </w:r>
      <w:r>
        <w:rPr>
          <w:rFonts w:ascii="Times New Roman" w:cs="Times New Roman" w:eastAsia="Times New Roman" w:hAnsi="Times New Roman"/>
          <w:sz w:val="19"/>
          <w:szCs w:val="19"/>
        </w:rPr>
        <w:t xml:space="preserve"> of the prototype (Section 9.5)</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w:t>
      </w:r>
      <w:r>
        <w:rPr>
          <w:rFonts w:ascii="Times New Roman" w:cs="Times New Roman" w:eastAsia="Times New Roman" w:hAnsi="Times New Roman"/>
          <w:sz w:val="19"/>
          <w:szCs w:val="19"/>
        </w:rPr>
        <w:t xml:space="preserve">after the decision matrix has been evaluated, and the decision combines the two</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w:t>
      </w:r>
      <w:r>
        <w:rPr>
          <w:rFonts w:ascii="Times New Roman" w:cs="Times New Roman" w:eastAsia="Times New Roman" w:hAnsi="Times New Roman"/>
          <w:sz w:val="22"/>
          <w:szCs w:val="22"/>
        </w:rPr>
        <w:t xml:space="preserve">and temporal validity</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w:t>
      </w:r>
      <w:r>
        <w:rPr>
          <w:rFonts w:ascii="Times New Roman" w:cs="Times New Roman" w:eastAsia="Times New Roman" w:hAnsi="Times New Roman"/>
          <w:sz w:val="22"/>
          <w:szCs w:val="22"/>
        </w:rPr>
        <w:t xml:space="preserve">after the decision matrix has been evaluated, and the decision combines the two</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w:t>
      </w:r>
      <w:r>
        <w:rPr>
          <w:rFonts w:ascii="Times New Roman" w:cs="Times New Roman" w:eastAsia="Times New Roman" w:hAnsi="Times New Roman"/>
          <w:color w:val="00B0F0"/>
          <w:sz w:val="22"/>
          <w:szCs w:val="22"/>
        </w:rPr>
        <w:t xml:space="preserve">(Grassi et al. 2021)</w:t>
      </w:r>
      <w:r>
        <w:rPr>
          <w:rFonts w:ascii="Times New Roman" w:cs="Times New Roman" w:eastAsia="Times New Roman" w:hAnsi="Times New Roman"/>
          <w:color w:val="00B0F0"/>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w:t>
      </w:r>
      <w:r>
        <w:rPr>
          <w:rFonts w:ascii="Times New Roman" w:cs="Times New Roman" w:eastAsia="Times New Roman" w:hAnsi="Times New Roman"/>
          <w:sz w:val="22"/>
          <w:szCs w:val="22"/>
        </w:rPr>
        <w:t xml:space="preserve">Malformed guardian identifiers and empty scopes therefore do not reach the decision logic, whereas the doctor DID is checked for DID format only when the access decision is evaluated.</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w:t>
      </w:r>
      <w:r>
        <w:rPr>
          <w:rFonts w:ascii="Times New Roman" w:cs="Times New Roman" w:eastAsia="Times New Roman" w:hAnsi="Times New Roman"/>
          <w:sz w:val="22"/>
          <w:szCs w:val="22"/>
        </w:rP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(C, R) = 1 ⟺ Jur(R) = Jur(C). The current prototype already includes an exploratory version of this check, which its interface labels VL and which Section 11 uses in one refused request.</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w:t>
      </w:r>
      <w:r>
        <w:rPr>
          <w:rFonts w:ascii="Times New Roman" w:cs="Times New Roman" w:eastAsia="Times New Roman" w:hAnsi="Times New Roman"/>
          <w:sz w:val="22"/>
          <w:szCs w:val="22"/>
        </w:rPr>
        <w:t xml:space="preserve">lifecycle</w:t>
      </w:r>
      <w:r>
        <w:rPr>
          <w:rFonts w:ascii="Times New Roman" w:cs="Times New Roman" w:eastAsia="Times New Roman" w:hAnsi="Times New Roman"/>
          <w:sz w:val="22"/>
          <w:szCs w:val="22"/>
        </w:rPr>
        <w:t xml:space="preserve">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and Lifecycle</w:t>
      </w:r>
      <w:r>
        <w:rPr>
          <w:rFonts w:ascii="Times New Roman" w:cs="Times New Roman" w:eastAsia="Times New Roman" w:hAnsi="Times New Roman"/>
          <w:b/>
          <w:bCs/>
          <w:sz w:val="26"/>
          <w:szCs w:val="26"/>
        </w:rPr>
        <w:t xml:space="preserve"> 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Temporal validity must also be evaluated together with the lifecycle state of the consent. The lifecycle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Specification → Verification → Approval → Active → Expiration/Revocation.</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 q.</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If the consent is temporally valid, in an appropriate lifecycle state, and has not been revoked, the system validates the requested transition q. The transition is evaluated against the predefined lifecycle-transition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State(C) →</w:t>
      </w:r>
      <w:r>
        <w:rPr>
          <w:rFonts w:ascii="Cambria Math" w:cs="Cambria Math" w:eastAsia="Cambria Math" w:hAnsi="Cambria Math"/>
          <w:i w:val="false"/>
          <w:iCs w:val="false"/>
          <w:sz w:val="21"/>
          <w:szCs w:val="21"/>
          <w:vertAlign w:val="superscript"/>
        </w:rPr>
        <w:t xml:space="preserve">q</w:t>
      </w:r>
      <w:r>
        <w:rPr>
          <w:rFonts w:ascii="Cambria Math" w:cs="Cambria Math" w:eastAsia="Cambria Math" w:hAnsi="Cambria Math"/>
          <w:i w:val="false"/>
          <w:iCs w:val="false"/>
          <w:sz w:val="21"/>
          <w:szCs w:val="21"/>
        </w:rPr>
        <w:t xml:space="preserve"> State′(C).</w:t>
      </w:r>
      <w:r>
        <w:rPr>
          <w:rFonts w:ascii="Times New Roman" w:cs="Times New Roman" w:eastAsia="Times New Roman" w:hAnsi="Times New Roman"/>
          <w:sz w:val="22"/>
          <w:szCs w:val="22"/>
        </w:rPr>
        <w:t xml:space="preserve">	(10.4)</w:t>
      </w:r>
    </w:p>
    <w:p>
      <w:pPr>
        <w:spacing w:after="110" w:line="264"/>
        <w:jc w:val="both"/>
      </w:pPr>
      <w:r>
        <w:rPr>
          <w:rFonts w:ascii="Times New Roman" w:cs="Times New Roman" w:eastAsia="Times New Roman" w:hAnsi="Times New Roman"/>
          <w:sz w:val="22"/>
          <w:szCs w:val="22"/>
        </w:rPr>
        <w:t xml:space="preserve">The transition is valid only when q is explicitly permitted from the current state. The lifecycle validity predicate can therefore be represented as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 ValidState(C) ∧ ValidTransition(C).</w:t>
      </w:r>
      <w:r>
        <w:rPr>
          <w:rFonts w:ascii="Times New Roman" w:cs="Times New Roman" w:eastAsia="Times New Roman" w:hAnsi="Times New Roman"/>
          <w:sz w:val="22"/>
          <w:szCs w:val="22"/>
        </w:rPr>
        <w:t xml:space="preserve">	(10.5)</w:t>
      </w:r>
    </w:p>
    <w:p>
      <w:pPr>
        <w:spacing w:after="110" w:line="264"/>
        <w:jc w:val="both"/>
      </w:pPr>
      <w:r>
        <w:rPr>
          <w:rFonts w:ascii="Times New Roman" w:cs="Times New Roman" w:eastAsia="Times New Roman" w:hAnsi="Times New Roman"/>
          <w:sz w:val="22"/>
          <w:szCs w:val="22"/>
        </w:rPr>
        <w:t xml:space="preserve">An authorisation decision consequently requires both temporal and lifecycle validity. </w:t>
      </w:r>
      <w:r>
        <w:rPr>
          <w:rFonts w:ascii="Times New Roman" w:cs="Times New Roman" w:eastAsia="Times New Roman" w:hAnsi="Times New Roman"/>
          <w:sz w:val="22"/>
          <w:szCs w:val="22"/>
        </w:rPr>
        <w:t xml:space="preserve">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extended authorisation decision is therefore given by Equation (10.6).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Cambria Math" w:cs="Cambria Math" w:eastAsia="Cambria Math" w:hAnsi="Cambria Math"/>
          <w:i w:val="false"/>
          <w:iCs w:val="false"/>
          <w:sz w:val="18"/>
          <w:szCs w:val="18"/>
        </w:rPr>
        <w:t xml:space="preserve">.</w:t>
      </w:r>
      <w:r>
        <w:rPr>
          <w:rFonts w:ascii="Times New Roman" w:cs="Times New Roman" w:eastAsia="Times New Roman" w:hAnsi="Times New Roman"/>
          <w:sz w:val="22"/>
          <w:szCs w:val="22"/>
        </w:rPr>
        <w:t xml:space="preserve">	(10.6)</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derives the lifecycle state from the application record and also checks the revocation flag and the token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 current prototype,</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sz w:val="22"/>
          <w:szCs w:val="22"/>
        </w:rPr>
        <w:t xml:space="preserve">.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w:t>
      </w:r>
      <w:r>
        <w:rPr>
          <w:rFonts w:ascii="Times New Roman" w:cs="Times New Roman" w:eastAsia="Times New Roman" w:hAnsi="Times New Roman"/>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sz w:val="22"/>
          <w:szCs w:val="22"/>
        </w:rPr>
        <w:t xml:space="preserve">, including the SUSPENDED state</w:t>
      </w:r>
      <w:r>
        <w:rPr>
          <w:rFonts w:ascii="Times New Roman" w:cs="Times New Roman" w:eastAsia="Times New Roman" w:hAnsi="Times New Roman"/>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checks of the prototype decision matrix</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w:t>
      </w:r>
      <w:r>
        <w:rPr>
          <w:rFonts w:ascii="Times New Roman" w:cs="Times New Roman" w:eastAsia="Times New Roman" w:hAnsi="Times New Roman"/>
          <w:sz w:val="22"/>
          <w:szCs w:val="22"/>
        </w:rPr>
        <w:t xml:space="preserve">these five checks</w:t>
      </w:r>
      <w:r>
        <w:rPr>
          <w:rFonts w:ascii="Times New Roman" w:cs="Times New Roman" w:eastAsia="Times New Roman" w:hAnsi="Times New Roman"/>
          <w:sz w:val="22"/>
          <w:szCs w:val="22"/>
        </w:rPr>
        <w:t xml:space="preserve">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w:t>
      </w:r>
      <w:r>
        <w:rPr>
          <w:rFonts w:ascii="Times New Roman" w:cs="Times New Roman" w:eastAsia="Times New Roman" w:hAnsi="Times New Roman"/>
          <w:sz w:val="22"/>
          <w:szCs w:val="22"/>
        </w:rPr>
        <w:t xml:space="preserve">(the exploratory check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labelled VL in the prototype)</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w:t>
      </w:r>
      <w:r>
        <w:rPr>
          <w:rFonts w:ascii="Times New Roman" w:cs="Times New Roman" w:eastAsia="Times New Roman" w:hAnsi="Times New Roman"/>
          <w:color w:val="00B0F0"/>
          <w:sz w:val="22"/>
          <w:szCs w:val="22"/>
        </w:rPr>
        <w:t xml:space="preserve">(Entriken et al. 2018)</w:t>
      </w:r>
      <w:r>
        <w:rPr>
          <w:rFonts w:ascii="Times New Roman" w:cs="Times New Roman" w:eastAsia="Times New Roman" w:hAnsi="Times New Roman"/>
          <w:color w:val="00B0F0"/>
          <w:sz w:val="22"/>
          <w:szCs w:val="22"/>
        </w:rPr>
        <w:t xml:space="preserve"> that follows ERC-5484 </w:t>
      </w:r>
      <w:r>
        <w:rPr>
          <w:rFonts w:ascii="Times New Roman" w:cs="Times New Roman" w:eastAsia="Times New Roman" w:hAnsi="Times New Roman"/>
          <w:color w:val="00B0F0"/>
          <w:sz w:val="22"/>
          <w:szCs w:val="22"/>
        </w:rPr>
        <w:t xml:space="preserve">(Cai 2022)</w:t>
      </w:r>
      <w:r>
        <w:rPr>
          <w:rFonts w:ascii="Times New Roman" w:cs="Times New Roman" w:eastAsia="Times New Roman" w:hAnsi="Times New Roman"/>
          <w:color w:val="00B0F0"/>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he check labelled VL in the prototype interface is the exploratory jurisdiction check VJ)" title="Doctor subsystem for the evaluated consent f050c29a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 (the check labelled VL in the prototype interface is the exploratory jurisdiction check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w:t>
      </w:r>
      <w:r>
        <w:rPr>
          <w:rFonts w:ascii="Times New Roman" w:cs="Times New Roman" w:eastAsia="Times New Roman" w:hAnsi="Times New Roman"/>
          <w:b/>
          <w:bCs/>
          <w:sz w:val="22"/>
          <w:szCs w:val="22"/>
        </w:rPr>
        <w:t xml:space="preserve">exploratory check, supports RQ4</w:t>
      </w:r>
      <w:r>
        <w:rPr>
          <w:rFonts w:ascii="Times New Roman" w:cs="Times New Roman" w:eastAsia="Times New Roman" w:hAnsi="Times New Roman"/>
          <w:b/>
          <w:bCs/>
          <w:sz w:val="22"/>
          <w:szCs w:val="22"/>
        </w:rPr>
        <w:t xml:space="preserve">).</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w:t>
      </w:r>
      <w:r>
        <w:rPr>
          <w:rFonts w:ascii="Times New Roman" w:cs="Times New Roman" w:eastAsia="Times New Roman" w:hAnsi="Times New Roman"/>
          <w:sz w:val="22"/>
          <w:szCs w:val="22"/>
        </w:rPr>
        <w:t xml:space="preserve">the jurisdiction check passed. This check is the exploratory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of Section 9.5, which the prototype interface labels VL. Here, V</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rPr>
        <w:t xml:space="preserve"> = FAIL (shown as VL = FAIL in the interface)</w:t>
      </w:r>
      <w:r>
        <w:rPr>
          <w:rFonts w:ascii="Times New Roman" w:cs="Times New Roman" w:eastAsia="Times New Roman" w:hAnsi="Times New Roman"/>
          <w:sz w:val="22"/>
          <w:szCs w:val="22"/>
        </w:rPr>
        <w:t xml:space="preserv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w:t>
      </w:r>
      <w:r>
        <w:rPr>
          <w:rFonts w:ascii="Times New Roman" w:cs="Times New Roman" w:eastAsia="Times New Roman" w:hAnsi="Times New Roman"/>
          <w:sz w:val="18"/>
          <w:szCs w:val="18"/>
        </w:rPr>
        <w:t xml:space="preserve">the jurisdiction check (VL in the prototype interface)</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Exploratory jurisdiction check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 prototype only)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Lifecycle / Revocation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r>
        <w:rPr>
          <w:rFonts w:ascii="Times New Roman" w:cs="Times New Roman" w:eastAsia="Times New Roman" w:hAnsi="Times New Roman"/>
          <w:sz w:val="18"/>
          <w:szCs w:val="18"/>
        </w:rPr>
        <w:t xml:space="preserve">. V</w:t>
      </w:r>
      <w:r>
        <w:rPr>
          <w:rFonts w:ascii="Times New Roman" w:cs="Times New Roman" w:eastAsia="Times New Roman" w:hAnsi="Times New Roman"/>
          <w:sz w:val="18"/>
          <w:szCs w:val="18"/>
          <w:vertAlign w:val="subscript"/>
        </w:rPr>
        <w:t xml:space="preserve">J</w:t>
      </w:r>
      <w:r>
        <w:rPr>
          <w:rFonts w:ascii="Times New Roman" w:cs="Times New Roman" w:eastAsia="Times New Roman" w:hAnsi="Times New Roman"/>
          <w:sz w:val="18"/>
          <w:szCs w:val="18"/>
        </w:rPr>
        <w:t xml:space="preserve"> is the exploratory jurisdiction check, which the prototype logs as VL</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J</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w:t>
      </w:r>
      <w:r>
        <w:rPr>
          <w:rFonts w:ascii="Times New Roman" w:cs="Times New Roman" w:eastAsia="Times New Roman" w:hAnsi="Times New Roman"/>
          <w:sz w:val="22"/>
          <w:szCs w:val="22"/>
        </w:rPr>
        <w:t xml:space="preserve">the five checks of the prototype decision matrix</w:t>
      </w:r>
      <w:r>
        <w:rPr>
          <w:rFonts w:ascii="Times New Roman" w:cs="Times New Roman" w:eastAsia="Times New Roman" w:hAnsi="Times New Roman"/>
          <w:sz w:val="22"/>
          <w:szCs w:val="22"/>
        </w:rPr>
        <w:t xml:space="preserve">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matrix checks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t>
      </w:r>
      <w:r>
        <w:rPr>
          <w:rFonts w:ascii="Times New Roman" w:cs="Times New Roman" w:eastAsia="Times New Roman" w:hAnsi="Times New Roman"/>
          <w:sz w:val="22"/>
          <w:szCs w:val="22"/>
        </w:rPr>
        <w:t xml:space="preserve">and contextual policy conditions such as jurisdiction extend the policy evaluation of Section 9,</w:t>
      </w:r>
      <w:r>
        <w:rPr>
          <w:rFonts w:ascii="Times New Roman" w:cs="Times New Roman" w:eastAsia="Times New Roman" w:hAnsi="Times New Roman"/>
          <w:sz w:val="22"/>
          <w:szCs w:val="22"/>
        </w:rPr>
        <w:t xml:space="preserve">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w:t>
            </w:r>
            <w:r>
              <w:rPr>
                <w:rFonts w:ascii="Times New Roman" w:cs="Times New Roman" w:eastAsia="Times New Roman" w:hAnsi="Times New Roman"/>
                <w:b w:val="false"/>
                <w:bCs w:val="false"/>
                <w:sz w:val="17"/>
                <w:szCs w:val="17"/>
              </w:rPr>
              <w:t xml:space="preserve">extend the policy evaluation with a declared request purpose and the jurisdiction condition V</w:t>
            </w:r>
            <w:r>
              <w:rPr>
                <w:rFonts w:ascii="Times New Roman" w:cs="Times New Roman" w:eastAsia="Times New Roman" w:hAnsi="Times New Roman"/>
                <w:b w:val="false"/>
                <w:bCs w:val="false"/>
                <w:sz w:val="17"/>
                <w:szCs w:val="17"/>
                <w:vertAlign w:val="subscript"/>
              </w:rPr>
              <w:t xml:space="preserve">J</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color w:val="00B0F0"/>
          <w:sz w:val="18"/>
          <w:szCs w:val="18"/>
        </w:rPr>
        <w:t xml:space="preserve">Bloemen, R., Logvinov, L. &amp; Evans, J. 2017, </w:t>
      </w:r>
      <w:r>
        <w:rPr>
          <w:rFonts w:ascii="Times New Roman" w:cs="Times New Roman" w:eastAsia="Times New Roman" w:hAnsi="Times New Roman"/>
          <w:i/>
          <w:iCs/>
          <w:color w:val="00B0F0"/>
          <w:sz w:val="18"/>
          <w:szCs w:val="18"/>
        </w:rPr>
        <w:t xml:space="preserve">EIP-712: Typed structured data hashing and signing</w:t>
      </w:r>
      <w:r>
        <w:rPr>
          <w:rFonts w:ascii="Times New Roman" w:cs="Times New Roman" w:eastAsia="Times New Roman" w:hAnsi="Times New Roman"/>
          <w:color w:val="00B0F0"/>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color w:val="00B0F0"/>
          <w:sz w:val="18"/>
          <w:szCs w:val="18"/>
        </w:rPr>
        <w:t xml:space="preserve">Cai, B. 2022, </w:t>
      </w:r>
      <w:r>
        <w:rPr>
          <w:rFonts w:ascii="Times New Roman" w:cs="Times New Roman" w:eastAsia="Times New Roman" w:hAnsi="Times New Roman"/>
          <w:i/>
          <w:iCs/>
          <w:color w:val="00B0F0"/>
          <w:sz w:val="18"/>
          <w:szCs w:val="18"/>
        </w:rPr>
        <w:t xml:space="preserve">ERC-5484: Consensual soulbound tokens</w:t>
      </w:r>
      <w:r>
        <w:rPr>
          <w:rFonts w:ascii="Times New Roman" w:cs="Times New Roman" w:eastAsia="Times New Roman" w:hAnsi="Times New Roman"/>
          <w:color w:val="00B0F0"/>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color w:val="00B0F0"/>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color w:val="00B0F0"/>
          <w:sz w:val="18"/>
          <w:szCs w:val="18"/>
        </w:rPr>
        <w:t xml:space="preserve">Scientific Reports</w:t>
      </w:r>
      <w:r>
        <w:rPr>
          <w:rFonts w:ascii="Times New Roman" w:cs="Times New Roman" w:eastAsia="Times New Roman" w:hAnsi="Times New Roman"/>
          <w:color w:val="00B0F0"/>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color w:val="00B0F0"/>
          <w:sz w:val="18"/>
          <w:szCs w:val="18"/>
        </w:rPr>
        <w:t xml:space="preserve">Entriken, W., Shirley, D., Evans, J. &amp; Sachs, N. 2018, </w:t>
      </w:r>
      <w:r>
        <w:rPr>
          <w:rFonts w:ascii="Times New Roman" w:cs="Times New Roman" w:eastAsia="Times New Roman" w:hAnsi="Times New Roman"/>
          <w:i/>
          <w:iCs/>
          <w:color w:val="00B0F0"/>
          <w:sz w:val="18"/>
          <w:szCs w:val="18"/>
        </w:rPr>
        <w:t xml:space="preserve">ERC-721: Non-fungible token standard</w:t>
      </w:r>
      <w:r>
        <w:rPr>
          <w:rFonts w:ascii="Times New Roman" w:cs="Times New Roman" w:eastAsia="Times New Roman" w:hAnsi="Times New Roman"/>
          <w:color w:val="00B0F0"/>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color w:val="00B0F0"/>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color w:val="00B0F0"/>
          <w:sz w:val="18"/>
          <w:szCs w:val="18"/>
        </w:rPr>
        <w:t xml:space="preserve">Proceedings of the 30th USENIX Security Symposium</w:t>
      </w:r>
      <w:r>
        <w:rPr>
          <w:rFonts w:ascii="Times New Roman" w:cs="Times New Roman" w:eastAsia="Times New Roman" w:hAnsi="Times New Roman"/>
          <w:color w:val="00B0F0"/>
          <w:sz w:val="18"/>
          <w:szCs w:val="18"/>
        </w:rPr>
        <w:t xml:space="preserve">, pp. 519–535.</w:t>
      </w:r>
    </w:p>
    <w:p>
      <w:pPr>
        <w:spacing w:after="80" w:line="240"/>
        <w:ind w:left="560" w:hanging="560"/>
        <w:jc w:val="left"/>
      </w:pPr>
      <w:r>
        <w:rPr>
          <w:rFonts w:ascii="Times New Roman" w:cs="Times New Roman" w:eastAsia="Times New Roman" w:hAnsi="Times New Roman"/>
          <w:color w:val="00B0F0"/>
          <w:sz w:val="18"/>
          <w:szCs w:val="18"/>
        </w:rPr>
        <w:t xml:space="preserve">Groth, J. 2016, 'On the size of pairing-based non-interactive arguments', </w:t>
      </w:r>
      <w:r>
        <w:rPr>
          <w:rFonts w:ascii="Times New Roman" w:cs="Times New Roman" w:eastAsia="Times New Roman" w:hAnsi="Times New Roman"/>
          <w:i/>
          <w:iCs/>
          <w:color w:val="00B0F0"/>
          <w:sz w:val="18"/>
          <w:szCs w:val="18"/>
        </w:rPr>
        <w:t xml:space="preserve">Advances in Cryptology – EUROCRYPT 2016, LNCS</w:t>
      </w:r>
      <w:r>
        <w:rPr>
          <w:rFonts w:ascii="Times New Roman" w:cs="Times New Roman" w:eastAsia="Times New Roman" w:hAnsi="Times New Roman"/>
          <w:color w:val="00B0F0"/>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color w:val="00B0F0"/>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color w:val="00B0F0"/>
          <w:sz w:val="18"/>
          <w:szCs w:val="18"/>
        </w:rPr>
        <w:t xml:space="preserve">BMC Nursing</w:t>
      </w:r>
      <w:r>
        <w:rPr>
          <w:rFonts w:ascii="Times New Roman" w:cs="Times New Roman" w:eastAsia="Times New Roman" w:hAnsi="Times New Roman"/>
          <w:color w:val="00B0F0"/>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zkSNARKs implementation in JavaScript</w:t>
      </w:r>
      <w:r>
        <w:rPr>
          <w:rFonts w:ascii="Times New Roman" w:cs="Times New Roman" w:eastAsia="Times New Roman" w:hAnsi="Times New Roman"/>
          <w:sz w:val="18"/>
          <w:szCs w:val="18"/>
        </w:rPr>
        <w:t xml:space="preserve">, version 0.7, npm package, viewed 7 October 2026, &lt;https://www.npmjs.com/package/snarkjs&gt;.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color w:val="00B0F0"/>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color w:val="00B0F0"/>
          <w:sz w:val="18"/>
          <w:szCs w:val="18"/>
        </w:rPr>
        <w:t xml:space="preserve">Electronics</w:t>
      </w:r>
      <w:r>
        <w:rPr>
          <w:rFonts w:ascii="Times New Roman" w:cs="Times New Roman" w:eastAsia="Times New Roman" w:hAnsi="Times New Roman"/>
          <w:color w:val="00B0F0"/>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color w:val="00B0F0"/>
          <w:sz w:val="18"/>
          <w:szCs w:val="18"/>
        </w:rPr>
        <w:t xml:space="preserve">Kharlamov, A., Hohmann, R. &amp; Parry, G. 2023, 'Data sharing decisions: Perceptions and intentions in healthcare', </w:t>
      </w:r>
      <w:r>
        <w:rPr>
          <w:rFonts w:ascii="Times New Roman" w:cs="Times New Roman" w:eastAsia="Times New Roman" w:hAnsi="Times New Roman"/>
          <w:i/>
          <w:iCs/>
          <w:color w:val="00B0F0"/>
          <w:sz w:val="18"/>
          <w:szCs w:val="18"/>
        </w:rPr>
        <w:t xml:space="preserve">Strategic Change</w:t>
      </w:r>
      <w:r>
        <w:rPr>
          <w:rFonts w:ascii="Times New Roman" w:cs="Times New Roman" w:eastAsia="Times New Roman" w:hAnsi="Times New Roman"/>
          <w:color w:val="00B0F0"/>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color w:val="00B0F0"/>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color w:val="00B0F0"/>
          <w:sz w:val="18"/>
          <w:szCs w:val="18"/>
        </w:rPr>
        <w:t xml:space="preserve">IFIP International Conference on Distributed Applications and Interoperable Systems (DAIS 2022), LNCS</w:t>
      </w:r>
      <w:r>
        <w:rPr>
          <w:rFonts w:ascii="Times New Roman" w:cs="Times New Roman" w:eastAsia="Times New Roman" w:hAnsi="Times New Roman"/>
          <w:color w:val="00B0F0"/>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color w:val="00B0F0"/>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color w:val="00B0F0"/>
          <w:sz w:val="18"/>
          <w:szCs w:val="18"/>
        </w:rPr>
        <w:t xml:space="preserve">ACM Computing Surveys</w:t>
      </w:r>
      <w:r>
        <w:rPr>
          <w:rFonts w:ascii="Times New Roman" w:cs="Times New Roman" w:eastAsia="Times New Roman" w:hAnsi="Times New Roman"/>
          <w:color w:val="00B0F0"/>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color w:val="00B0F0"/>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color w:val="00B0F0"/>
          <w:sz w:val="18"/>
          <w:szCs w:val="18"/>
        </w:rPr>
        <w:t xml:space="preserve">BMJ</w:t>
      </w:r>
      <w:r>
        <w:rPr>
          <w:rFonts w:ascii="Times New Roman" w:cs="Times New Roman" w:eastAsia="Times New Roman" w:hAnsi="Times New Roman"/>
          <w:color w:val="00B0F0"/>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color w:val="00B0F0"/>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color w:val="00B0F0"/>
          <w:sz w:val="18"/>
          <w:szCs w:val="18"/>
        </w:rPr>
        <w:t xml:space="preserve">Blockchain in Healthcare Today</w:t>
      </w:r>
      <w:r>
        <w:rPr>
          <w:rFonts w:ascii="Times New Roman" w:cs="Times New Roman" w:eastAsia="Times New Roman" w:hAnsi="Times New Roman"/>
          <w:color w:val="00B0F0"/>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color w:val="00B0F0"/>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color w:val="00B0F0"/>
          <w:sz w:val="18"/>
          <w:szCs w:val="18"/>
        </w:rPr>
        <w:t xml:space="preserve">Journal of Cloud Computing</w:t>
      </w:r>
      <w:r>
        <w:rPr>
          <w:rFonts w:ascii="Times New Roman" w:cs="Times New Roman" w:eastAsia="Times New Roman" w:hAnsi="Times New Roman"/>
          <w:color w:val="00B0F0"/>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color w:val="00B0F0"/>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color w:val="00B0F0"/>
          <w:sz w:val="18"/>
          <w:szCs w:val="18"/>
        </w:rPr>
        <w:t xml:space="preserve">Iranian Journal of Science and Technology, Transactions of Electrical Engineering</w:t>
      </w:r>
      <w:r>
        <w:rPr>
          <w:rFonts w:ascii="Times New Roman" w:cs="Times New Roman" w:eastAsia="Times New Roman" w:hAnsi="Times New Roman"/>
          <w:color w:val="00B0F0"/>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color w:val="00B0F0"/>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color w:val="00B0F0"/>
          <w:sz w:val="18"/>
          <w:szCs w:val="18"/>
        </w:rPr>
        <w:t xml:space="preserve">2026 3rd International Conference on Emerging Trends in Engineering and Medical Sciences (ICETEMS)</w:t>
      </w:r>
      <w:r>
        <w:rPr>
          <w:rFonts w:ascii="Times New Roman" w:cs="Times New Roman" w:eastAsia="Times New Roman" w:hAnsi="Times New Roman"/>
          <w:color w:val="00B0F0"/>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color w:val="00B0F0"/>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color w:val="00B0F0"/>
          <w:sz w:val="18"/>
          <w:szCs w:val="18"/>
        </w:rPr>
        <w:t xml:space="preserve">JAMIA Open</w:t>
      </w:r>
      <w:r>
        <w:rPr>
          <w:rFonts w:ascii="Times New Roman" w:cs="Times New Roman" w:eastAsia="Times New Roman" w:hAnsi="Times New Roman"/>
          <w:color w:val="00B0F0"/>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color w:val="00B0F0"/>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color w:val="00B0F0"/>
          <w:sz w:val="18"/>
          <w:szCs w:val="18"/>
        </w:rPr>
        <w:t xml:space="preserve">Cluster Computing</w:t>
      </w:r>
      <w:r>
        <w:rPr>
          <w:rFonts w:ascii="Times New Roman" w:cs="Times New Roman" w:eastAsia="Times New Roman" w:hAnsi="Times New Roman"/>
          <w:color w:val="00B0F0"/>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w:t>
      </w:r>
    </w:p>
    <w:p>
      <w:pPr>
        <w:spacing w:after="80" w:line="240"/>
        <w:ind w:left="560" w:hanging="560"/>
        <w:jc w:val="left"/>
      </w:pPr>
      <w:r>
        <w:rPr>
          <w:rFonts w:ascii="Times New Roman" w:cs="Times New Roman" w:eastAsia="Times New Roman" w:hAnsi="Times New Roman"/>
          <w:color w:val="00B0F0"/>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color w:val="00B0F0"/>
          <w:sz w:val="18"/>
          <w:szCs w:val="18"/>
        </w:rPr>
        <w:t xml:space="preserve">Proceedings of the International Conference on Deep Learning, Big Data and Blockchain (DBB 2022), LNNS</w:t>
      </w:r>
      <w:r>
        <w:rPr>
          <w:rFonts w:ascii="Times New Roman" w:cs="Times New Roman" w:eastAsia="Times New Roman" w:hAnsi="Times New Roman"/>
          <w:color w:val="00B0F0"/>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13e368c9dad0544d3c7961bdb693a1f1fcac25d0.png"/><Relationship Id="rId13" Type="http://schemas.openxmlformats.org/officeDocument/2006/relationships/image" Target="media/02ec6b71342c7cbb65a5819a55b29b0ad7d8bd11.png"/><Relationship Id="rId14" Type="http://schemas.openxmlformats.org/officeDocument/2006/relationships/image" Target="media/f5bdc53204d3b216ef8c53808cc02dbdf91460a7.png"/><Relationship Id="rId15" Type="http://schemas.openxmlformats.org/officeDocument/2006/relationships/image" Target="media/86b8a1f466d92e497dab36c77f4f2b7f13737b14.png"/><Relationship Id="rId16" Type="http://schemas.openxmlformats.org/officeDocument/2006/relationships/image" Target="media/939b693dd50d175247d7a3ec87e22966428d2f14.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d4093bf96631d297dbe1b92195fb5ae7117de337.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03f3cc9e9c04c506887e27abc0699ec48e9486f.png"/><Relationship Id="rId33" Type="http://schemas.openxmlformats.org/officeDocument/2006/relationships/image" Target="media/b893ea07e7a42364ae781659ff3cff507e859f93.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2026-10-09T15:43:57.343Z</dcterms:created>
  <dcterms:modified xsi:type="dcterms:W3CDTF">2026-10-09T15:43:57.343Z</dcterms:modified>
</cp:coreProperties>
</file>

<file path=docProps/custom.xml><?xml version="1.0" encoding="utf-8"?>
<Properties xmlns="http://schemas.openxmlformats.org/officeDocument/2006/custom-properties" xmlns:vt="http://schemas.openxmlformats.org/officeDocument/2006/docPropsVTypes"/>
</file>