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30</w:t>
      </w:r>
    </w:p>
    <w:p>
      <w:pPr>
        <w:tabs>
          <w:tab w:val="right" w:pos="9128" w:leader="dot"/>
        </w:tabs>
        <w:spacing w:after="100"/>
      </w:pPr>
      <w:r>
        <w:rPr>
          <w:rFonts w:ascii="Times New Roman" w:cs="Times New Roman" w:eastAsia="Times New Roman" w:hAnsi="Times New Roman"/>
          <w:sz w:val="22"/>
          <w:szCs w:val="22"/>
        </w:rPr>
        <w:t xml:space="preserve">7. The Proposed Solution for RO2	34</w:t>
      </w:r>
    </w:p>
    <w:p>
      <w:pPr>
        <w:tabs>
          <w:tab w:val="right" w:pos="9128" w:leader="dot"/>
        </w:tabs>
        <w:spacing w:after="100"/>
      </w:pPr>
      <w:r>
        <w:rPr>
          <w:rFonts w:ascii="Times New Roman" w:cs="Times New Roman" w:eastAsia="Times New Roman" w:hAnsi="Times New Roman"/>
          <w:sz w:val="22"/>
          <w:szCs w:val="22"/>
        </w:rPr>
        <w:t xml:space="preserve">8. The Proposed Solution for RO3	38</w:t>
      </w:r>
    </w:p>
    <w:p>
      <w:pPr>
        <w:tabs>
          <w:tab w:val="right" w:pos="9128" w:leader="dot"/>
        </w:tabs>
        <w:spacing w:after="100"/>
      </w:pPr>
      <w:r>
        <w:rPr>
          <w:rFonts w:ascii="Times New Roman" w:cs="Times New Roman" w:eastAsia="Times New Roman" w:hAnsi="Times New Roman"/>
          <w:sz w:val="22"/>
          <w:szCs w:val="22"/>
        </w:rPr>
        <w:t xml:space="preserve">9. The Proposed Solution for RO4	43</w:t>
      </w:r>
    </w:p>
    <w:p>
      <w:pPr>
        <w:tabs>
          <w:tab w:val="right" w:pos="9128" w:leader="dot"/>
        </w:tabs>
        <w:spacing w:after="100"/>
      </w:pPr>
      <w:r>
        <w:rPr>
          <w:rFonts w:ascii="Times New Roman" w:cs="Times New Roman" w:eastAsia="Times New Roman" w:hAnsi="Times New Roman"/>
          <w:sz w:val="22"/>
          <w:szCs w:val="22"/>
        </w:rPr>
        <w:t xml:space="preserve">10. The Proposed Solution for RO5	48</w:t>
      </w:r>
    </w:p>
    <w:p>
      <w:pPr>
        <w:tabs>
          <w:tab w:val="right" w:pos="9128" w:leader="dot"/>
        </w:tabs>
        <w:spacing w:after="100"/>
      </w:pPr>
      <w:r>
        <w:rPr>
          <w:rFonts w:ascii="Times New Roman" w:cs="Times New Roman" w:eastAsia="Times New Roman" w:hAnsi="Times New Roman"/>
          <w:sz w:val="22"/>
          <w:szCs w:val="22"/>
        </w:rPr>
        <w:t xml:space="preserve">11. The Proposed Solution for RO6	52</w:t>
      </w:r>
    </w:p>
    <w:p>
      <w:pPr>
        <w:tabs>
          <w:tab w:val="right" w:pos="9128" w:leader="dot"/>
        </w:tabs>
        <w:spacing w:after="100"/>
      </w:pPr>
      <w:r>
        <w:rPr>
          <w:rFonts w:ascii="Times New Roman" w:cs="Times New Roman" w:eastAsia="Times New Roman" w:hAnsi="Times New Roman"/>
          <w:sz w:val="22"/>
          <w:szCs w:val="22"/>
        </w:rPr>
        <w:t xml:space="preserve">12. Publications Summary	68</w:t>
      </w:r>
    </w:p>
    <w:p>
      <w:pPr>
        <w:tabs>
          <w:tab w:val="right" w:pos="9128" w:leader="dot"/>
        </w:tabs>
        <w:spacing w:after="100"/>
      </w:pPr>
      <w:r>
        <w:rPr>
          <w:rFonts w:ascii="Times New Roman" w:cs="Times New Roman" w:eastAsia="Times New Roman" w:hAnsi="Times New Roman"/>
          <w:sz w:val="22"/>
          <w:szCs w:val="22"/>
        </w:rPr>
        <w:t xml:space="preserve">13. Research Plan	69</w:t>
      </w:r>
    </w:p>
    <w:p>
      <w:pPr>
        <w:tabs>
          <w:tab w:val="right" w:pos="9128" w:leader="dot"/>
        </w:tabs>
        <w:spacing w:after="100"/>
      </w:pPr>
      <w:r>
        <w:rPr>
          <w:rFonts w:ascii="Times New Roman" w:cs="Times New Roman" w:eastAsia="Times New Roman" w:hAnsi="Times New Roman"/>
          <w:sz w:val="22"/>
          <w:szCs w:val="22"/>
        </w:rPr>
        <w:t xml:space="preserve">References	71</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Secure and trustworthy data sharing is now needed</w:t>
      </w:r>
      <w:r>
        <w:rPr>
          <w:rFonts w:ascii="Times New Roman" w:cs="Times New Roman" w:eastAsia="Times New Roman" w:hAnsi="Times New Roman"/>
          <w:sz w:val="22"/>
          <w:szCs w:val="22"/>
        </w:rPr>
        <w:t xml:space="preserve"> across organisational boundaries.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highlight w:val="yellow"/>
        </w:rPr>
        <w:t xml:space="preserve">(Ghafoor et al. 2025; Lomotey, Kumi &amp; Deters 2022;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Digital services make collaboration easier, but they also raise a governance question</w:t>
      </w:r>
      <w:r>
        <w:rPr>
          <w:rFonts w:ascii="Times New Roman" w:cs="Times New Roman" w:eastAsia="Times New Roman" w:hAnsi="Times New Roman"/>
          <w:sz w:val="22"/>
          <w:szCs w:val="22"/>
        </w:rPr>
        <w:t xml:space="preserve">: how can data access be authorised and trusted when the participating entities do not belong to a single administrative or institutional domain? </w:t>
      </w:r>
      <w:r>
        <w:rPr>
          <w:rFonts w:ascii="Times New Roman" w:cs="Times New Roman" w:eastAsia="Times New Roman" w:hAnsi="Times New Roman"/>
          <w:sz w:val="22"/>
          <w:szCs w:val="22"/>
        </w:rPr>
        <w:t xml:space="preserve">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highlight w:val="yellow"/>
        </w:rPr>
        <w:t xml:space="preserve">(Webber et al. 2019; Welzel et al. 2025)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highlight w:val="yellow"/>
        </w:rPr>
        <w:t xml:space="preserve">(Ibrahim et al. 2024; Webber et al. 2019)</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In these settings, authorisation is a distributed governance problem, not just a check of a user's login and a static permission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yellow"/>
        </w:rPr>
        <w:t xml:space="preserve">(Theodorakopoulos, Theodoropoulou &amp; Halkiopoulos 2024)</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highlight w:val="yellow"/>
        </w:rPr>
        <w:t xml:space="preserve">(Al Mamun, Azam &amp; Gritti 2022; Hellstern et al. 2022; Li, Liu &amp; Shrestha 2026;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while decentralised identifiers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w:t>
      </w:r>
      <w:r>
        <w:rPr>
          <w:rFonts w:ascii="Times New Roman" w:cs="Times New Roman" w:eastAsia="Times New Roman" w:hAnsi="Times New Roman"/>
          <w:sz w:val="22"/>
          <w:szCs w:val="22"/>
        </w:rPr>
        <w:t xml:space="preserve">Consent must therefore be treated as an active, evaluable part of the authorisation process, not as a static record of permission</w:t>
      </w:r>
      <w:r>
        <w:rPr>
          <w:rFonts w:ascii="Times New Roman" w:cs="Times New Roman" w:eastAsia="Times New Roman" w:hAnsi="Times New Roman"/>
          <w:sz w:val="22"/>
          <w:szCs w:val="22"/>
        </w:rPr>
        <w:t xml:space="preserve">, extending the dynamic consent perspective </w:t>
      </w:r>
      <w:r>
        <w:rPr>
          <w:rFonts w:ascii="Times New Roman" w:cs="Times New Roman" w:eastAsia="Times New Roman" w:hAnsi="Times New Roman"/>
          <w:sz w:val="22"/>
          <w:szCs w:val="22"/>
          <w:highlight w:val="yellow"/>
        </w:rPr>
        <w:t xml:space="preserve">(Khalid et al. 2023; Narkhede, Wankhede &amp; Kamble 2025)</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highlight w:val="yellow"/>
        </w:rPr>
        <w:t xml:space="preserve">(Jesus &amp; Pandit 2022; Khalid et al. 2023)</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w:t>
      </w:r>
      <w:r>
        <w:rPr>
          <w:rFonts w:ascii="Times New Roman" w:cs="Times New Roman" w:eastAsia="Times New Roman" w:hAnsi="Times New Roman"/>
          <w:sz w:val="22"/>
          <w:szCs w:val="22"/>
          <w:highlight w:val="yellow"/>
        </w:rPr>
        <w:t xml:space="preserve">(Phuyal et al. 2026b; Wu &amp; Zhang 2025)</w:t>
      </w:r>
      <w:r>
        <w:rPr>
          <w:rFonts w:ascii="Times New Roman" w:cs="Times New Roman" w:eastAsia="Times New Roman" w:hAnsi="Times New Roman"/>
          <w:sz w:val="22"/>
          <w:szCs w:val="22"/>
        </w:rPr>
        <w:t xml:space="preserve">, blockchain-based records, multi-party approval mechanisms </w:t>
      </w:r>
      <w:r>
        <w:rPr>
          <w:rFonts w:ascii="Times New Roman" w:cs="Times New Roman" w:eastAsia="Times New Roman" w:hAnsi="Times New Roman"/>
          <w:sz w:val="22"/>
          <w:szCs w:val="22"/>
          <w:highlight w:val="yellow"/>
        </w:rPr>
        <w:t xml:space="preserve">(Ekholm et al. 2025; Punia et al. 2025; Tan, Chi &amp; Lam 2024)</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highlight w:val="yellow"/>
        </w:rPr>
        <w:t xml:space="preserve">(Eneh et al. 2026; Khayer et al. 2025; Panagoulias et al. 2026; Román-Martínez et al. 2023)</w:t>
      </w:r>
      <w:r>
        <w:rPr>
          <w:rFonts w:ascii="Times New Roman" w:cs="Times New Roman" w:eastAsia="Times New Roman" w:hAnsi="Times New Roman"/>
          <w:sz w:val="22"/>
          <w:szCs w:val="22"/>
        </w:rPr>
        <w:t xml:space="preserve">,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highlight w:val="yellow"/>
        </w:rPr>
        <w:t xml:space="preserve">(Li et al. 2026b; Ménétrey et al. 2022)</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w:t>
      </w:r>
      <w:r>
        <w:rPr>
          <w:rFonts w:ascii="Times New Roman" w:cs="Times New Roman" w:eastAsia="Times New Roman" w:hAnsi="Times New Roman"/>
          <w:sz w:val="22"/>
          <w:szCs w:val="22"/>
        </w:rPr>
        <w:t xml:space="preserve">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w:t>
      </w:r>
      <w:r>
        <w:rPr>
          <w:rFonts w:ascii="Times New Roman" w:cs="Times New Roman" w:eastAsia="Times New Roman" w:hAnsi="Times New Roman"/>
          <w:sz w:val="22"/>
          <w:szCs w:val="22"/>
        </w:rPr>
        <w:t xml:space="preserve">temporal and lifecycle conditions</w:t>
      </w:r>
      <w:r>
        <w:rPr>
          <w:rFonts w:ascii="Times New Roman" w:cs="Times New Roman" w:eastAsia="Times New Roman" w:hAnsi="Times New Roman"/>
          <w:sz w:val="22"/>
          <w:szCs w:val="22"/>
        </w:rPr>
        <w:t xml:space="preserve">,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review does not only list technologies that can be applied to healthcare data sharing. It examines</w:t>
      </w:r>
      <w:r>
        <w:rPr>
          <w:rFonts w:ascii="Times New Roman" w:cs="Times New Roman" w:eastAsia="Times New Roman" w:hAnsi="Times New Roman"/>
          <w:sz w:val="22"/>
          <w:szCs w:val="22"/>
        </w:rPr>
        <w:t xml:space="preserve"> how existing approaches address different conditions required for a trustworthy authorisation decision and where conceptual or architectural gaps remain. Healthcare research has emphasised the importance of patient autonomy, privacy, informed consent, and controlled data sharing </w:t>
      </w:r>
      <w:r>
        <w:rPr>
          <w:rFonts w:ascii="Times New Roman" w:cs="Times New Roman" w:eastAsia="Times New Roman" w:hAnsi="Times New Roman"/>
          <w:sz w:val="22"/>
          <w:szCs w:val="22"/>
          <w:highlight w:val="yellow"/>
        </w:rPr>
        <w:t xml:space="preserve">(Kaplow et al. 2024; Kharlamov, Hohmann &amp; Parry 2023; McClelland &amp; Harper 2023; Narkhede, Wankhede &amp; Kamble 2025; Webber et al. 2019)</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highlight w:val="yellow"/>
        </w:rPr>
        <w:t xml:space="preserve">(Andrew et al. 2023; Arbabi et al. 2023; Ghosh et al. 2023; Nguyen et al. 2025; Turan, Hashimzai &amp; Qiam 2025)</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highlight w:val="yellow"/>
        </w:rPr>
        <w:t xml:space="preserve">(Deng et al. 2024; Flamini et al. 2024; Mazzocca et al. 2025; Nassar Kyriakidou, Papathanasiou &amp; Polyzos 2023; Parameswarath, Gope &amp; Sikdar 2022; Yin et al. 2025)</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highlight w:val="yellow"/>
        </w:rPr>
        <w:t xml:space="preserve">(Jiang et al. 2023; Nazir et al. 2026; Tawfik et al. 2025; Yin et al. 2024)</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 </w:t>
      </w:r>
      <w:r>
        <w:rPr>
          <w:rFonts w:ascii="Times New Roman" w:cs="Times New Roman" w:eastAsia="Times New Roman" w:hAnsi="Times New Roman"/>
          <w:sz w:val="22"/>
          <w:szCs w:val="22"/>
        </w:rPr>
        <w:t xml:space="preserve">Having the security mechanisms is one thing</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w:t>
      </w:r>
      <w:r>
        <w:rPr>
          <w:rFonts w:ascii="Times New Roman" w:cs="Times New Roman" w:eastAsia="Times New Roman" w:hAnsi="Times New Roman"/>
          <w:sz w:val="22"/>
          <w:szCs w:val="22"/>
        </w:rPr>
        <w:t xml:space="preserve">purpose and data scope</w:t>
      </w:r>
      <w:r>
        <w:rPr>
          <w:rFonts w:ascii="Times New Roman" w:cs="Times New Roman" w:eastAsia="Times New Roman" w:hAnsi="Times New Roman"/>
          <w:sz w:val="22"/>
          <w:szCs w:val="22"/>
        </w:rPr>
        <w:t xml:space="preserve">, temporal validity, </w:t>
      </w:r>
      <w:r>
        <w:rPr>
          <w:rFonts w:ascii="Times New Roman" w:cs="Times New Roman" w:eastAsia="Times New Roman" w:hAnsi="Times New Roman"/>
          <w:sz w:val="22"/>
          <w:szCs w:val="22"/>
        </w:rPr>
        <w:t xml:space="preserve">lifecycle state, </w:t>
      </w:r>
      <w:r>
        <w:rPr>
          <w:rFonts w:ascii="Times New Roman" w:cs="Times New Roman" w:eastAsia="Times New Roman" w:hAnsi="Times New Roman"/>
          <w:sz w:val="22"/>
          <w:szCs w:val="22"/>
        </w:rPr>
        <w:t xml:space="preserve">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w:t>
      </w:r>
      <w:r>
        <w:rPr>
          <w:rFonts w:ascii="Times New Roman" w:cs="Times New Roman" w:eastAsia="Times New Roman" w:hAnsi="Times New Roman"/>
          <w:sz w:val="22"/>
          <w:szCs w:val="22"/>
        </w:rPr>
        <w:t xml:space="preserve">This applies to every request</w:t>
      </w:r>
      <w:r>
        <w:rPr>
          <w:rFonts w:ascii="Times New Roman" w:cs="Times New Roman" w:eastAsia="Times New Roman" w:hAnsi="Times New Roman"/>
          <w:sz w:val="22"/>
          <w:szCs w:val="22"/>
        </w:rPr>
        <w:t xml:space="preserve">, because many unauthorised disclosures are caused by legitimate requesters who exceed their scope </w:t>
      </w:r>
      <w:r>
        <w:rPr>
          <w:rFonts w:ascii="Times New Roman" w:cs="Times New Roman" w:eastAsia="Times New Roman" w:hAnsi="Times New Roman"/>
          <w:sz w:val="22"/>
          <w:szCs w:val="22"/>
          <w:highlight w:val="yellow"/>
        </w:rPr>
        <w:t xml:space="preserve">(Jiang et al. 2023)</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highlight w:val="yellow"/>
        </w:rPr>
        <w:t xml:space="preserve">(Page et al. 2021)</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rPr>
        <w:t xml:space="preserve">All screening, coding, and quality assessment up to the reporting checkpoint were carried out by the author,</w:t>
      </w:r>
      <w:r>
        <w:rPr>
          <w:rFonts w:ascii="Times New Roman" w:cs="Times New Roman" w:eastAsia="Times New Roman" w:hAnsi="Times New Roman"/>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w:t>
      </w:r>
      <w:r>
        <w:rPr>
          <w:rFonts w:ascii="Times New Roman" w:cs="Times New Roman" w:eastAsia="Times New Roman" w:hAnsi="Times New Roman"/>
          <w:sz w:val="22"/>
          <w:szCs w:val="22"/>
        </w:rPr>
        <w:t xml:space="preserve">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sz w:val="22"/>
          <w:szCs w:val="22"/>
          <w:highlight w:val="yellow"/>
        </w:rPr>
        <w:t xml:space="preserve">(Albalwy, Brass &amp; Davies 2021; Jaiman &amp; Urovi 2020; Madine et al. 2020; Tith et al. 2020)</w:t>
      </w:r>
      <w:r>
        <w:rPr>
          <w:rFonts w:ascii="Times New Roman" w:cs="Times New Roman" w:eastAsia="Times New Roman" w:hAnsi="Times New Roman"/>
          <w:sz w:val="22"/>
          <w:szCs w:val="22"/>
        </w:rPr>
        <w:t xml:space="preserve">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2.1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sz w:val="22"/>
          <w:szCs w:val="22"/>
        </w:rPr>
        <w:t xml:space="preserve">One full-text report could not be retrieved, and 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2.1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w:t>
      </w:r>
      <w:r>
        <w:rPr>
          <w:rFonts w:ascii="Times New Roman" w:cs="Times New Roman" w:eastAsia="Times New Roman" w:hAnsi="Times New Roman"/>
          <w:sz w:val="22"/>
          <w:szCs w:val="22"/>
          <w:highlight w:val="yellow"/>
        </w:rPr>
        <w:t xml:space="preserve">(Albalwy, Brass &amp; Davies 2021; Li et al. 2026a)</w:t>
      </w:r>
      <w:r>
        <w:rPr>
          <w:rFonts w:ascii="Times New Roman" w:cs="Times New Roman" w:eastAsia="Times New Roman" w:hAnsi="Times New Roman"/>
          <w:sz w:val="22"/>
          <w:szCs w:val="22"/>
        </w:rPr>
        <w:t xml:space="preserve">, they form the 25 primary studies, S1 to S25. </w:t>
      </w:r>
      <w:r>
        <w:rPr>
          <w:rFonts w:ascii="Times New Roman" w:cs="Times New Roman" w:eastAsia="Times New Roman" w:hAnsi="Times New Roman"/>
          <w:sz w:val="22"/>
          <w:szCs w:val="22"/>
        </w:rPr>
        <w:t xml:space="preserve">Table 2.2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2.1: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5715000" cy="521970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219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w:t>
            </w:r>
            <w:r>
              <w:rPr>
                <w:rFonts w:ascii="Times New Roman" w:cs="Times New Roman" w:eastAsia="Times New Roman" w:hAnsi="Times New Roman"/>
                <w:b w:val="false"/>
                <w:bCs w:val="false"/>
                <w:sz w:val="17"/>
                <w:szCs w:val="17"/>
              </w:rPr>
              <w:t xml:space="preserve">(2021)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(2026b)</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w:t>
            </w:r>
            <w:r>
              <w:rPr>
                <w:rFonts w:ascii="Times New Roman" w:cs="Times New Roman" w:eastAsia="Times New Roman" w:hAnsi="Times New Roman"/>
                <w:b w:val="false"/>
                <w:bCs w:val="false"/>
                <w:sz w:val="17"/>
                <w:szCs w:val="17"/>
              </w:rPr>
              <w:t xml:space="preserve">(2022)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w:t>
      </w:r>
      <w:r>
        <w:rPr>
          <w:rFonts w:ascii="Times New Roman" w:cs="Times New Roman" w:eastAsia="Times New Roman" w:hAnsi="Times New Roman"/>
          <w:sz w:val="22"/>
          <w:szCs w:val="22"/>
          <w:highlight w:val="yellow"/>
        </w:rPr>
        <w:t xml:space="preserve">(Hagström et al. 2024)</w:t>
      </w:r>
      <w:r>
        <w:rPr>
          <w:rFonts w:ascii="Times New Roman" w:cs="Times New Roman" w:eastAsia="Times New Roman" w:hAnsi="Times New Roman"/>
          <w:sz w:val="22"/>
          <w:szCs w:val="22"/>
        </w:rPr>
        <w:t xml:space="preserve">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describe the iAgree portal across three United States health systems with a permissioned Ethereum audit contract, but consent enforcement is outside its scope. Tremper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w:t>
      </w:r>
      <w:r>
        <w:rPr>
          <w:rFonts w:ascii="Times New Roman" w:cs="Times New Roman" w:eastAsia="Times New Roman" w:hAnsi="Times New Roman"/>
          <w:sz w:val="22"/>
          <w:szCs w:val="22"/>
          <w:highlight w:val="yellow"/>
        </w:rPr>
        <w:t xml:space="preserve">(2023)</w:t>
      </w:r>
      <w:r>
        <w:rPr>
          <w:rFonts w:ascii="Times New Roman" w:cs="Times New Roman" w:eastAsia="Times New Roman" w:hAnsi="Times New Roman"/>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w:t>
      </w:r>
      <w:r>
        <w:rPr>
          <w:rFonts w:ascii="Times New Roman" w:cs="Times New Roman" w:eastAsia="Times New Roman" w:hAnsi="Times New Roman"/>
          <w:sz w:val="22"/>
          <w:szCs w:val="22"/>
          <w:highlight w:val="yellow"/>
        </w:rPr>
        <w:t xml:space="preserve">(Akter &amp; Sanam 2025; Prashanth et al. 2024)</w:t>
      </w:r>
      <w:r>
        <w:rPr>
          <w:rFonts w:ascii="Times New Roman" w:cs="Times New Roman" w:eastAsia="Times New Roman" w:hAnsi="Times New Roman"/>
          <w:sz w:val="22"/>
          <w:szCs w:val="22"/>
        </w:rPr>
        <w:t xml:space="preserve">, as conditions fixed at encryption time </w:t>
      </w:r>
      <w:r>
        <w:rPr>
          <w:rFonts w:ascii="Times New Roman" w:cs="Times New Roman" w:eastAsia="Times New Roman" w:hAnsi="Times New Roman"/>
          <w:sz w:val="22"/>
          <w:szCs w:val="22"/>
          <w:highlight w:val="yellow"/>
        </w:rPr>
        <w:t xml:space="preserve">(Zhang, Kan &amp; Huang 2022)</w:t>
      </w:r>
      <w:r>
        <w:rPr>
          <w:rFonts w:ascii="Times New Roman" w:cs="Times New Roman" w:eastAsia="Times New Roman" w:hAnsi="Times New Roman"/>
          <w:sz w:val="22"/>
          <w:szCs w:val="22"/>
        </w:rPr>
        <w:t xml:space="preserve">, or as a key issued by the patient for each request </w:t>
      </w:r>
      <w:r>
        <w:rPr>
          <w:rFonts w:ascii="Times New Roman" w:cs="Times New Roman" w:eastAsia="Times New Roman" w:hAnsi="Times New Roman"/>
          <w:sz w:val="22"/>
          <w:szCs w:val="22"/>
          <w:highlight w:val="yellow"/>
        </w:rPr>
        <w:t xml:space="preserve">(Teeda &amp; Subba Rao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sz w:val="22"/>
          <w:szCs w:val="22"/>
        </w:rPr>
        <w:t xml:space="preserve"> Table 2.3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2.4, which needs both identity and authority, is Yes in only 7.</w:t>
      </w:r>
      <w:r>
        <w:rPr>
          <w:rFonts w:ascii="Times New Roman" w:cs="Times New Roman" w:eastAsia="Times New Roman" w:hAnsi="Times New Roman"/>
          <w:sz w:val="22"/>
          <w:szCs w:val="22"/>
        </w:rPr>
        <w:t xml:space="preserve"> Phuyal et al. </w:t>
      </w:r>
      <w:r>
        <w:rPr>
          <w:rFonts w:ascii="Times New Roman" w:cs="Times New Roman" w:eastAsia="Times New Roman" w:hAnsi="Times New Roman"/>
          <w:sz w:val="22"/>
          <w:szCs w:val="22"/>
          <w:highlight w:val="yellow"/>
        </w:rPr>
        <w:t xml:space="preserve">(2026b)</w:t>
      </w:r>
      <w:r>
        <w:rPr>
          <w:rFonts w:ascii="Times New Roman" w:cs="Times New Roman" w:eastAsia="Times New Roman" w:hAnsi="Times New Roman"/>
          <w:sz w:val="22"/>
          <w:szCs w:val="22"/>
        </w:rPr>
        <w:t xml:space="preserve">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sz w:val="22"/>
          <w:szCs w:val="22"/>
          <w:highlight w:val="yellow"/>
        </w:rPr>
        <w:t xml:space="preserve">(Phuyal et al. 2026a)</w:t>
      </w:r>
      <w:r>
        <w:rPr>
          <w:rFonts w:ascii="Times New Roman" w:cs="Times New Roman" w:eastAsia="Times New Roman" w:hAnsi="Times New Roman"/>
          <w:sz w:val="22"/>
          <w:szCs w:val="22"/>
        </w:rPr>
        <w:t xml:space="preserve"> is design-only. Tseng et al. </w:t>
      </w:r>
      <w:r>
        <w:rPr>
          <w:rFonts w:ascii="Times New Roman" w:cs="Times New Roman" w:eastAsia="Times New Roman" w:hAnsi="Times New Roman"/>
          <w:sz w:val="22"/>
          <w:szCs w:val="22"/>
          <w:highlight w:val="yellow"/>
        </w:rPr>
        <w:t xml:space="preserve">(2025)</w:t>
      </w:r>
      <w:r>
        <w:rPr>
          <w:rFonts w:ascii="Times New Roman" w:cs="Times New Roman" w:eastAsia="Times New Roman" w:hAnsi="Times New Roman"/>
          <w:sz w:val="22"/>
          <w:szCs w:val="22"/>
        </w:rPr>
        <w:t xml:space="preserve">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w:t>
      </w:r>
      <w:r>
        <w:rPr>
          <w:rFonts w:ascii="Times New Roman" w:cs="Times New Roman" w:eastAsia="Times New Roman" w:hAnsi="Times New Roman"/>
          <w:sz w:val="22"/>
          <w:szCs w:val="22"/>
          <w:highlight w:val="yellow"/>
        </w:rPr>
        <w:t xml:space="preserve">(2020)</w:t>
      </w:r>
      <w:r>
        <w:rPr>
          <w:rFonts w:ascii="Times New Roman" w:cs="Times New Roman" w:eastAsia="Times New Roman" w:hAnsi="Times New Roman"/>
          <w:sz w:val="22"/>
          <w:szCs w:val="22"/>
        </w:rPr>
        <w:t xml:space="preserve"> require a regulator and a guardian threshold on the incapacitated path, but a single patient key suffices on the normal path. Wu et al. </w:t>
      </w:r>
      <w:r>
        <w:rPr>
          <w:rFonts w:ascii="Times New Roman" w:cs="Times New Roman" w:eastAsia="Times New Roman" w:hAnsi="Times New Roman"/>
          <w:sz w:val="22"/>
          <w:szCs w:val="22"/>
          <w:highlight w:val="yellow"/>
        </w:rPr>
        <w:t xml:space="preserve">(2022)</w:t>
      </w:r>
      <w:r>
        <w:rPr>
          <w:rFonts w:ascii="Times New Roman" w:cs="Times New Roman" w:eastAsia="Times New Roman" w:hAnsi="Times New Roman"/>
          <w:sz w:val="22"/>
          <w:szCs w:val="22"/>
        </w:rPr>
        <w:t xml:space="preserve"> apply a (t, n) investigator threshold to record admission and revocation, and Abbasi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use a Shamir (5, 3) threshold for key custody. Punia et al. </w:t>
      </w:r>
      <w:r>
        <w:rPr>
          <w:rFonts w:ascii="Times New Roman" w:cs="Times New Roman" w:eastAsia="Times New Roman" w:hAnsi="Times New Roman"/>
          <w:sz w:val="22"/>
          <w:szCs w:val="22"/>
          <w:highlight w:val="yellow"/>
        </w:rPr>
        <w:t xml:space="preserve">(2025)</w:t>
      </w:r>
      <w:r>
        <w:rPr>
          <w:rFonts w:ascii="Times New Roman" w:cs="Times New Roman" w:eastAsia="Times New Roman" w:hAnsi="Times New Roman"/>
          <w:sz w:val="22"/>
          <w:szCs w:val="22"/>
        </w:rPr>
        <w:t xml:space="preserve"> conjoin an M-of-N multi-signature with an attribute and role policy, but a single emergency officer can bypass the threshold. Tan et al. </w:t>
      </w:r>
      <w:r>
        <w:rPr>
          <w:rFonts w:ascii="Times New Roman" w:cs="Times New Roman" w:eastAsia="Times New Roman" w:hAnsi="Times New Roman"/>
          <w:sz w:val="22"/>
          <w:szCs w:val="22"/>
          <w:highlight w:val="yellow"/>
        </w:rPr>
        <w:t xml:space="preserve">(2024)</w:t>
      </w:r>
      <w:r>
        <w:rPr>
          <w:rFonts w:ascii="Times New Roman" w:cs="Times New Roman" w:eastAsia="Times New Roman" w:hAnsi="Times New Roman"/>
          <w:sz w:val="22"/>
          <w:szCs w:val="22"/>
        </w:rPr>
        <w:t xml:space="preserve"> use patient-appointed verifiers as a contingency, </w:t>
      </w:r>
      <w:r>
        <w:rPr>
          <w:rFonts w:ascii="Times New Roman" w:cs="Times New Roman" w:eastAsia="Times New Roman" w:hAnsi="Times New Roman"/>
          <w:sz w:val="22"/>
          <w:szCs w:val="22"/>
          <w:highlight w:val="yellow"/>
        </w:rPr>
        <w:t xml:space="preserve">(Ekholm et al. 2025)</w:t>
      </w:r>
      <w:r>
        <w:rPr>
          <w:rFonts w:ascii="Times New Roman" w:cs="Times New Roman" w:eastAsia="Times New Roman" w:hAnsi="Times New Roman"/>
          <w:sz w:val="22"/>
          <w:szCs w:val="22"/>
        </w:rPr>
        <w:t xml:space="preserve"> reports guardian co-consent at registration time, and </w:t>
      </w:r>
      <w:r>
        <w:rPr>
          <w:rFonts w:ascii="Times New Roman" w:cs="Times New Roman" w:eastAsia="Times New Roman" w:hAnsi="Times New Roman"/>
          <w:sz w:val="22"/>
          <w:szCs w:val="22"/>
          <w:highlight w:val="yellow"/>
        </w:rPr>
        <w:t xml:space="preserve">(Hagström et al. 2024)</w:t>
      </w:r>
      <w:r>
        <w:rPr>
          <w:rFonts w:ascii="Times New Roman" w:cs="Times New Roman" w:eastAsia="Times New Roman" w:hAnsi="Times New Roman"/>
          <w:sz w:val="22"/>
          <w:szCs w:val="22"/>
        </w:rPr>
        <w:t xml:space="preserve">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w:t>
      </w:r>
      <w:r>
        <w:rPr>
          <w:rFonts w:ascii="Times New Roman" w:cs="Times New Roman" w:eastAsia="Times New Roman" w:hAnsi="Times New Roman"/>
          <w:sz w:val="22"/>
          <w:szCs w:val="22"/>
        </w:rPr>
        <w:t xml:space="preserve">lifecycle</w:t>
      </w:r>
      <w:r>
        <w:rPr>
          <w:rFonts w:ascii="Times New Roman" w:cs="Times New Roman" w:eastAsia="Times New Roman" w:hAnsi="Times New Roman"/>
          <w:sz w:val="22"/>
          <w:szCs w:val="22"/>
        </w:rPr>
        <w:t xml:space="preserve"> conditions. </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Tith et al. </w:t>
      </w:r>
      <w:r>
        <w:rPr>
          <w:rFonts w:ascii="Times New Roman" w:cs="Times New Roman" w:eastAsia="Times New Roman" w:hAnsi="Times New Roman"/>
          <w:sz w:val="22"/>
          <w:szCs w:val="22"/>
          <w:highlight w:val="yellow"/>
        </w:rPr>
        <w:t xml:space="preserve">(2020)</w:t>
      </w:r>
      <w:r>
        <w:rPr>
          <w:rFonts w:ascii="Times New Roman" w:cs="Times New Roman" w:eastAsia="Times New Roman" w:hAnsi="Times New Roman"/>
          <w:sz w:val="22"/>
          <w:szCs w:val="22"/>
        </w:rPr>
        <w:t xml:space="preserve"> match a purpose tree in chaincode, and Jaiman and Urovi </w:t>
      </w:r>
      <w:r>
        <w:rPr>
          <w:rFonts w:ascii="Times New Roman" w:cs="Times New Roman" w:eastAsia="Times New Roman" w:hAnsi="Times New Roman"/>
          <w:sz w:val="22"/>
          <w:szCs w:val="22"/>
          <w:highlight w:val="yellow"/>
        </w:rPr>
        <w:t xml:space="preserve">(2020)</w:t>
      </w:r>
      <w:r>
        <w:rPr>
          <w:rFonts w:ascii="Times New Roman" w:cs="Times New Roman" w:eastAsia="Times New Roman" w:hAnsi="Times New Roman"/>
          <w:sz w:val="22"/>
          <w:szCs w:val="22"/>
        </w:rPr>
        <w:t xml:space="preserve"> match ontology terms against the patient's consent. Albalwy et al. </w:t>
      </w:r>
      <w:r>
        <w:rPr>
          <w:rFonts w:ascii="Times New Roman" w:cs="Times New Roman" w:eastAsia="Times New Roman" w:hAnsi="Times New Roman"/>
          <w:sz w:val="22"/>
          <w:szCs w:val="22"/>
          <w:highlight w:val="yellow"/>
        </w:rPr>
        <w:t xml:space="preserve">(2021)</w:t>
      </w:r>
      <w:r>
        <w:rPr>
          <w:rFonts w:ascii="Times New Roman" w:cs="Times New Roman" w:eastAsia="Times New Roman" w:hAnsi="Times New Roman"/>
          <w:sz w:val="22"/>
          <w:szCs w:val="22"/>
        </w:rPr>
        <w:t xml:space="preserve"> evaluate a hashed policy tree of data type, role, and purpose, and Román-Martínez et al. </w:t>
      </w:r>
      <w:r>
        <w:rPr>
          <w:rFonts w:ascii="Times New Roman" w:cs="Times New Roman" w:eastAsia="Times New Roman" w:hAnsi="Times New Roman"/>
          <w:sz w:val="22"/>
          <w:szCs w:val="22"/>
          <w:highlight w:val="yellow"/>
        </w:rPr>
        <w:t xml:space="preserve">(2023)</w:t>
      </w:r>
      <w:r>
        <w:rPr>
          <w:rFonts w:ascii="Times New Roman" w:cs="Times New Roman" w:eastAsia="Times New Roman" w:hAnsi="Times New Roman"/>
          <w:sz w:val="22"/>
          <w:szCs w:val="22"/>
        </w:rPr>
        <w:t xml:space="preserve">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2.4 is Yes in 10, Partial in 11, and No in 4.</w:t>
      </w:r>
      <w:r>
        <w:rPr>
          <w:rFonts w:ascii="Times New Roman" w:cs="Times New Roman" w:eastAsia="Times New Roman" w:hAnsi="Times New Roman"/>
          <w:sz w:val="22"/>
          <w:szCs w:val="22"/>
        </w:rPr>
        <w:t xml:space="preserve"> However, purpose-of-use enters the decision in only six studies </w:t>
      </w:r>
      <w:r>
        <w:rPr>
          <w:rFonts w:ascii="Times New Roman" w:cs="Times New Roman" w:eastAsia="Times New Roman" w:hAnsi="Times New Roman"/>
          <w:sz w:val="22"/>
          <w:szCs w:val="22"/>
          <w:highlight w:val="yellow"/>
        </w:rPr>
        <w:t xml:space="preserve">(Eneh et al. 2026; Panagoulias et al. 2026)</w:t>
      </w:r>
      <w:r>
        <w:rPr>
          <w:rFonts w:ascii="Times New Roman" w:cs="Times New Roman" w:eastAsia="Times New Roman" w:hAnsi="Times New Roman"/>
          <w:sz w:val="22"/>
          <w:szCs w:val="22"/>
        </w:rPr>
        <w:t xml:space="preserve">,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bind the expiry into key derivation, and Panagoulias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enforce revocation at decision time across 43,500 simulated attempts in a single-node ledger.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sz w:val="22"/>
          <w:szCs w:val="22"/>
        </w:rPr>
        <w:t xml:space="preserve">is demonstrated only by </w:t>
      </w:r>
      <w:r>
        <w:rPr>
          <w:rFonts w:ascii="Times New Roman" w:cs="Times New Roman" w:eastAsia="Times New Roman" w:hAnsi="Times New Roman"/>
          <w:sz w:val="22"/>
          <w:szCs w:val="22"/>
          <w:highlight w:val="yellow"/>
        </w:rPr>
        <w:t xml:space="preserve">(Phuyal et al. 2026b)</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and the </w:t>
      </w:r>
      <w:r>
        <w:rPr>
          <w:rFonts w:ascii="Times New Roman" w:cs="Times New Roman" w:eastAsia="Times New Roman" w:hAnsi="Times New Roman"/>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sz w:val="22"/>
          <w:szCs w:val="22"/>
        </w:rPr>
        <w:t xml:space="preserve">, with Li et al. </w:t>
      </w:r>
      <w:r>
        <w:rPr>
          <w:rFonts w:ascii="Times New Roman" w:cs="Times New Roman" w:eastAsia="Times New Roman" w:hAnsi="Times New Roman"/>
          <w:sz w:val="22"/>
          <w:szCs w:val="22"/>
          <w:highlight w:val="yellow"/>
        </w:rPr>
        <w:t xml:space="preserve">(2026a)</w:t>
      </w:r>
      <w:r>
        <w:rPr>
          <w:rFonts w:ascii="Times New Roman" w:cs="Times New Roman" w:eastAsia="Times New Roman" w:hAnsi="Times New Roman"/>
          <w:sz w:val="22"/>
          <w:szCs w:val="22"/>
        </w:rPr>
        <w:t xml:space="preserve">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w:t>
      </w:r>
      <w:r>
        <w:rPr>
          <w:rFonts w:ascii="Times New Roman" w:cs="Times New Roman" w:eastAsia="Times New Roman" w:hAnsi="Times New Roman"/>
          <w:sz w:val="22"/>
          <w:szCs w:val="22"/>
          <w:highlight w:val="yellow"/>
        </w:rPr>
        <w:t xml:space="preserve">(2025)</w:t>
      </w:r>
      <w:r>
        <w:rPr>
          <w:rFonts w:ascii="Times New Roman" w:cs="Times New Roman" w:eastAsia="Times New Roman" w:hAnsi="Times New Roman"/>
          <w:sz w:val="22"/>
          <w:szCs w:val="22"/>
        </w:rPr>
        <w:t xml:space="preserve">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w:t>
      </w:r>
      <w:r>
        <w:rPr>
          <w:rFonts w:ascii="Times New Roman" w:cs="Times New Roman" w:eastAsia="Times New Roman" w:hAnsi="Times New Roman"/>
          <w:sz w:val="22"/>
          <w:szCs w:val="22"/>
          <w:highlight w:val="yellow"/>
        </w:rPr>
        <w:t xml:space="preserve">(2024)</w:t>
      </w:r>
      <w:r>
        <w:rPr>
          <w:rFonts w:ascii="Times New Roman" w:cs="Times New Roman" w:eastAsia="Times New Roman" w:hAnsi="Times New Roman"/>
          <w:sz w:val="22"/>
          <w:szCs w:val="22"/>
        </w:rPr>
        <w:t xml:space="preserve"> and Maruthi and Singh </w:t>
      </w:r>
      <w:r>
        <w:rPr>
          <w:rFonts w:ascii="Times New Roman" w:cs="Times New Roman" w:eastAsia="Times New Roman" w:hAnsi="Times New Roman"/>
          <w:sz w:val="22"/>
          <w:szCs w:val="22"/>
          <w:highlight w:val="yellow"/>
        </w:rPr>
        <w:t xml:space="preserve">(2025)</w:t>
      </w:r>
      <w:r>
        <w:rPr>
          <w:rFonts w:ascii="Times New Roman" w:cs="Times New Roman" w:eastAsia="Times New Roman" w:hAnsi="Times New Roman"/>
          <w:sz w:val="22"/>
          <w:szCs w:val="22"/>
        </w:rPr>
        <w:t xml:space="preserve"> prove threshold gates in isolation, and Mei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rPr>
        <w:t xml:space="preserve">An inverse relation between predicate breadth and assurance strength was observed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p>
    <w:p>
      <w:pPr>
        <w:keepNext/>
        <w:spacing w:after="80" w:before="200"/>
        <w:jc w:val="center"/>
      </w:pPr>
      <w:r>
        <w:rPr>
          <w:rFonts w:ascii="Times New Roman" w:cs="Times New Roman" w:eastAsia="Times New Roman" w:hAnsi="Times New Roman"/>
          <w:b/>
          <w:bCs/>
          <w:sz w:val="18"/>
          <w:szCs w:val="18"/>
        </w:rPr>
        <w:t xml:space="preserve">Table 2.3: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w:t>
            </w:r>
            <w:r>
              <w:rPr>
                <w:rFonts w:ascii="Times New Roman" w:cs="Times New Roman" w:eastAsia="Times New Roman" w:hAnsi="Times New Roman"/>
                <w:b w:val="false"/>
                <w:bCs w:val="false"/>
                <w:sz w:val="17"/>
                <w:szCs w:val="17"/>
              </w:rPr>
              <w:t xml:space="preserve">(2021)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w:t>
            </w:r>
            <w:r>
              <w:rPr>
                <w:rFonts w:ascii="Times New Roman" w:cs="Times New Roman" w:eastAsia="Times New Roman" w:hAnsi="Times New Roman"/>
                <w:b w:val="false"/>
                <w:bCs w:val="false"/>
                <w:sz w:val="17"/>
                <w:szCs w:val="17"/>
              </w:rPr>
              <w:t xml:space="preserve">(2026b)</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w:t>
            </w:r>
            <w:r>
              <w:rPr>
                <w:rFonts w:ascii="Times New Roman" w:cs="Times New Roman" w:eastAsia="Times New Roman" w:hAnsi="Times New Roman"/>
                <w:b w:val="false"/>
                <w:bCs w:val="false"/>
                <w:sz w:val="17"/>
                <w:szCs w:val="17"/>
              </w:rPr>
              <w:t xml:space="preserve">(2022)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Existing approaches solve single dimensions of trustworthy data sharing, each at a different layer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w:t>
      </w:r>
      <w:r>
        <w:rPr>
          <w:rFonts w:ascii="Times New Roman" w:cs="Times New Roman" w:eastAsia="Times New Roman" w:hAnsi="Times New Roman"/>
          <w:sz w:val="22"/>
          <w:szCs w:val="22"/>
          <w:highlight w:val="yellow"/>
        </w:rPr>
        <w:t xml:space="preserve">(Mei et al. 2026)</w:t>
      </w:r>
      <w:r>
        <w:rPr>
          <w:rFonts w:ascii="Times New Roman" w:cs="Times New Roman" w:eastAsia="Times New Roman" w:hAnsi="Times New Roman"/>
          <w:sz w:val="22"/>
          <w:szCs w:val="22"/>
        </w:rPr>
        <w:t xml:space="preserve">, prove only a static encryption predicate.</w:t>
      </w:r>
      <w:r>
        <w:rPr>
          <w:rFonts w:ascii="Times New Roman" w:cs="Times New Roman" w:eastAsia="Times New Roman" w:hAnsi="Times New Roman"/>
          <w:sz w:val="22"/>
          <w:szCs w:val="22"/>
        </w:rPr>
        <w:t xml:space="preserve"> Table 2.4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2.4: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(2026</w:t>
            </w:r>
            <w:r>
              <w:rPr>
                <w:rFonts w:ascii="Times New Roman" w:cs="Times New Roman" w:eastAsia="Times New Roman" w:hAnsi="Times New Roman"/>
                <w:b w:val="false"/>
                <w:bCs w:val="false"/>
                <w:sz w:val="17"/>
                <w:szCs w:val="17"/>
              </w:rPr>
              <w:t xml:space="preserve">a</w:t>
            </w: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(2026</w:t>
            </w:r>
            <w:r>
              <w:rPr>
                <w:rFonts w:ascii="Times New Roman" w:cs="Times New Roman" w:eastAsia="Times New Roman" w:hAnsi="Times New Roman"/>
                <w:b w:val="false"/>
                <w:bCs w:val="false"/>
                <w:sz w:val="17"/>
                <w:szCs w:val="17"/>
              </w:rPr>
              <w:t xml:space="preserve">b</w:t>
            </w: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(2026</w:t>
            </w:r>
            <w:r>
              <w:rPr>
                <w:rFonts w:ascii="Times New Roman" w:cs="Times New Roman" w:eastAsia="Times New Roman" w:hAnsi="Times New Roman"/>
                <w:b w:val="false"/>
                <w:bCs w:val="false"/>
                <w:sz w:val="17"/>
                <w:szCs w:val="17"/>
              </w:rPr>
              <w:t xml:space="preserve">a</w:t>
            </w: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w:t>
      </w:r>
      <w:r>
        <w:rPr>
          <w:rFonts w:ascii="Times New Roman" w:cs="Times New Roman" w:eastAsia="Times New Roman" w:hAnsi="Times New Roman"/>
          <w:sz w:val="22"/>
          <w:szCs w:val="22"/>
          <w:highlight w:val="yellow"/>
        </w:rPr>
        <w:t xml:space="preserve">(Madine et al. 2020)</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highlight w:val="yellow"/>
        </w:rPr>
        <w:t xml:space="preserve">(Panagoulias et al. 2026)</w:t>
      </w:r>
      <w:r>
        <w:rPr>
          <w:rFonts w:ascii="Times New Roman" w:cs="Times New Roman" w:eastAsia="Times New Roman" w:hAnsi="Times New Roman"/>
          <w:sz w:val="22"/>
          <w:szCs w:val="22"/>
        </w:rPr>
        <w:t xml:space="preserve">, and five studies fully satisfy none. Third, Req 1 with Req 4 is the most frequent pair, in seven studies, whereas Req 2 and Req 4 never co-occur in full. Req 3 co-occurs with Req 4 only in </w:t>
      </w:r>
      <w:r>
        <w:rPr>
          <w:rFonts w:ascii="Times New Roman" w:cs="Times New Roman" w:eastAsia="Times New Roman" w:hAnsi="Times New Roman"/>
          <w:sz w:val="22"/>
          <w:szCs w:val="22"/>
          <w:highlight w:val="yellow"/>
        </w:rPr>
        <w:t xml:space="preserve">(Punia et al. 2025)</w:t>
      </w:r>
      <w:r>
        <w:rPr>
          <w:rFonts w:ascii="Times New Roman" w:cs="Times New Roman" w:eastAsia="Times New Roman" w:hAnsi="Times New Roman"/>
          <w:sz w:val="22"/>
          <w:szCs w:val="22"/>
        </w:rPr>
        <w:t xml:space="preserve">, whose threshold lies outside the policy predicate and whose policy carries no purpose term. Similarly, Req 3 co-occurs with Req 6 only in </w:t>
      </w:r>
      <w:r>
        <w:rPr>
          <w:rFonts w:ascii="Times New Roman" w:cs="Times New Roman" w:eastAsia="Times New Roman" w:hAnsi="Times New Roman"/>
          <w:sz w:val="22"/>
          <w:szCs w:val="22"/>
          <w:highlight w:val="yellow"/>
        </w:rPr>
        <w:t xml:space="preserve">(Maruthi &amp; Singh 2025; Zhao &amp; Su 2024)</w:t>
      </w:r>
      <w:r>
        <w:rPr>
          <w:rFonts w:ascii="Times New Roman" w:cs="Times New Roman" w:eastAsia="Times New Roman" w:hAnsi="Times New Roman"/>
          <w:sz w:val="22"/>
          <w:szCs w:val="22"/>
        </w:rPr>
        <w:t xml:space="preserve">. Fourth, the two quadruples are complementary, since </w:t>
      </w:r>
      <w:r>
        <w:rPr>
          <w:rFonts w:ascii="Times New Roman" w:cs="Times New Roman" w:eastAsia="Times New Roman" w:hAnsi="Times New Roman"/>
          <w:sz w:val="22"/>
          <w:szCs w:val="22"/>
        </w:rPr>
        <w:t xml:space="preserve">Madine et al. </w:t>
      </w:r>
      <w:r>
        <w:rPr>
          <w:rFonts w:ascii="Times New Roman" w:cs="Times New Roman" w:eastAsia="Times New Roman" w:hAnsi="Times New Roman"/>
          <w:sz w:val="22"/>
          <w:szCs w:val="22"/>
          <w:highlight w:val="yellow"/>
        </w:rPr>
        <w:t xml:space="preserve">(2020)</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lack full</w:t>
      </w:r>
      <w:r>
        <w:rPr>
          <w:rFonts w:ascii="Times New Roman" w:cs="Times New Roman" w:eastAsia="Times New Roman" w:hAnsi="Times New Roman"/>
          <w:sz w:val="22"/>
          <w:szCs w:val="22"/>
        </w:rPr>
        <w:t xml:space="preserve"> policy and assurance, whereas </w:t>
      </w:r>
      <w:r>
        <w:rPr>
          <w:rFonts w:ascii="Times New Roman" w:cs="Times New Roman" w:eastAsia="Times New Roman" w:hAnsi="Times New Roman"/>
          <w:sz w:val="22"/>
          <w:szCs w:val="22"/>
        </w:rPr>
        <w:t xml:space="preserve">Panagoulias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lack</w:t>
      </w:r>
      <w:r>
        <w:rPr>
          <w:rFonts w:ascii="Times New Roman" w:cs="Times New Roman" w:eastAsia="Times New Roman" w:hAnsi="Times New Roman"/>
          <w:sz w:val="22"/>
          <w:szCs w:val="22"/>
        </w:rPr>
        <w:t xml:space="preserve"> multi-party approval and </w:t>
      </w:r>
      <w:r>
        <w:rPr>
          <w:rFonts w:ascii="Times New Roman" w:cs="Times New Roman" w:eastAsia="Times New Roman" w:hAnsi="Times New Roman"/>
          <w:sz w:val="22"/>
          <w:szCs w:val="22"/>
        </w:rPr>
        <w:t xml:space="preserve">full </w:t>
      </w:r>
      <w:r>
        <w:rPr>
          <w:rFonts w:ascii="Times New Roman" w:cs="Times New Roman" w:eastAsia="Times New Roman" w:hAnsi="Times New Roman"/>
          <w:sz w:val="22"/>
          <w:szCs w:val="22"/>
        </w:rPr>
        <w:t xml:space="preserve">identity depth.</w:t>
      </w:r>
    </w:p>
    <w:p>
      <w:pPr>
        <w:spacing w:after="110" w:line="264"/>
        <w:jc w:val="both"/>
      </w:pPr>
      <w:r>
        <w:rPr>
          <w:rFonts w:ascii="Times New Roman" w:cs="Times New Roman" w:eastAsia="Times New Roman" w:hAnsi="Times New Roman"/>
          <w:sz w:val="22"/>
          <w:szCs w:val="22"/>
        </w:rPr>
        <w:t xml:space="preserve">The comparison shows that the contribution of this research is the explicit relationship it establishes among existing technologies, not their replacement.</w:t>
      </w:r>
      <w:r>
        <w:rPr>
          <w:rFonts w:ascii="Times New Roman" w:cs="Times New Roman" w:eastAsia="Times New Roman" w:hAnsi="Times New Roman"/>
          <w:sz w:val="22"/>
          <w:szCs w:val="22"/>
        </w:rPr>
        <w:t xml:space="preserve">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2.5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2.4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w:t>
      </w:r>
      <w:r>
        <w:rPr>
          <w:rFonts w:ascii="Times New Roman" w:cs="Times New Roman" w:eastAsia="Times New Roman" w:hAnsi="Times New Roman"/>
          <w:sz w:val="22"/>
          <w:szCs w:val="22"/>
        </w:rPr>
        <w:t xml:space="preserve">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w:t>
      </w:r>
      <w:r>
        <w:rPr>
          <w:rFonts w:ascii="Times New Roman" w:cs="Times New Roman" w:eastAsia="Times New Roman" w:hAnsi="Times New Roman"/>
          <w:sz w:val="22"/>
          <w:szCs w:val="22"/>
        </w:rPr>
        <w:t xml:space="preserve">temporal, and lifecycle</w:t>
      </w:r>
      <w:r>
        <w:rPr>
          <w:rFonts w:ascii="Times New Roman" w:cs="Times New Roman" w:eastAsia="Times New Roman" w:hAnsi="Times New Roman"/>
          <w:sz w:val="22"/>
          <w:szCs w:val="22"/>
        </w:rPr>
        <w:t xml:space="preserv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4572000" cy="2295525"/>
            <wp:effectExtent t="0" r="0" b="0" l="0"/>
            <wp:docPr id="1"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2955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2.4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2.5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2.5: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6.1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7.1.</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w:t>
            </w:r>
            <w:r>
              <w:rPr>
                <w:rFonts w:ascii="Times New Roman" w:cs="Times New Roman" w:eastAsia="Times New Roman" w:hAnsi="Times New Roman"/>
                <w:b w:val="false"/>
                <w:bCs w:val="false"/>
                <w:sz w:val="17"/>
                <w:szCs w:val="17"/>
              </w:rPr>
              <w:t xml:space="preserve">(Bloemen, Logvinov &amp; Evans 2017)</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8.1.</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through Algorithm 9.1.</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w:t>
            </w:r>
            <w:r>
              <w:rPr>
                <w:rFonts w:ascii="Times New Roman" w:cs="Times New Roman" w:eastAsia="Times New Roman" w:hAnsi="Times New Roman"/>
                <w:b w:val="false"/>
                <w:bCs w:val="false"/>
                <w:sz w:val="17"/>
                <w:szCs w:val="17"/>
              </w:rPr>
              <w:t xml:space="preserve">The SUSPENDED state and the lifecycle transition check are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shows much work on individual mechanisms for securing healthcare data sharing, but also a conceptual and architectural fragmentation</w:t>
      </w:r>
      <w:r>
        <w:rPr>
          <w:rFonts w:ascii="Times New Roman" w:cs="Times New Roman" w:eastAsia="Times New Roman" w:hAnsi="Times New Roman"/>
          <w:sz w:val="22"/>
          <w:szCs w:val="22"/>
        </w:rPr>
        <w:t xml:space="preserve"> among these mechanisms. They are commonly investigated as independent technical solutions rather than as coordinated components of a unified trust-oriented authorisation model. The few studies that coordinate several of them in one decision </w:t>
      </w:r>
      <w:r>
        <w:rPr>
          <w:rFonts w:ascii="Times New Roman" w:cs="Times New Roman" w:eastAsia="Times New Roman" w:hAnsi="Times New Roman"/>
          <w:sz w:val="22"/>
          <w:szCs w:val="22"/>
          <w:highlight w:val="yellow"/>
        </w:rPr>
        <w:t xml:space="preserve">(Ferreira et al. 2025; Panagoulias et al. 2026; Phuyal et al. 2026b; Punia et al. 2025; Shanmugham &amp; Senthilkumar 2026)</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do not make multi-party approval a standing condition of that decision. Some of them test their own decisions empirically,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 absence of an integrated model</w:t>
      </w:r>
      <w:r>
        <w:rPr>
          <w:rFonts w:ascii="Times New Roman" w:cs="Times New Roman" w:eastAsia="Times New Roman" w:hAnsi="Times New Roman"/>
          <w:sz w:val="22"/>
          <w:szCs w:val="22"/>
        </w:rPr>
        <w:t xml:space="preserve">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w:t>
      </w:r>
      <w:r>
        <w:rPr>
          <w:rFonts w:ascii="Times New Roman" w:cs="Times New Roman" w:eastAsia="Times New Roman" w:hAnsi="Times New Roman"/>
          <w:sz w:val="22"/>
          <w:szCs w:val="22"/>
          <w:highlight w:val="yellow"/>
        </w:rPr>
        <w:t xml:space="preserve">(Akter &amp; Sanam 2025; Prashanth et al. 2024)</w:t>
      </w:r>
      <w:r>
        <w:rPr>
          <w:rFonts w:ascii="Times New Roman" w:cs="Times New Roman" w:eastAsia="Times New Roman" w:hAnsi="Times New Roman"/>
          <w:sz w:val="22"/>
          <w:szCs w:val="22"/>
        </w:rPr>
        <w:t xml:space="preserve">, and some claim consent but leave it out of the access decision </w:t>
      </w:r>
      <w:r>
        <w:rPr>
          <w:rFonts w:ascii="Times New Roman" w:cs="Times New Roman" w:eastAsia="Times New Roman" w:hAnsi="Times New Roman"/>
          <w:sz w:val="22"/>
          <w:szCs w:val="22"/>
          <w:highlight w:val="yellow"/>
        </w:rPr>
        <w:t xml:space="preserve">(Sawant &amp; Gomes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w:t>
      </w:r>
      <w:r>
        <w:rPr>
          <w:rFonts w:ascii="Times New Roman" w:cs="Times New Roman" w:eastAsia="Times New Roman" w:hAnsi="Times New Roman"/>
          <w:sz w:val="22"/>
          <w:szCs w:val="22"/>
          <w:highlight w:val="yellow"/>
        </w:rPr>
        <w:t xml:space="preserve">(Albalwy, Brass &amp; Davies 2021; Eneh et al. 2026; Phuyal et al. 2026b; Shanmugham &amp; Senthilkumar 2026; Tith et al. 2020)</w:t>
      </w:r>
      <w:r>
        <w:rPr>
          <w:rFonts w:ascii="Times New Roman" w:cs="Times New Roman" w:eastAsia="Times New Roman" w:hAnsi="Times New Roman"/>
          <w:sz w:val="22"/>
          <w:szCs w:val="22"/>
        </w:rPr>
        <w:t xml:space="preserve">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w:t>
      </w:r>
      <w:r>
        <w:rPr>
          <w:rFonts w:ascii="Times New Roman" w:cs="Times New Roman" w:eastAsia="Times New Roman" w:hAnsi="Times New Roman"/>
          <w:sz w:val="22"/>
          <w:szCs w:val="22"/>
          <w:highlight w:val="yellow"/>
        </w:rPr>
        <w:t xml:space="preserve">(Andrew et al. 2023; Tawfik et al. 2025)</w:t>
      </w:r>
      <w:r>
        <w:rPr>
          <w:rFonts w:ascii="Times New Roman" w:cs="Times New Roman" w:eastAsia="Times New Roman" w:hAnsi="Times New Roman"/>
          <w:sz w:val="22"/>
          <w:szCs w:val="22"/>
        </w:rPr>
        <w:t xml:space="preserve">, but immutability does not establish the legitimacy of the entities involved in that event. Similarly, a valid decentralised identity can establish who a participant is </w:t>
      </w:r>
      <w:r>
        <w:rPr>
          <w:rFonts w:ascii="Times New Roman" w:cs="Times New Roman" w:eastAsia="Times New Roman" w:hAnsi="Times New Roman"/>
          <w:sz w:val="22"/>
          <w:szCs w:val="22"/>
          <w:highlight w:val="yellow"/>
        </w:rPr>
        <w:t xml:space="preserve">(Mazzocca et al. 2025)</w:t>
      </w:r>
      <w:r>
        <w:rPr>
          <w:rFonts w:ascii="Times New Roman" w:cs="Times New Roman" w:eastAsia="Times New Roman" w:hAnsi="Times New Roman"/>
          <w:sz w:val="22"/>
          <w:szCs w:val="22"/>
        </w:rPr>
        <w:t xml:space="preserve">,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w:t>
      </w:r>
      <w:r>
        <w:rPr>
          <w:rFonts w:ascii="Times New Roman" w:cs="Times New Roman" w:eastAsia="Times New Roman" w:hAnsi="Times New Roman"/>
          <w:sz w:val="22"/>
          <w:szCs w:val="22"/>
          <w:highlight w:val="yellow"/>
        </w:rPr>
        <w:t xml:space="preserve">(Madine et al. 2020; Punia et al. 2025; Tan, Chi &amp; Lam 2024)</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w:t>
      </w:r>
      <w:r>
        <w:rPr>
          <w:rFonts w:ascii="Times New Roman" w:cs="Times New Roman" w:eastAsia="Times New Roman" w:hAnsi="Times New Roman"/>
          <w:sz w:val="22"/>
          <w:szCs w:val="22"/>
        </w:rPr>
        <w:t xml:space="preserve">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most of the needed technology, but not an integrated Trust Computing framework</w:t>
      </w:r>
      <w:r>
        <w:rPr>
          <w:rFonts w:ascii="Times New Roman" w:cs="Times New Roman" w:eastAsia="Times New Roman" w:hAnsi="Times New Roman"/>
          <w:sz w:val="22"/>
          <w:szCs w:val="22"/>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w:t>
      </w:r>
      <w:r>
        <w:rPr>
          <w:rFonts w:ascii="Times New Roman" w:cs="Times New Roman" w:eastAsia="Times New Roman" w:hAnsi="Times New Roman"/>
          <w:sz w:val="22"/>
          <w:szCs w:val="22"/>
        </w:rPr>
        <w:t xml:space="preserve">temporal, and lifecycle</w:t>
      </w:r>
      <w:r>
        <w:rPr>
          <w:rFonts w:ascii="Times New Roman" w:cs="Times New Roman" w:eastAsia="Times New Roman" w:hAnsi="Times New Roman"/>
          <w:sz w:val="22"/>
          <w:szCs w:val="22"/>
        </w:rPr>
        <w:t xml:space="preserv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sz w:val="22"/>
          <w:szCs w:val="22"/>
          <w:highlight w:val="yellow"/>
        </w:rPr>
        <w:t xml:space="preserve">(Punia et al. 2025; Wu et al. 2022; Zhao &amp; Su 2024)</w:t>
      </w:r>
      <w:r>
        <w:rPr>
          <w:rFonts w:ascii="Times New Roman" w:cs="Times New Roman" w:eastAsia="Times New Roman" w:hAnsi="Times New Roman"/>
          <w:sz w:val="22"/>
          <w:szCs w:val="22"/>
        </w:rPr>
        <w:t xml:space="preserve">, or appointed by the patient </w:t>
      </w:r>
      <w:r>
        <w:rPr>
          <w:rFonts w:ascii="Times New Roman" w:cs="Times New Roman" w:eastAsia="Times New Roman" w:hAnsi="Times New Roman"/>
          <w:sz w:val="22"/>
          <w:szCs w:val="22"/>
          <w:highlight w:val="yellow"/>
        </w:rPr>
        <w:t xml:space="preserve">(Maruthi &amp; Singh 2025; Tan, Chi &amp; Lam 2024)</w:t>
      </w:r>
      <w:r>
        <w:rPr>
          <w:rFonts w:ascii="Times New Roman" w:cs="Times New Roman" w:eastAsia="Times New Roman" w:hAnsi="Times New Roman"/>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Purpose and data-scope</w:t>
      </w:r>
      <w:r>
        <w:rPr>
          <w:rFonts w:ascii="Times New Roman" w:cs="Times New Roman" w:eastAsia="Times New Roman" w:hAnsi="Times New Roman"/>
          <w:sz w:val="22"/>
          <w:szCs w:val="22"/>
        </w:rPr>
        <w:t xml:space="preserve">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w:t>
      </w:r>
      <w:r>
        <w:rPr>
          <w:rFonts w:ascii="Times New Roman" w:cs="Times New Roman" w:eastAsia="Times New Roman" w:hAnsi="Times New Roman"/>
          <w:sz w:val="22"/>
          <w:szCs w:val="22"/>
        </w:rPr>
        <w:t xml:space="preserve">Depending on the consent configuration, G may contain healthcare professionals, guardians, institutional representatives, or other authorised parties. In the current prototype, the members of G are guardians.</w:t>
      </w:r>
      <w:r>
        <w:rPr>
          <w:rFonts w:ascii="Times New Roman" w:cs="Times New Roman" w:eastAsia="Times New Roman" w:hAnsi="Times New Roman"/>
          <w:sz w:val="22"/>
          <w:szCs w:val="22"/>
        </w:rPr>
        <w:t xml:space="preserve"> Each </w:t>
      </w:r>
      <w:r>
        <w:rPr>
          <w:rFonts w:ascii="Times New Roman" w:cs="Times New Roman" w:eastAsia="Times New Roman" w:hAnsi="Times New Roman"/>
          <w:sz w:val="22"/>
          <w:szCs w:val="22"/>
        </w:rPr>
        <w:t xml:space="preserve">member of G</w:t>
      </w:r>
      <w:r>
        <w:rPr>
          <w:rFonts w:ascii="Times New Roman" w:cs="Times New Roman" w:eastAsia="Times New Roman" w:hAnsi="Times New Roman"/>
          <w:sz w:val="22"/>
          <w:szCs w:val="22"/>
        </w:rPr>
        <w:t xml:space="preserve"> is checked to determine whether the individual or entity possesses the required authority to participate in consent-related decisions. The threshold N is the number of valid </w:t>
      </w:r>
      <w:r>
        <w:rPr>
          <w:rFonts w:ascii="Times New Roman" w:cs="Times New Roman" w:eastAsia="Times New Roman" w:hAnsi="Times New Roman"/>
          <w:sz w:val="22"/>
          <w:szCs w:val="22"/>
        </w:rPr>
        <w:t xml:space="preserve">approvals from members of G</w:t>
      </w:r>
      <w:r>
        <w:rPr>
          <w:rFonts w:ascii="Times New Roman" w:cs="Times New Roman" w:eastAsia="Times New Roman" w:hAnsi="Times New Roman"/>
          <w:sz w:val="22"/>
          <w:szCs w:val="22"/>
        </w:rPr>
        <w:t xml:space="preserve">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w:t>
      </w:r>
      <w:r>
        <w:rPr>
          <w:rFonts w:ascii="Times New Roman" w:cs="Times New Roman" w:eastAsia="Times New Roman" w:hAnsi="Times New Roman"/>
          <w:sz w:val="22"/>
          <w:szCs w:val="22"/>
        </w:rPr>
        <w:t xml:space="preserve"> For brevity, SRQ1 to SRQ6 are referred to as RQ1 to RQ6 </w:t>
      </w:r>
      <w:r>
        <w:rPr>
          <w:rFonts w:ascii="Times New Roman" w:cs="Times New Roman" w:eastAsia="Times New Roman" w:hAnsi="Times New Roman"/>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w:t>
      </w:r>
      <w:r>
        <w:rPr>
          <w:rFonts w:ascii="Times New Roman" w:cs="Times New Roman" w:eastAsia="Times New Roman" w:hAnsi="Times New Roman"/>
          <w:sz w:val="22"/>
          <w:szCs w:val="22"/>
        </w:rPr>
        <w:t xml:space="preserve">T is the temporal validity window, and L represents the current state of the consent object and its permissible transitions, including whether the consent remains active or has been revoked.</w:t>
      </w:r>
      <w:r>
        <w:rPr>
          <w:rFonts w:ascii="Times New Roman" w:cs="Times New Roman" w:eastAsia="Times New Roman" w:hAnsi="Times New Roman"/>
          <w:sz w:val="22"/>
          <w:szCs w:val="22"/>
        </w:rPr>
        <w:t xml:space="preserve">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(3.1)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consent lifecycle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w:t>
      </w:r>
      <w:r>
        <w:rPr>
          <w:rFonts w:ascii="Cambria Math" w:cs="Cambria Math" w:eastAsia="Cambria Math" w:hAnsi="Cambria Math"/>
          <w:i w:val="false"/>
          <w:iCs w:val="false"/>
          <w:sz w:val="18"/>
          <w:szCs w:val="18"/>
        </w:rPr>
        <w:t xml:space="preserve">.</w:t>
      </w:r>
      <w:r>
        <w:rPr>
          <w:rFonts w:ascii="Times New Roman" w:cs="Times New Roman" w:eastAsia="Times New Roman" w:hAnsi="Times New Roman"/>
          <w:sz w:val="22"/>
          <w:szCs w:val="22"/>
        </w:rPr>
        <w:t xml:space="preserve">	(3.2)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exploratory jurisdiction check V</w:t>
      </w:r>
      <w:r>
        <w:rPr>
          <w:rFonts w:ascii="Times New Roman" w:cs="Times New Roman" w:eastAsia="Times New Roman" w:hAnsi="Times New Roman"/>
          <w:sz w:val="22"/>
          <w:szCs w:val="22"/>
          <w:vertAlign w:val="subscript"/>
        </w:rPr>
        <w:t xml:space="preserve">J</w:t>
      </w:r>
      <w:r>
        <w:rPr>
          <w:rFonts w:ascii="Times New Roman" w:cs="Times New Roman" w:eastAsia="Times New Roman" w:hAnsi="Times New Roman"/>
          <w:sz w:val="22"/>
          <w:szCs w:val="22"/>
        </w:rPr>
        <w:t xml:space="preserve"> (Section 9.5) to pass and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Groth16 ZK proof </w:t>
      </w:r>
      <w:r>
        <w:rPr>
          <w:rFonts w:ascii="Times New Roman" w:cs="Times New Roman" w:eastAsia="Times New Roman" w:hAnsi="Times New Roman"/>
          <w:sz w:val="22"/>
          <w:szCs w:val="22"/>
          <w:highlight w:val="yellow"/>
        </w:rPr>
        <w:t xml:space="preserve">(Groth 2016)</w:t>
      </w:r>
      <w:r>
        <w:rPr>
          <w:rFonts w:ascii="Times New Roman" w:cs="Times New Roman" w:eastAsia="Times New Roman" w:hAnsi="Times New Roman"/>
          <w:sz w:val="22"/>
          <w:szCs w:val="22"/>
        </w:rPr>
        <w:t xml:space="preserve"> to verify</w:t>
      </w:r>
      <w:r>
        <w:rPr>
          <w:rFonts w:ascii="Times New Roman" w:cs="Times New Roman" w:eastAsia="Times New Roman" w:hAnsi="Times New Roman"/>
          <w:sz w:val="22"/>
          <w:szCs w:val="22"/>
        </w:rPr>
        <w:t xml:space="preserve">, so a request that satisfies the five predicates is still denied when </w:t>
      </w:r>
      <w:r>
        <w:rPr>
          <w:rFonts w:ascii="Times New Roman" w:cs="Times New Roman" w:eastAsia="Times New Roman" w:hAnsi="Times New Roman"/>
          <w:sz w:val="22"/>
          <w:szCs w:val="22"/>
        </w:rPr>
        <w:t xml:space="preserve">either fails, as in Scenario 4 (Section 11.3) and</w:t>
      </w:r>
      <w:r>
        <w:rPr>
          <w:rFonts w:ascii="Times New Roman" w:cs="Times New Roman" w:eastAsia="Times New Roman" w:hAnsi="Times New Roman"/>
          <w:sz w:val="22"/>
          <w:szCs w:val="22"/>
        </w:rPr>
        <w:t xml:space="preserve"> attack A9 (Section 11.5).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turn the research gap into concrete research and development activities.</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w:t>
      </w:r>
      <w:r>
        <w:rPr>
          <w:rFonts w:ascii="Times New Roman" w:cs="Times New Roman" w:eastAsia="Times New Roman" w:hAnsi="Times New Roman"/>
          <w:sz w:val="22"/>
          <w:szCs w:val="22"/>
        </w:rPr>
        <w:t xml:space="preserve">In the current prototype, a</w:t>
      </w:r>
      <w:r>
        <w:rPr>
          <w:rFonts w:ascii="Times New Roman" w:cs="Times New Roman" w:eastAsia="Times New Roman" w:hAnsi="Times New Roman"/>
          <w:sz w:val="22"/>
          <w:szCs w:val="22"/>
        </w:rPr>
        <w:t xml:space="preserve">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w:t>
      </w:r>
      <w:r>
        <w:rPr>
          <w:rFonts w:ascii="Times New Roman" w:cs="Times New Roman" w:eastAsia="Times New Roman" w:hAnsi="Times New Roman"/>
          <w:sz w:val="22"/>
          <w:szCs w:val="22"/>
        </w:rPr>
        <w:t xml:space="preserve">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w:t>
      </w:r>
      <w:r>
        <w:rPr>
          <w:rFonts w:ascii="Times New Roman" w:cs="Times New Roman" w:eastAsia="Times New Roman" w:hAnsi="Times New Roman"/>
          <w:sz w:val="22"/>
          <w:szCs w:val="22"/>
        </w:rPr>
        <w:t xml:space="preserve">exploratory jurisdiction check of the</w:t>
      </w:r>
      <w:r>
        <w:rPr>
          <w:rFonts w:ascii="Times New Roman" w:cs="Times New Roman" w:eastAsia="Times New Roman" w:hAnsi="Times New Roman"/>
          <w:sz w:val="22"/>
          <w:szCs w:val="22"/>
        </w:rPr>
        <w:t xml:space="preserve"> application </w:t>
      </w:r>
      <w:r>
        <w:rPr>
          <w:rFonts w:ascii="Times New Roman" w:cs="Times New Roman" w:eastAsia="Times New Roman" w:hAnsi="Times New Roman"/>
          <w:sz w:val="22"/>
          <w:szCs w:val="22"/>
        </w:rPr>
        <w:t xml:space="preserve">(Section 9.5)</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w:t>
      </w:r>
      <w:r>
        <w:rPr>
          <w:rFonts w:ascii="Times New Roman" w:cs="Times New Roman" w:eastAsia="Times New Roman" w:hAnsi="Times New Roman"/>
          <w:sz w:val="22"/>
          <w:szCs w:val="22"/>
        </w:rPr>
        <w:t xml:space="preserve">Each research question therefore has one research activity, and each objective contributes to the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w:t>
      </w:r>
      <w:r>
        <w:rPr>
          <w:rFonts w:ascii="Times New Roman" w:cs="Times New Roman" w:eastAsia="Times New Roman" w:hAnsi="Times New Roman"/>
          <w:sz w:val="22"/>
          <w:szCs w:val="22"/>
        </w:rPr>
        <w:t xml:space="preserve">In the proposed framework, MVC does more than separate data, interfaces, and application logic. It is extended to support a separation</w:t>
      </w:r>
      <w:r>
        <w:rPr>
          <w:rFonts w:ascii="Times New Roman" w:cs="Times New Roman" w:eastAsia="Times New Roman" w:hAnsi="Times New Roman"/>
          <w:sz w:val="22"/>
          <w:szCs w:val="22"/>
        </w:rPr>
        <w:t xml:space="preserve"> between the representation of consent, the interaction of independent stakeholders, and the enforcement of security-critical authorisation decisions. </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w:t>
      </w:r>
      <w:r>
        <w:rPr>
          <w:rFonts w:ascii="Times New Roman" w:cs="Times New Roman" w:eastAsia="Times New Roman" w:hAnsi="Times New Roman"/>
          <w:sz w:val="22"/>
          <w:szCs w:val="22"/>
        </w:rPr>
        <w:t xml:space="preserve">Instead, the authorisation decision is the result of evaluating independently verifiable security conditions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Section 5.1 describes the layers and their components, Section 5.2 explains where trust is evaluated and where the architectural boundaries lie, Section 5.3 walks through the authorisation workflow, and Section 5.4 maps the architecture to the research objectives.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5.1: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w:t>
      </w:r>
      <w:r>
        <w:rPr>
          <w:rFonts w:ascii="Times New Roman" w:cs="Times New Roman" w:eastAsia="Times New Roman" w:hAnsi="Times New Roman"/>
          <w:sz w:val="22"/>
          <w:szCs w:val="22"/>
        </w:rPr>
        <w:t xml:space="preserve">temporal, and lifecycle</w:t>
      </w:r>
      <w:r>
        <w:rPr>
          <w:rFonts w:ascii="Times New Roman" w:cs="Times New Roman" w:eastAsia="Times New Roman" w:hAnsi="Times New Roman"/>
          <w:sz w:val="22"/>
          <w:szCs w:val="22"/>
        </w:rPr>
        <w:t xml:space="preserv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5.2: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w:t>
      </w:r>
      <w:r>
        <w:rPr>
          <w:rFonts w:ascii="Times New Roman" w:cs="Times New Roman" w:eastAsia="Times New Roman" w:hAnsi="Times New Roman"/>
          <w:sz w:val="22"/>
          <w:szCs w:val="22"/>
        </w:rPr>
        <w:t xml:space="preserve">anchors the Sepolia mint as a background process. A revoke transaction is sent when the patient revokes a consent, and the patient view waits for its confirmation</w:t>
      </w:r>
      <w:r>
        <w:rPr>
          <w:rFonts w:ascii="Times New Roman" w:cs="Times New Roman" w:eastAsia="Times New Roman" w:hAnsi="Times New Roman"/>
          <w:sz w:val="22"/>
          <w:szCs w:val="22"/>
        </w:rPr>
        <w:t xml:space="preserve">.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w:t>
      </w:r>
      <w:r>
        <w:rPr>
          <w:rFonts w:ascii="Times New Roman" w:cs="Times New Roman" w:eastAsia="Times New Roman" w:hAnsi="Times New Roman"/>
          <w:sz w:val="22"/>
          <w:szCs w:val="22"/>
        </w:rPr>
        <w:t xml:space="preserve">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determines whether the consent remains in a valid lifecycle state.</w:t>
      </w:r>
      <w:r>
        <w:rPr>
          <w:rFonts w:ascii="Times New Roman" w:cs="Times New Roman" w:eastAsia="Times New Roman" w:hAnsi="Times New Roman"/>
          <w:sz w:val="22"/>
          <w:szCs w:val="22"/>
        </w:rPr>
        <w:t xml:space="preserve"> The integrated decision can therefore be expressed as Equation (3.2). </w:t>
      </w:r>
      <w:r>
        <w:rPr>
          <w:rFonts w:ascii="Times New Roman" w:cs="Times New Roman" w:eastAsia="Times New Roman" w:hAnsi="Times New Roman"/>
          <w:sz w:val="22"/>
          <w:szCs w:val="22"/>
        </w:rPr>
        <w:t xml:space="preserve">In the current prototype, the Consent Engine derives the lifecycle state, a request proceeds only when this state is ACTIVE, and the revocation flag and the token are also checked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 prototype interface also shows a check labelled VL, which compares the jurisdiction declared in the request with the jurisdiction recorded in the consent. This report denotes that check V</w:t>
      </w:r>
      <w:r>
        <w:rPr>
          <w:rFonts w:ascii="Times New Roman" w:cs="Times New Roman" w:eastAsia="Times New Roman" w:hAnsi="Times New Roman"/>
          <w:sz w:val="22"/>
          <w:szCs w:val="22"/>
          <w:vertAlign w:val="subscript"/>
        </w:rPr>
        <w:t xml:space="preserve">J</w:t>
      </w:r>
      <w:r>
        <w:rPr>
          <w:rFonts w:ascii="Times New Roman" w:cs="Times New Roman" w:eastAsia="Times New Roman" w:hAnsi="Times New Roman"/>
          <w:sz w:val="22"/>
          <w:szCs w:val="22"/>
        </w:rPr>
        <w:t xml:space="preserve"> and treats jurisdiction as a contextual policy condition for the next stage (Section 9.5).</w:t>
      </w:r>
    </w:p>
    <w:p>
      <w:pPr>
        <w:keepNext/>
        <w:spacing w:after="60" w:before="160"/>
        <w:jc w:val="center"/>
      </w:pPr>
      <w:r>
        <w:drawing>
          <wp:inline distT="0" distB="0" distL="0" distR="0">
            <wp:extent cx="3676650" cy="5334000"/>
            <wp:effectExtent t="0" r="0" b="0" l="0"/>
            <wp:docPr id="1" name="F8.png" descr="Trust predicate evaluation and authorisation decision flow (in the current prototype, VI also checks the EIP-712 signature of each listed guardian, and a refusal for a consent that is not ACTIVE is not recorded,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not recorded,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766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5.3: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 while the check labelled VL in the prototype interface is the exploratory jurisdiction check V</w:t>
      </w:r>
      <w:r>
        <w:rPr>
          <w:rFonts w:ascii="Times New Roman" w:cs="Times New Roman" w:eastAsia="Times New Roman" w:hAnsi="Times New Roman"/>
          <w:sz w:val="18"/>
          <w:szCs w:val="18"/>
          <w:vertAlign w:val="subscript"/>
        </w:rPr>
        <w:t xml:space="preserve">J</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w:t>
      </w:r>
      <w:r>
        <w:rPr>
          <w:rFonts w:ascii="Times New Roman" w:cs="Times New Roman" w:eastAsia="Times New Roman" w:hAnsi="Times New Roman"/>
          <w:sz w:val="22"/>
          <w:szCs w:val="22"/>
        </w:rPr>
        <w:t xml:space="preserve">For the interpretation of the architecture</w:t>
      </w:r>
      <w:r>
        <w:rPr>
          <w:rFonts w:ascii="Times New Roman" w:cs="Times New Roman" w:eastAsia="Times New Roman" w:hAnsi="Times New Roman"/>
          <w:sz w:val="22"/>
          <w:szCs w:val="22"/>
        </w:rPr>
        <w:t xml:space="preserv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w:t>
      </w:r>
      <w:r>
        <w:rPr>
          <w:rFonts w:ascii="Times New Roman" w:cs="Times New Roman" w:eastAsia="Times New Roman" w:hAnsi="Times New Roman"/>
          <w:sz w:val="22"/>
          <w:szCs w:val="22"/>
        </w:rPr>
        <w:t xml:space="preserve">Figure 5.4 puts the same conditions in the order a request meets them. A DID answers who is asking, a verifiable credential and a signed approval answer what that participant may do, the threshold answers whether </w:t>
      </w:r>
      <w:r>
        <w:rPr>
          <w:rFonts w:ascii="Times New Roman" w:cs="Times New Roman" w:eastAsia="Times New Roman" w:hAnsi="Times New Roman"/>
          <w:sz w:val="22"/>
          <w:szCs w:val="22"/>
        </w:rPr>
        <w:t xml:space="preserve">the members of G</w:t>
      </w:r>
      <w:r>
        <w:rPr>
          <w:rFonts w:ascii="Times New Roman" w:cs="Times New Roman" w:eastAsia="Times New Roman" w:hAnsi="Times New Roman"/>
          <w:sz w:val="22"/>
          <w:szCs w:val="22"/>
        </w:rPr>
        <w:t xml:space="preserve"> agreed, and the policy, temporal and </w:t>
      </w:r>
      <w:r>
        <w:rPr>
          <w:rFonts w:ascii="Times New Roman" w:cs="Times New Roman" w:eastAsia="Times New Roman" w:hAnsi="Times New Roman"/>
          <w:sz w:val="22"/>
          <w:szCs w:val="22"/>
        </w:rPr>
        <w:t xml:space="preserve">lifecycle</w:t>
      </w:r>
      <w:r>
        <w:rPr>
          <w:rFonts w:ascii="Times New Roman" w:cs="Times New Roman" w:eastAsia="Times New Roman" w:hAnsi="Times New Roman"/>
          <w:sz w:val="22"/>
          <w:szCs w:val="22"/>
        </w:rPr>
        <w:t xml:space="preserve"> checks with the zero-knowledge proof answer whether the consent is still valid for this request. The figure also states, gate by gate, what the current prototype checks, so the reader can see where the design and the prototype differ before the detailed sections.</w:t>
      </w:r>
    </w:p>
    <w:p>
      <w:pPr>
        <w:keepNext/>
        <w:spacing w:after="60" w:before="160"/>
        <w:jc w:val="center"/>
      </w:pPr>
      <w:r>
        <w:drawing>
          <wp:inline distT="0" distB="0" distL="0" distR="0">
            <wp:extent cx="5715000" cy="4895850"/>
            <wp:effectExtent t="0" r="0" b="0" l="0"/>
            <wp:docPr id="1" name="F44.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only for a request evaluated against an ACTIVE consent"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only for a request evaluated against an ACTIVE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8958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5.4: </w:t>
      </w:r>
      <w:r>
        <w:rPr>
          <w:rFonts w:ascii="Times New Roman" w:cs="Times New Roman" w:eastAsia="Times New Roman" w:hAnsi="Times New Roman"/>
          <w:sz w:val="18"/>
          <w:szCs w:val="18"/>
        </w:rPr>
        <w:t xml:space="preserve">The four gates that an access request passes before data are released: identity (DID), authority (VC and signed approval), collective approval (threshold), and validity of the consent for the request (policy, time, </w:t>
      </w:r>
      <w:r>
        <w:rPr>
          <w:rFonts w:ascii="Times New Roman" w:cs="Times New Roman" w:eastAsia="Times New Roman" w:hAnsi="Times New Roman"/>
          <w:sz w:val="18"/>
          <w:szCs w:val="18"/>
        </w:rPr>
        <w:t xml:space="preserve">lifecycle</w:t>
      </w:r>
      <w:r>
        <w:rPr>
          <w:rFonts w:ascii="Times New Roman" w:cs="Times New Roman" w:eastAsia="Times New Roman" w:hAnsi="Times New Roman"/>
          <w:sz w:val="18"/>
          <w:szCs w:val="18"/>
        </w:rPr>
        <w:t xml:space="preserve"> and the zero-knowledge proof). Each gate names what the current prototype checks, and a failure at any gate produces DENY</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prototype records the decision matrix in the audit ledger only for a request evaluated against an ACTIVE consent</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5.5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w:t>
      </w:r>
      <w:r>
        <w:rPr>
          <w:rFonts w:ascii="Times New Roman" w:cs="Times New Roman" w:eastAsia="Times New Roman" w:hAnsi="Times New Roman"/>
          <w:sz w:val="22"/>
          <w:szCs w:val="22"/>
        </w:rPr>
        <w:t xml:space="preserve">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 The framework then collects </w:t>
      </w:r>
      <w:r>
        <w:rPr>
          <w:rFonts w:ascii="Times New Roman" w:cs="Times New Roman" w:eastAsia="Times New Roman" w:hAnsi="Times New Roman"/>
          <w:sz w:val="22"/>
          <w:szCs w:val="22"/>
        </w:rPr>
        <w:t xml:space="preserve">the participants'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z w:val="22"/>
          <w:szCs w:val="22"/>
        </w:rPr>
        <w:t xml:space="preserve">participants whose approvals have been verified</w:t>
      </w:r>
      <w:r>
        <w:rPr>
          <w:rFonts w:ascii="Times New Roman" w:cs="Times New Roman" w:eastAsia="Times New Roman" w:hAnsi="Times New Roman"/>
          <w:sz w:val="22"/>
          <w:szCs w:val="22"/>
        </w:rPr>
        <w:t xml:space="preserve"> and let N denote the required authorisation threshold, as in Equation (5.1). Here, Token(C) ≠ ∅ means that C has been assigned a token identifier, and Revoked(C) = 0 means that the consent has not been revoked.</w:t>
      </w:r>
    </w:p>
    <w:p>
      <w:pPr>
        <w:keepNext/>
        <w:spacing w:after="60" w:before="160"/>
        <w:jc w:val="center"/>
      </w:pPr>
      <w:r>
        <w:drawing>
          <wp:inline distT="0" distB="0" distL="0" distR="0">
            <wp:extent cx="3305175" cy="533400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051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5.5: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(5.1)</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z w:val="22"/>
          <w:szCs w:val="22"/>
        </w:rPr>
        <w:t xml:space="preserve">set of verified approving </w:t>
      </w:r>
      <w:r>
        <w:rPr>
          <w:rFonts w:ascii="Times New Roman" w:cs="Times New Roman" w:eastAsia="Times New Roman" w:hAnsi="Times New Roman"/>
          <w:sz w:val="22"/>
          <w:szCs w:val="22"/>
        </w:rPr>
        <w:t xml:space="preserve">participants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(5.2),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w:t>
      </w:r>
      <w:r>
        <w:rPr>
          <w:rFonts w:ascii="Times New Roman" w:cs="Times New Roman" w:eastAsia="Times New Roman" w:hAnsi="Times New Roman"/>
          <w:sz w:val="22"/>
          <w:szCs w:val="22"/>
        </w:rPr>
        <w:t xml:space="preserve">a registration-time co-consent, a documentation-time gate on guardian access, an institution-side admission gate, a custodial M-of-N signature, a key-share reconstruction, or a threshold proxy re-encryption.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(5.2)</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w:t>
      </w:r>
      <w:r>
        <w:rPr>
          <w:rFonts w:ascii="Times New Roman" w:cs="Times New Roman" w:eastAsia="Times New Roman" w:hAnsi="Times New Roman"/>
          <w:sz w:val="22"/>
          <w:szCs w:val="22"/>
        </w:rPr>
        <w:t xml:space="preserve">The policy, temporal and lifecycle checks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together with the exploratory jurisdiction check V</w:t>
      </w:r>
      <w:r>
        <w:rPr>
          <w:rFonts w:ascii="Times New Roman" w:cs="Times New Roman" w:eastAsia="Times New Roman" w:hAnsi="Times New Roman"/>
          <w:sz w:val="22"/>
          <w:szCs w:val="22"/>
          <w:vertAlign w:val="subscript"/>
        </w:rPr>
        <w:t xml:space="preserve">J</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z w:val="22"/>
          <w:szCs w:val="22"/>
        </w:rPr>
        <w:t xml:space="preserve">Beyond the access decision shown in Figure 5.5,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w:t>
      </w:r>
      <w:r>
        <w:rPr>
          <w:rFonts w:ascii="Times New Roman" w:cs="Times New Roman" w:eastAsia="Times New Roman" w:hAnsi="Times New Roman"/>
          <w:sz w:val="22"/>
          <w:szCs w:val="22"/>
        </w:rPr>
        <w:t xml:space="preserve">This step addresses a limitation of identity-based and approval-based access control:</w:t>
      </w:r>
      <w:r>
        <w:rPr>
          <w:rFonts w:ascii="Times New Roman" w:cs="Times New Roman" w:eastAsia="Times New Roman" w:hAnsi="Times New Roman"/>
          <w:sz w:val="22"/>
          <w:szCs w:val="22"/>
        </w:rPr>
        <w:t xml:space="preserve">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w:t>
      </w:r>
      <w:r>
        <w:rPr>
          <w:rFonts w:ascii="Times New Roman" w:cs="Times New Roman" w:eastAsia="Times New Roman" w:hAnsi="Times New Roman"/>
          <w:sz w:val="22"/>
          <w:szCs w:val="22"/>
        </w:rPr>
        <w:t xml:space="preserve">Similarly, the purpose must be a supported healthcare use. The full design also requires the requested purpose to match the purpose recorded in the consent, which the prototype does not yet compare, as Section 9.4 explains.</w:t>
      </w:r>
      <w:r>
        <w:rPr>
          <w:rFonts w:ascii="Times New Roman" w:cs="Times New Roman" w:eastAsia="Times New Roman" w:hAnsi="Times New Roman"/>
          <w:sz w:val="22"/>
          <w:szCs w:val="22"/>
        </w:rPr>
        <w:t xml:space="preserve">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w:t>
      </w:r>
      <w:r>
        <w:rPr>
          <w:rFonts w:ascii="Times New Roman" w:cs="Times New Roman" w:eastAsia="Times New Roman" w:hAnsi="Times New Roman"/>
          <w:sz w:val="22"/>
          <w:szCs w:val="22"/>
        </w:rPr>
        <w:t xml:space="preserv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5.1: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w:t>
      </w:r>
      <w:r>
        <w:rPr>
          <w:rFonts w:ascii="Times New Roman" w:cs="Times New Roman" w:eastAsia="Times New Roman" w:hAnsi="Times New Roman"/>
          <w:sz w:val="22"/>
          <w:szCs w:val="22"/>
        </w:rPr>
        <w:t xml:space="preserve">temporal, and lifecycle</w:t>
      </w:r>
      <w:r>
        <w:rPr>
          <w:rFonts w:ascii="Times New Roman" w:cs="Times New Roman" w:eastAsia="Times New Roman" w:hAnsi="Times New Roman"/>
          <w:sz w:val="22"/>
          <w:szCs w:val="22"/>
        </w:rPr>
        <w:t xml:space="preserv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section presents the solution for RO1, the consent object on which the other objectives build.</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(6.1).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(6.1)</w:t>
      </w:r>
    </w:p>
    <w:p>
      <w:pPr>
        <w:spacing w:after="110" w:line="264"/>
        <w:jc w:val="both"/>
      </w:pPr>
      <w:r>
        <w:rPr>
          <w:rFonts w:ascii="Times New Roman" w:cs="Times New Roman" w:eastAsia="Times New Roman" w:hAnsi="Times New Roman"/>
          <w:sz w:val="22"/>
          <w:szCs w:val="22"/>
        </w:rPr>
        <w:t xml:space="preserve">In Equation (6.1), I represents patient and participant identity information, A represents authorisation requirements, P represents policy constraints, and E represents authorisation evidence. T represents the temporal validity window, and </w:t>
      </w:r>
      <w:r>
        <w:rPr>
          <w:rFonts w:ascii="Times New Roman" w:cs="Times New Roman" w:eastAsia="Times New Roman" w:hAnsi="Times New Roman"/>
          <w:sz w:val="22"/>
          <w:szCs w:val="22"/>
        </w:rPr>
        <w:t xml:space="preserve">L represents the current state of the consent object and its permissible transitions.</w:t>
      </w:r>
      <w:r>
        <w:rPr>
          <w:rFonts w:ascii="Times New Roman" w:cs="Times New Roman" w:eastAsia="Times New Roman" w:hAnsi="Times New Roman"/>
          <w:sz w:val="22"/>
          <w:szCs w:val="22"/>
        </w:rPr>
        <w:t xml:space="preserv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6.1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981325" cy="533400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813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6.1: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w:t>
      </w:r>
      <w:r>
        <w:rPr>
          <w:rFonts w:ascii="Times New Roman" w:cs="Times New Roman" w:eastAsia="Times New Roman" w:hAnsi="Times New Roman"/>
          <w:sz w:val="22"/>
          <w:szCs w:val="22"/>
        </w:rPr>
        <w:t xml:space="preserve">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(Section 9.5).</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6.2 shows how the validated information is combined to construct the consent object. </w:t>
      </w:r>
      <w:r>
        <w:rPr>
          <w:rFonts w:ascii="Times New Roman" w:cs="Times New Roman" w:eastAsia="Times New Roman" w:hAnsi="Times New Roman"/>
          <w:sz w:val="22"/>
          <w:szCs w:val="22"/>
        </w:rPr>
        <w:t xml:space="preserve">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where L is the lifecycle state; the states shown are those of the design, and the states implemented in the prototype are given in Section 10.2" title="Six-component consent model C = (I, A, P, T, L, E) with the content and supplier of each component, where L is the lifecycle state; the states shown are those of the design, and the states implemented in the prototype are given in Sectio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6.2: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 where L is the lifecycle state</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states shown are those of the design, and the states implemented in the prototype are given in Section 10.2</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Unlike the consent objects reported in the literature, this object carries the guardian set and threshold together with the purpose, data scope, </w:t>
      </w:r>
      <w:r>
        <w:rPr>
          <w:rFonts w:ascii="Times New Roman" w:cs="Times New Roman" w:eastAsia="Times New Roman" w:hAnsi="Times New Roman"/>
          <w:sz w:val="22"/>
          <w:szCs w:val="22"/>
        </w:rPr>
        <w:t xml:space="preserve">validity interval,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w:t>
      </w:r>
      <w:r>
        <w:rPr>
          <w:rFonts w:ascii="Times New Roman" w:cs="Times New Roman" w:eastAsia="Times New Roman" w:hAnsi="Times New Roman"/>
          <w:sz w:val="22"/>
          <w:szCs w:val="22"/>
        </w:rPr>
        <w:t xml:space="preserve">be non-empty, and every guardian in it must have a well-formed DID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w:t>
      </w:r>
      <w:r>
        <w:rPr>
          <w:rFonts w:ascii="Times New Roman" w:cs="Times New Roman" w:eastAsia="Times New Roman" w:hAnsi="Times New Roman"/>
          <w:sz w:val="22"/>
          <w:szCs w:val="22"/>
        </w:rPr>
        <w:t xml:space="preserve">T → A</w:t>
      </w:r>
      <w:r>
        <w:rPr>
          <w:rFonts w:ascii="Times New Roman" w:cs="Times New Roman" w:eastAsia="Times New Roman" w:hAnsi="Times New Roman"/>
          <w:sz w:val="22"/>
          <w:szCs w:val="22"/>
        </w:rPr>
        <w:t xml:space="preserve">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w:t>
      </w:r>
      <w:r>
        <w:rPr>
          <w:rFonts w:ascii="Times New Roman" w:cs="Times New Roman" w:eastAsia="Times New Roman" w:hAnsi="Times New Roman"/>
          <w:sz w:val="22"/>
          <w:szCs w:val="22"/>
        </w:rPr>
        <w:t xml:space="preserve">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6.1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validity interval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w:t>
      </w:r>
      <w:r>
        <w:rPr>
          <w:rFonts w:ascii="Times New Roman" w:cs="Times New Roman" w:eastAsia="Times New Roman" w:hAnsi="Times New Roman"/>
          <w:sz w:val="19"/>
          <w:szCs w:val="19"/>
        </w:rPr>
        <w:t xml:space="preserve">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T holds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L holds the lifecycle state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L ← PENDING   ▷ PENDING_SIGNATURE in the prototype, where</w:t>
      </w:r>
      <w:r>
        <w:rPr>
          <w:rFonts w:ascii="Times New Roman" w:cs="Times New Roman" w:eastAsia="Times New Roman" w:hAnsi="Times New Roman"/>
          <w:sz w:val="19"/>
          <w:szCs w:val="19"/>
        </w:rPr>
        <w:t xml:space="preserve">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6.1 formalises the creation process. The algorithm does not grant data access directly. Instead, it creates a consent object that can later be evaluated by the authorisation mechanism. </w:t>
      </w:r>
      <w:r>
        <w:rPr>
          <w:rFonts w:ascii="Times New Roman" w:cs="Times New Roman" w:eastAsia="Times New Roman" w:hAnsi="Times New Roman"/>
          <w:sz w:val="22"/>
          <w:szCs w:val="22"/>
        </w:rPr>
        <w:t xml:space="preserve"> The consent is placed in the </w:t>
      </w:r>
      <w:r>
        <w:rPr>
          <w:rFonts w:ascii="Times New Roman" w:cs="Times New Roman" w:eastAsia="Times New Roman" w:hAnsi="Times New Roman"/>
          <w:sz w:val="22"/>
          <w:szCs w:val="22"/>
        </w:rPr>
        <w:t xml:space="preserve">PENDING state (PENDING_SIGNATURE in the prototype)</w:t>
      </w:r>
      <w:r>
        <w:rPr>
          <w:rFonts w:ascii="Times New Roman" w:cs="Times New Roman" w:eastAsia="Times New Roman" w:hAnsi="Times New Roman"/>
          <w:sz w:val="22"/>
          <w:szCs w:val="22"/>
        </w:rPr>
        <w:t xml:space="preserv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w:t>
      </w:r>
      <w:r>
        <w:rPr>
          <w:rFonts w:ascii="Times New Roman" w:cs="Times New Roman" w:eastAsia="Times New Roman" w:hAnsi="Times New Roman"/>
          <w:sz w:val="22"/>
          <w:szCs w:val="22"/>
        </w:rPr>
        <w:t xml:space="preserve">The main contribution of RO1 is that consent is represented as an evaluable authorisation object rather than as a binary permission.</w:t>
      </w:r>
      <w:r>
        <w:rPr>
          <w:rFonts w:ascii="Times New Roman" w:cs="Times New Roman" w:eastAsia="Times New Roman" w:hAnsi="Times New Roman"/>
          <w:sz w:val="22"/>
          <w:szCs w:val="22"/>
        </w:rPr>
        <w:t xml:space="preserve">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 </w:t>
      </w:r>
      <w:r>
        <w:rPr>
          <w:rFonts w:ascii="Times New Roman" w:cs="Times New Roman" w:eastAsia="Times New Roman" w:hAnsi="Times New Roman"/>
          <w:sz w:val="22"/>
          <w:szCs w:val="22"/>
        </w:rPr>
        <w:t xml:space="preserve">The next section presents the solution for RO2, which verifies who the participants are and what authority they hold.</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(7.1).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(7.1)</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(7.2), where u is the requesting participant and Authority(u, C) establishes whether the verified authority matches the role required by the consent. The DID verification process establishes whether the identity reference is valid.</w:t>
      </w:r>
      <w:r>
        <w:rPr>
          <w:rFonts w:ascii="Times New Roman" w:cs="Times New Roman" w:eastAsia="Times New Roman" w:hAnsi="Times New Roman"/>
          <w:sz w:val="22"/>
          <w:szCs w:val="22"/>
        </w:rPr>
        <w:t xml:space="preserve"> In the current prototype this check is structural, as Section 7.4 explains.</w:t>
      </w:r>
      <w:r>
        <w:rPr>
          <w:rFonts w:ascii="Times New Roman" w:cs="Times New Roman" w:eastAsia="Times New Roman" w:hAnsi="Times New Roman"/>
          <w:sz w:val="22"/>
          <w:szCs w:val="22"/>
        </w:rPr>
        <w:t xml:space="preserve">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(7.2)</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7.1,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3581400" cy="533400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58140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7.1: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7.1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7.1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7.1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w:t>
      </w:r>
      <w:r>
        <w:rPr>
          <w:rFonts w:ascii="Times New Roman" w:cs="Times New Roman" w:eastAsia="Times New Roman" w:hAnsi="Times New Roman"/>
          <w:sz w:val="22"/>
          <w:szCs w:val="22"/>
        </w:rPr>
        <w:t xml:space="preserve">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 </w:t>
      </w:r>
      <w:r>
        <w:rPr>
          <w:rFonts w:ascii="Times New Roman" w:cs="Times New Roman" w:eastAsia="Times New Roman" w:hAnsi="Times New Roman"/>
          <w:sz w:val="22"/>
          <w:szCs w:val="22"/>
        </w:rPr>
        <w:t xml:space="preserve">The next section presents the solution for RO3, the multi-party approval of the consent.</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 </w:t>
      </w:r>
      <w:r>
        <w:rPr>
          <w:rFonts w:ascii="Times New Roman" w:cs="Times New Roman" w:eastAsia="Times New Roman" w:hAnsi="Times New Roman"/>
          <w:sz w:val="22"/>
          <w:szCs w:val="22"/>
        </w:rPr>
        <w:t xml:space="preserve">Section 8.1 defines the threshold condition, Section 8.2 shows the multi-party authorisation workflow, Section 8.3 gives the procedure and the algorithm, and Section 8.4 states the outcome of RO3.</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z w:val="22"/>
          <w:szCs w:val="22"/>
        </w:rPr>
        <w:t xml:space="preserve">authorisation participants</w:t>
      </w:r>
      <w:r>
        <w:rPr>
          <w:rFonts w:ascii="Times New Roman" w:cs="Times New Roman" w:eastAsia="Times New Roman" w:hAnsi="Times New Roman"/>
          <w:sz w:val="22"/>
          <w:szCs w:val="22"/>
        </w:rPr>
        <w:t xml:space="preserve"> and N represent the required approval threshold. The authorisation condition can then be represented as Equation (8.1),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(8.1)</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w:t>
      </w:r>
      <w:r>
        <w:rPr>
          <w:rFonts w:ascii="Times New Roman" w:cs="Times New Roman" w:eastAsia="Times New Roman" w:hAnsi="Times New Roman"/>
          <w:sz w:val="22"/>
          <w:szCs w:val="22"/>
        </w:rPr>
        <w:t xml:space="preserve">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8.1, the </w:t>
      </w:r>
      <w:r>
        <w:rPr>
          <w:rFonts w:ascii="Times New Roman" w:cs="Times New Roman" w:eastAsia="Times New Roman" w:hAnsi="Times New Roman"/>
          <w:sz w:val="22"/>
          <w:szCs w:val="22"/>
        </w:rPr>
        <w:t xml:space="preserve">guardian workflow checks the EIP-712 signature and the DID format, which stands in for VC verification in the prototype. It then appends the guardian DID to the consent signatures and displays the current approval count relative to the threshold.</w:t>
      </w:r>
      <w:r>
        <w:rPr>
          <w:rFonts w:ascii="Times New Roman" w:cs="Times New Roman" w:eastAsia="Times New Roman" w:hAnsi="Times New Roman"/>
          <w:sz w:val="22"/>
          <w:szCs w:val="22"/>
        </w:rPr>
        <w:t xml:space="preserve">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476625" cy="533400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766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8.1: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w:t>
      </w:r>
      <w:r>
        <w:rPr>
          <w:rFonts w:ascii="Times New Roman" w:cs="Times New Roman" w:eastAsia="Times New Roman" w:hAnsi="Times New Roman"/>
          <w:sz w:val="22"/>
          <w:szCs w:val="22"/>
        </w:rPr>
        <w:t xml:space="preserve">The set G defines which participants are eligible to contribute an approval to the authorisation process. Depending on the consent configuration, G may contain healthcare professionals, guardians, institutional representatives, or other authorised parties.</w:t>
      </w:r>
      <w:r>
        <w:rPr>
          <w:rFonts w:ascii="Times New Roman" w:cs="Times New Roman" w:eastAsia="Times New Roman" w:hAnsi="Times New Roman"/>
          <w:sz w:val="22"/>
          <w:szCs w:val="22"/>
        </w:rPr>
        <w:t xml:space="preserve">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7.1.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z w:val="22"/>
          <w:szCs w:val="22"/>
        </w:rPr>
        <w:t xml:space="preserve">counted, and </w:t>
      </w:r>
      <w:r>
        <w:rPr>
          <w:rFonts w:ascii="Times New Roman" w:cs="Times New Roman" w:eastAsia="Times New Roman" w:hAnsi="Times New Roman"/>
          <w:sz w:val="22"/>
          <w:szCs w:val="22"/>
        </w:rPr>
        <w:t xml:space="preserve">the corresponding participant g</w:t>
      </w:r>
      <w:r>
        <w:rPr>
          <w:rFonts w:ascii="Times New Roman" w:cs="Times New Roman" w:eastAsia="Times New Roman" w:hAnsi="Times New Roman"/>
          <w:sz w:val="22"/>
          <w:szCs w:val="22"/>
        </w:rPr>
        <w:t xml:space="preserve">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(8.2).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(8.2)</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(8.3).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(8.3)</w:t>
      </w:r>
    </w:p>
    <w:p>
      <w:pPr>
        <w:spacing w:after="110" w:line="264"/>
        <w:jc w:val="both"/>
      </w:pPr>
      <w:r>
        <w:rPr>
          <w:rFonts w:ascii="Times New Roman" w:cs="Times New Roman" w:eastAsia="Times New Roman" w:hAnsi="Times New Roman"/>
          <w:sz w:val="22"/>
          <w:szCs w:val="22"/>
        </w:rPr>
        <w:t xml:space="preserve">Algorithm 8.1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8.1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jurisdiction code Jur(C) recorded by the prototype</w:t>
      </w:r>
      <w:r>
        <w:rPr>
          <w:rFonts w:ascii="Times New Roman" w:cs="Times New Roman" w:eastAsia="Times New Roman" w:hAnsi="Times New Roman"/>
          <w:sz w:val="19"/>
          <w:szCs w:val="19"/>
        </w:rPr>
        <w:t xml:space="preserve">,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7.1,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w:t>
      </w:r>
      <w:r>
        <w:rPr>
          <w:rFonts w:ascii="Times New Roman" w:cs="Times New Roman" w:eastAsia="Times New Roman" w:hAnsi="Times New Roman"/>
          <w:sz w:val="19"/>
          <w:szCs w:val="19"/>
        </w:rPr>
        <w:t xml:space="preserve">L</w:t>
      </w:r>
      <w:r>
        <w:rPr>
          <w:rFonts w:ascii="Times New Roman" w:cs="Times New Roman" w:eastAsia="Times New Roman" w:hAnsi="Times New Roman"/>
          <w:sz w:val="19"/>
          <w:szCs w:val="19"/>
        </w:rPr>
        <w:t xml:space="preserv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w:t>
      </w:r>
      <w:r>
        <w:rPr>
          <w:rFonts w:ascii="Times New Roman" w:cs="Times New Roman" w:eastAsia="Times New Roman" w:hAnsi="Times New Roman"/>
          <w:sz w:val="19"/>
          <w:szCs w:val="19"/>
        </w:rPr>
        <w:t xml:space="preserve">,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7.1. Algorithm 7.1 establishes whether an individual participant possesses a valid identity and sufficient authority, whereas Algorithm 8.1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(8.4).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(8.4)</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(8.5) holds for a consent that has a token identifier and has not been revoked, whereas Equation (8.6)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(8.5)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(8.6)</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(8.1)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 </w:t>
      </w:r>
      <w:r>
        <w:rPr>
          <w:rFonts w:ascii="Times New Roman" w:cs="Times New Roman" w:eastAsia="Times New Roman" w:hAnsi="Times New Roman"/>
          <w:sz w:val="22"/>
          <w:szCs w:val="22"/>
        </w:rPr>
        <w:t xml:space="preserve">The next section presents the solution for RO4, which checks the purpose and the data scope of each request.</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w:t>
      </w:r>
      <w:r>
        <w:rPr>
          <w:rFonts w:ascii="Times New Roman" w:cs="Times New Roman" w:eastAsia="Times New Roman" w:hAnsi="Times New Roman"/>
          <w:sz w:val="22"/>
          <w:szCs w:val="22"/>
        </w:rPr>
        <w:t xml:space="preserve">Section 9.1 defines the scope and policy conditions, Section 9.2 shows the policy-aware access workflow, Section 9.3 gives the decision algorithm, Section 9.4 qualifies what the prototype checks, and Section 9.5 states the outcome of RO4.</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(9.1)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(9.1)</w:t>
      </w:r>
    </w:p>
    <w:p>
      <w:pPr>
        <w:spacing w:after="110" w:line="264"/>
        <w:jc w:val="both"/>
      </w:pPr>
      <w:r>
        <w:rPr>
          <w:rFonts w:ascii="Times New Roman" w:cs="Times New Roman" w:eastAsia="Times New Roman" w:hAnsi="Times New Roman"/>
          <w:sz w:val="22"/>
          <w:szCs w:val="22"/>
        </w:rPr>
        <w:t xml:space="preserve">The policy condition can therefore be expressed as Equation (9.2)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(9.2)</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w:t>
      </w:r>
      <w:r>
        <w:rPr>
          <w:rFonts w:ascii="Times New Roman" w:cs="Times New Roman" w:eastAsia="Times New Roman" w:hAnsi="Times New Roman"/>
          <w:sz w:val="22"/>
          <w:szCs w:val="22"/>
        </w:rPr>
        <w:t xml:space="preserve">the five verification predicates in Equation (9.3)</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w:t>
      </w:r>
      <w:r>
        <w:rPr>
          <w:rFonts w:ascii="Times New Roman" w:cs="Times New Roman" w:eastAsia="Times New Roman" w:hAnsi="Times New Roman"/>
          <w:sz w:val="22"/>
          <w:szCs w:val="22"/>
        </w:rPr>
        <w:t xml:space="preserve">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(9.3)</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w:t>
      </w:r>
      <w:r>
        <w:rPr>
          <w:rFonts w:ascii="Times New Roman" w:cs="Times New Roman" w:eastAsia="Times New Roman" w:hAnsi="Times New Roman"/>
          <w:sz w:val="22"/>
          <w:szCs w:val="22"/>
        </w:rPr>
        <w:t xml:space="preserve">The matrix column labelled VL is the exploratory jurisdiction check V</w:t>
      </w:r>
      <w:r>
        <w:rPr>
          <w:rFonts w:ascii="Times New Roman" w:cs="Times New Roman" w:eastAsia="Times New Roman" w:hAnsi="Times New Roman"/>
          <w:sz w:val="22"/>
          <w:szCs w:val="22"/>
          <w:vertAlign w:val="subscript"/>
        </w:rPr>
        <w:t xml:space="preserve">J</w:t>
      </w:r>
      <w:r>
        <w:rPr>
          <w:rFonts w:ascii="Times New Roman" w:cs="Times New Roman" w:eastAsia="Times New Roman" w:hAnsi="Times New Roman"/>
          <w:sz w:val="22"/>
          <w:szCs w:val="22"/>
        </w:rPr>
        <w:t xml:space="preserve"> (Sections 5.2 and 9.5), whereas the lifecycle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Equation (9.3) corresponds to the requirement that the consent state be ACTIVE.</w:t>
      </w:r>
      <w:r>
        <w:rPr>
          <w:rFonts w:ascii="Times New Roman" w:cs="Times New Roman" w:eastAsia="Times New Roman" w:hAnsi="Times New Roman"/>
          <w:sz w:val="22"/>
          <w:szCs w:val="22"/>
        </w:rPr>
        <w:t xml:space="preserve"> The final decision therefore combines the decision matrix with that scope check</w:t>
      </w:r>
      <w:r>
        <w:rPr>
          <w:rFonts w:ascii="Times New Roman" w:cs="Times New Roman" w:eastAsia="Times New Roman" w:hAnsi="Times New Roman"/>
          <w:sz w:val="22"/>
          <w:szCs w:val="22"/>
        </w:rPr>
        <w:t xml:space="preserve">, with the ACTIVE-state check</w:t>
      </w:r>
      <w:r>
        <w:rPr>
          <w:rFonts w:ascii="Times New Roman" w:cs="Times New Roman" w:eastAsia="Times New Roman" w:hAnsi="Times New Roman"/>
          <w:sz w:val="22"/>
          <w:szCs w:val="22"/>
        </w:rPr>
        <w:t xml:space="preserve">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w:t>
      </w:r>
      <w:r>
        <w:rPr>
          <w:rFonts w:ascii="Times New Roman" w:cs="Times New Roman" w:eastAsia="Times New Roman" w:hAnsi="Times New Roman"/>
          <w:sz w:val="22"/>
          <w:szCs w:val="22"/>
        </w:rPr>
        <w:t xml:space="preserve">consent purpose</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the requested </w:t>
      </w:r>
      <w:r>
        <w:rPr>
          <w:rFonts w:ascii="Times New Roman" w:cs="Times New Roman" w:eastAsia="Times New Roman" w:hAnsi="Times New Roman"/>
          <w:sz w:val="22"/>
          <w:szCs w:val="22"/>
        </w:rPr>
        <w:t xml:space="preserve">data scope. The HALAH implementation provides a concrete basis for this objective. As shown in Figure 9.1,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(9.4), and a healthcare professional then requests the categories given in Equation (9.5).</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he evaluation step also applies the exploratory jurisdiction check VJ of the prototype (Section 9.5))"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he evaluation step also applies the exploratory jurisdiction check VJ of the prototype (Sectio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evaluation step also applies the exploratory jurisdiction check V</w:t>
      </w:r>
      <w:r>
        <w:rPr>
          <w:rFonts w:ascii="Times New Roman" w:cs="Times New Roman" w:eastAsia="Times New Roman" w:hAnsi="Times New Roman"/>
          <w:sz w:val="18"/>
          <w:szCs w:val="18"/>
          <w:vertAlign w:val="subscript"/>
        </w:rPr>
        <w:t xml:space="preserve">J</w:t>
      </w:r>
      <w:r>
        <w:rPr>
          <w:rFonts w:ascii="Times New Roman" w:cs="Times New Roman" w:eastAsia="Times New Roman" w:hAnsi="Times New Roman"/>
          <w:sz w:val="18"/>
          <w:szCs w:val="18"/>
        </w:rPr>
        <w:t xml:space="preserve"> of the prototype (Section 9.5)</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(9.4)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(9.5)</w:t>
      </w:r>
    </w:p>
    <w:p>
      <w:pPr>
        <w:spacing w:after="110" w:line="264"/>
        <w:jc w:val="both"/>
      </w:pPr>
      <w:r>
        <w:rPr>
          <w:rFonts w:ascii="Times New Roman" w:cs="Times New Roman" w:eastAsia="Times New Roman" w:hAnsi="Times New Roman"/>
          <w:sz w:val="22"/>
          <w:szCs w:val="22"/>
        </w:rPr>
        <w:t xml:space="preserve">In this case, Equation (9.6)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w:t>
      </w:r>
      <w:r>
        <w:rPr>
          <w:rFonts w:ascii="Times New Roman" w:cs="Times New Roman" w:eastAsia="Times New Roman" w:hAnsi="Times New Roman"/>
          <w:sz w:val="22"/>
          <w:szCs w:val="22"/>
        </w:rPr>
        <w:t xml:space="preserve">Authorisation to access one category of healthcare information does not imply authorisation to access all categories</w:t>
      </w:r>
      <w:r>
        <w:rPr>
          <w:rFonts w:ascii="Times New Roman" w:cs="Times New Roman" w:eastAsia="Times New Roman" w:hAnsi="Times New Roman"/>
          <w:sz w:val="22"/>
          <w:szCs w:val="22"/>
        </w:rPr>
        <w:t xml:space="preserve">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(9.6)</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9.1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9.1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w:t>
      </w:r>
      <w:r>
        <w:rPr>
          <w:rFonts w:ascii="Times New Roman" w:cs="Times New Roman" w:eastAsia="Times New Roman" w:hAnsi="Times New Roman"/>
          <w:sz w:val="19"/>
          <w:szCs w:val="19"/>
        </w:rPr>
        <w:t xml:space="preserve">the consent lifecycle state, V</w:t>
      </w:r>
      <w:r>
        <w:rPr>
          <w:rFonts w:ascii="Times New Roman" w:cs="Times New Roman" w:eastAsia="Times New Roman" w:hAnsi="Times New Roman"/>
          <w:sz w:val="19"/>
          <w:szCs w:val="19"/>
          <w:vertAlign w:val="subscript"/>
        </w:rPr>
        <w:t xml:space="preserve">L</w:t>
      </w:r>
      <w:r>
        <w:rPr>
          <w:rFonts w:ascii="Times New Roman" w:cs="Times New Roman" w:eastAsia="Times New Roman" w:hAnsi="Times New Roman"/>
          <w:sz w:val="19"/>
          <w:szCs w:val="19"/>
        </w:rPr>
        <w:t xml:space="preserve">(C)</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exploratory jurisdiction check V</w:t>
      </w:r>
      <w:r>
        <w:rPr>
          <w:rFonts w:ascii="Times New Roman" w:cs="Times New Roman" w:eastAsia="Times New Roman" w:hAnsi="Times New Roman"/>
          <w:sz w:val="19"/>
          <w:szCs w:val="19"/>
          <w:vertAlign w:val="subscript"/>
        </w:rPr>
        <w:t xml:space="preserve">J</w:t>
      </w:r>
      <w:r>
        <w:rPr>
          <w:rFonts w:ascii="Times New Roman" w:cs="Times New Roman" w:eastAsia="Times New Roman" w:hAnsi="Times New Roman"/>
          <w:sz w:val="19"/>
          <w:szCs w:val="19"/>
        </w:rPr>
        <w:t xml:space="preserve"> of the prototype (Section 9.5)</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w:t>
      </w:r>
      <w:r>
        <w:rPr>
          <w:rFonts w:ascii="Times New Roman" w:cs="Times New Roman" w:eastAsia="Times New Roman" w:hAnsi="Times New Roman"/>
          <w:sz w:val="19"/>
          <w:szCs w:val="19"/>
        </w:rPr>
        <w:t xml:space="preserve">after the decision matrix has been evaluated, and the decision combines the two</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w:t>
      </w:r>
      <w:r>
        <w:rPr>
          <w:rFonts w:ascii="Times New Roman" w:cs="Times New Roman" w:eastAsia="Times New Roman" w:hAnsi="Times New Roman"/>
          <w:sz w:val="22"/>
          <w:szCs w:val="22"/>
        </w:rPr>
        <w:t xml:space="preserve">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w:t>
      </w:r>
      <w:r>
        <w:rPr>
          <w:rFonts w:ascii="Times New Roman" w:cs="Times New Roman" w:eastAsia="Times New Roman" w:hAnsi="Times New Roman"/>
          <w:sz w:val="22"/>
          <w:szCs w:val="22"/>
        </w:rPr>
        <w:t xml:space="preserve">and temporal validity</w:t>
      </w:r>
      <w:r>
        <w:rPr>
          <w:rFonts w:ascii="Times New Roman" w:cs="Times New Roman" w:eastAsia="Times New Roman" w:hAnsi="Times New Roman"/>
          <w:sz w:val="22"/>
          <w:szCs w:val="22"/>
        </w:rPr>
        <w:t xml:space="preserve">.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w:t>
      </w:r>
      <w:r>
        <w:rPr>
          <w:rFonts w:ascii="Times New Roman" w:cs="Times New Roman" w:eastAsia="Times New Roman" w:hAnsi="Times New Roman"/>
          <w:sz w:val="22"/>
          <w:szCs w:val="22"/>
        </w:rPr>
        <w:t xml:space="preserve">after the decision matrix has been evaluated, and the decision combines the two</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circuit is written in circom </w:t>
      </w:r>
      <w:r>
        <w:rPr>
          <w:rFonts w:ascii="Times New Roman" w:cs="Times New Roman" w:eastAsia="Times New Roman" w:hAnsi="Times New Roman"/>
          <w:sz w:val="22"/>
          <w:szCs w:val="22"/>
          <w:highlight w:val="yellow"/>
        </w:rPr>
        <w:t xml:space="preserve">(iden3 2026b)</w:t>
      </w:r>
      <w:r>
        <w:rPr>
          <w:rFonts w:ascii="Times New Roman" w:cs="Times New Roman" w:eastAsia="Times New Roman" w:hAnsi="Times New Roman"/>
          <w:sz w:val="22"/>
          <w:szCs w:val="22"/>
        </w:rPr>
        <w:t xml:space="preserve">, and the proof is generated and verified with snarkjs </w:t>
      </w:r>
      <w:r>
        <w:rPr>
          <w:rFonts w:ascii="Times New Roman" w:cs="Times New Roman" w:eastAsia="Times New Roman" w:hAnsi="Times New Roman"/>
          <w:sz w:val="22"/>
          <w:szCs w:val="22"/>
          <w:highlight w:val="yellow"/>
        </w:rPr>
        <w:t xml:space="preserve">(iden3 2026a)</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w:t>
      </w:r>
      <w:r>
        <w:rPr>
          <w:rFonts w:ascii="Times New Roman" w:cs="Times New Roman" w:eastAsia="Times New Roman" w:hAnsi="Times New Roman"/>
          <w:sz w:val="22"/>
          <w:szCs w:val="22"/>
          <w:highlight w:val="yellow"/>
        </w:rPr>
        <w:t xml:space="preserve">(Grassi et al. 2021)</w:t>
      </w:r>
      <w:r>
        <w:rPr>
          <w:rFonts w:ascii="Times New Roman" w:cs="Times New Roman" w:eastAsia="Times New Roman" w:hAnsi="Times New Roman"/>
          <w:sz w:val="22"/>
          <w:szCs w:val="22"/>
        </w:rPr>
        <w:t xml:space="preserve">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9.1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w:t>
      </w: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w:t>
      </w:r>
      <w:r>
        <w:rPr>
          <w:rFonts w:ascii="Times New Roman" w:cs="Times New Roman" w:eastAsia="Times New Roman" w:hAnsi="Times New Roman"/>
          <w:sz w:val="22"/>
          <w:szCs w:val="22"/>
        </w:rPr>
        <w:t xml:space="preserve">Malformed guardian identifiers and empty scopes therefore do not reach the decision logic, whereas the doctor DID is checked for DID format only when the access decision is evaluated.</w:t>
      </w:r>
      <w:r>
        <w:rPr>
          <w:rFonts w:ascii="Times New Roman" w:cs="Times New Roman" w:eastAsia="Times New Roman" w:hAnsi="Times New Roman"/>
          <w:sz w:val="22"/>
          <w:szCs w:val="22"/>
        </w:rPr>
        <w:t xml:space="preserve">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9.1 therefore acts as the final policy-enforcement layer of the proposed authorisation lifecycle. Algorithm 6.1 establishes the consent constraints, Algorithm 7.1 establishes trustworthy identity and authority evidence, and Algorithm 8.1 establishes collective authorisation evidence. Algorithm 9.1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w:t>
      </w:r>
      <w:r>
        <w:rPr>
          <w:rFonts w:ascii="Times New Roman" w:cs="Times New Roman" w:eastAsia="Times New Roman" w:hAnsi="Times New Roman"/>
          <w:sz w:val="22"/>
          <w:szCs w:val="22"/>
        </w:rPr>
        <w:t xml:space="preserve">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and other regulatory constraints. Jurisdiction J is one such condition and is left for the next stage, with the predicate V</w:t>
      </w:r>
      <w:r>
        <w:rPr>
          <w:rFonts w:ascii="Times New Roman" w:cs="Times New Roman" w:eastAsia="Times New Roman" w:hAnsi="Times New Roman"/>
          <w:sz w:val="22"/>
          <w:szCs w:val="22"/>
          <w:vertAlign w:val="subscript"/>
        </w:rPr>
        <w:t xml:space="preserve">J</w:t>
      </w:r>
      <w:r>
        <w:rPr>
          <w:rFonts w:ascii="Times New Roman" w:cs="Times New Roman" w:eastAsia="Times New Roman" w:hAnsi="Times New Roman"/>
          <w:sz w:val="22"/>
          <w:szCs w:val="22"/>
        </w:rPr>
        <w:t xml:space="preserve">(C, R) = 1 ⟺ Jur(R) = Jur(C). The current prototype already includes an exploratory version of this check, which its interface labels VL and which Section 11 uses in one refused request.</w:t>
      </w:r>
      <w:r>
        <w:rPr>
          <w:rFonts w:ascii="Times New Roman" w:cs="Times New Roman" w:eastAsia="Times New Roman" w:hAnsi="Times New Roman"/>
          <w:sz w:val="22"/>
          <w:szCs w:val="22"/>
        </w:rPr>
        <w:t xml:space="preserve"> Section 11 demonstrates on the live system that a request is permitted only when the requested data scope is contained within the authorised scope. </w:t>
      </w:r>
      <w:r>
        <w:rPr>
          <w:rFonts w:ascii="Times New Roman" w:cs="Times New Roman" w:eastAsia="Times New Roman" w:hAnsi="Times New Roman"/>
          <w:sz w:val="22"/>
          <w:szCs w:val="22"/>
        </w:rPr>
        <w:t xml:space="preserve">The next section presents the solution for RO5, which keeps a consent valid only within its time interval and lifecycle state.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 </w:t>
      </w:r>
      <w:r>
        <w:rPr>
          <w:rFonts w:ascii="Times New Roman" w:cs="Times New Roman" w:eastAsia="Times New Roman" w:hAnsi="Times New Roman"/>
          <w:sz w:val="22"/>
          <w:szCs w:val="22"/>
        </w:rPr>
        <w:t xml:space="preserve">Section 10.1 defines the temporal and </w:t>
      </w:r>
      <w:r>
        <w:rPr>
          <w:rFonts w:ascii="Times New Roman" w:cs="Times New Roman" w:eastAsia="Times New Roman" w:hAnsi="Times New Roman"/>
          <w:sz w:val="22"/>
          <w:szCs w:val="22"/>
        </w:rPr>
        <w:t xml:space="preserve">lifecycle</w:t>
      </w:r>
      <w:r>
        <w:rPr>
          <w:rFonts w:ascii="Times New Roman" w:cs="Times New Roman" w:eastAsia="Times New Roman" w:hAnsi="Times New Roman"/>
          <w:sz w:val="22"/>
          <w:szCs w:val="22"/>
        </w:rPr>
        <w:t xml:space="preserve"> conditions, Section 10.2 describes the controls that are already implemented, and Section 10.3 sets out the remaining work and the expected outcome.</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and Lifecycle</w:t>
      </w:r>
      <w:r>
        <w:rPr>
          <w:rFonts w:ascii="Times New Roman" w:cs="Times New Roman" w:eastAsia="Times New Roman" w:hAnsi="Times New Roman"/>
          <w:b/>
          <w:bCs/>
          <w:sz w:val="26"/>
          <w:szCs w:val="26"/>
        </w:rPr>
        <w:t xml:space="preserve"> Trust Conditions</w:t>
      </w:r>
    </w:p>
    <w:p>
      <w:pPr>
        <w:spacing w:after="110" w:line="264"/>
        <w:jc w:val="both"/>
      </w:pPr>
      <w:r>
        <w:rPr>
          <w:rFonts w:ascii="Times New Roman" w:cs="Times New Roman" w:eastAsia="Times New Roman" w:hAnsi="Times New Roman"/>
          <w:sz w:val="22"/>
          <w:szCs w:val="22"/>
        </w:rPr>
        <w:t xml:space="preserve"> A consent that is valid at one point in time cannot necessarily be assumed to remain valid indefinitely. The system compares the current time t with the consent validity interval, and Equation (10.1)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(10.1)</w:t>
      </w:r>
    </w:p>
    <w:p>
      <w:pPr>
        <w:spacing w:after="110" w:line="264"/>
        <w:jc w:val="both"/>
      </w:pPr>
      <w:r>
        <w:rPr>
          <w:rFonts w:ascii="Times New Roman" w:cs="Times New Roman" w:eastAsia="Times New Roman" w:hAnsi="Times New Roman"/>
          <w:sz w:val="22"/>
          <w:szCs w:val="22"/>
        </w:rPr>
        <w:t xml:space="preserve">Temporal validity must also be evaluated together with the lifecycle state of the consent. The lifecycle can be represented as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Specification → Verification → Approval → Active → Expiration/Revocation.</w:t>
      </w:r>
      <w:r>
        <w:rPr>
          <w:rFonts w:ascii="Times New Roman" w:cs="Times New Roman" w:eastAsia="Times New Roman" w:hAnsi="Times New Roman"/>
          <w:sz w:val="22"/>
          <w:szCs w:val="22"/>
        </w:rPr>
        <w:t xml:space="preserve">	(10.2)</w:t>
      </w:r>
    </w:p>
    <w:p>
      <w:pPr>
        <w:spacing w:after="110" w:line="264"/>
        <w:jc w:val="both"/>
      </w:pPr>
      <w:r>
        <w:rPr>
          <w:rFonts w:ascii="Times New Roman" w:cs="Times New Roman" w:eastAsia="Times New Roman" w:hAnsi="Times New Roman"/>
          <w:sz w:val="22"/>
          <w:szCs w:val="22"/>
        </w:rPr>
        <w:t xml:space="preserve">Typical lifecycle states may include CREATED, PENDING, ACTIVE, SUSPENDED, REVOKED, and EXPIRED, depending on the system configuration. The current state is used to determine whether the requested operation q can legally and logically be performed. Different operations may be permitted only in specific lifecycle states. For example, activation may require a consent to be in a pending state, while data access may require the consent to be active. The state transition condition can be represented as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State(C) ⊨ q.</w:t>
      </w:r>
      <w:r>
        <w:rPr>
          <w:rFonts w:ascii="Times New Roman" w:cs="Times New Roman" w:eastAsia="Times New Roman" w:hAnsi="Times New Roman"/>
          <w:sz w:val="22"/>
          <w:szCs w:val="22"/>
        </w:rPr>
        <w:t xml:space="preserve">	(10.3)</w:t>
      </w:r>
    </w:p>
    <w:p>
      <w:pPr>
        <w:spacing w:after="110" w:line="264"/>
        <w:jc w:val="both"/>
      </w:pPr>
      <w:r>
        <w:rPr>
          <w:rFonts w:ascii="Times New Roman" w:cs="Times New Roman" w:eastAsia="Times New Roman" w:hAnsi="Times New Roman"/>
          <w:sz w:val="22"/>
          <w:szCs w:val="22"/>
        </w:rPr>
        <w:t xml:space="preserve">If the consent is temporally valid, in an appropriate lifecycle state, and has not been revoked, the system validates the requested transition q. The transition is evaluated against the predefined lifecycle-transition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State(C) →</w:t>
      </w:r>
      <w:r>
        <w:rPr>
          <w:rFonts w:ascii="Cambria Math" w:cs="Cambria Math" w:eastAsia="Cambria Math" w:hAnsi="Cambria Math"/>
          <w:i w:val="false"/>
          <w:iCs w:val="false"/>
          <w:sz w:val="21"/>
          <w:szCs w:val="21"/>
          <w:vertAlign w:val="superscript"/>
        </w:rPr>
        <w:t xml:space="preserve">q</w:t>
      </w:r>
      <w:r>
        <w:rPr>
          <w:rFonts w:ascii="Cambria Math" w:cs="Cambria Math" w:eastAsia="Cambria Math" w:hAnsi="Cambria Math"/>
          <w:i w:val="false"/>
          <w:iCs w:val="false"/>
          <w:sz w:val="21"/>
          <w:szCs w:val="21"/>
        </w:rPr>
        <w:t xml:space="preserve"> State′(C).</w:t>
      </w:r>
      <w:r>
        <w:rPr>
          <w:rFonts w:ascii="Times New Roman" w:cs="Times New Roman" w:eastAsia="Times New Roman" w:hAnsi="Times New Roman"/>
          <w:sz w:val="22"/>
          <w:szCs w:val="22"/>
        </w:rPr>
        <w:t xml:space="preserve">	(10.4)</w:t>
      </w:r>
    </w:p>
    <w:p>
      <w:pPr>
        <w:spacing w:after="110" w:line="264"/>
        <w:jc w:val="both"/>
      </w:pPr>
      <w:r>
        <w:rPr>
          <w:rFonts w:ascii="Times New Roman" w:cs="Times New Roman" w:eastAsia="Times New Roman" w:hAnsi="Times New Roman"/>
          <w:sz w:val="22"/>
          <w:szCs w:val="22"/>
        </w:rPr>
        <w:t xml:space="preserve">The transition is valid only when q is explicitly permitted from the current state. The lifecycle validity predicate can therefore be represented as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 ValidState(C) ∧ ValidTransition(C).</w:t>
      </w:r>
      <w:r>
        <w:rPr>
          <w:rFonts w:ascii="Times New Roman" w:cs="Times New Roman" w:eastAsia="Times New Roman" w:hAnsi="Times New Roman"/>
          <w:sz w:val="22"/>
          <w:szCs w:val="22"/>
        </w:rPr>
        <w:t xml:space="preserve">	(10.5)</w:t>
      </w:r>
    </w:p>
    <w:p>
      <w:pPr>
        <w:spacing w:after="110" w:line="264"/>
        <w:jc w:val="both"/>
      </w:pPr>
      <w:r>
        <w:rPr>
          <w:rFonts w:ascii="Times New Roman" w:cs="Times New Roman" w:eastAsia="Times New Roman" w:hAnsi="Times New Roman"/>
          <w:sz w:val="22"/>
          <w:szCs w:val="22"/>
        </w:rPr>
        <w:t xml:space="preserve">An authorisation decision consequently requires both temporal and lifecycle validity. </w:t>
      </w:r>
      <w:r>
        <w:rPr>
          <w:rFonts w:ascii="Times New Roman" w:cs="Times New Roman" w:eastAsia="Times New Roman" w:hAnsi="Times New Roman"/>
          <w:sz w:val="22"/>
          <w:szCs w:val="22"/>
        </w:rPr>
        <w:t xml:space="preserve">A consent that has expired, has been revoked, or has entered an invalid state must not be treated as an active authorisation even when its original identity, authority, and approval conditions were valid.</w:t>
      </w:r>
      <w:r>
        <w:rPr>
          <w:rFonts w:ascii="Times New Roman" w:cs="Times New Roman" w:eastAsia="Times New Roman" w:hAnsi="Times New Roman"/>
          <w:sz w:val="22"/>
          <w:szCs w:val="22"/>
        </w:rPr>
        <w:t xml:space="preserve"> The extended authorisation decision is therefore given by Equation (10.6). A valid authorisation decision requires the simultaneous satisfaction of all relevant trust conditions. Consequently, failure of any individual condition results in denial. </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w:t>
      </w:r>
      <w:r>
        <w:rPr>
          <w:rFonts w:ascii="Cambria Math" w:cs="Cambria Math" w:eastAsia="Cambria Math" w:hAnsi="Cambria Math"/>
          <w:i w:val="false"/>
          <w:iCs w:val="false"/>
          <w:sz w:val="18"/>
          <w:szCs w:val="18"/>
        </w:rPr>
        <w:t xml:space="preserve">.</w:t>
      </w:r>
      <w:r>
        <w:rPr>
          <w:rFonts w:ascii="Times New Roman" w:cs="Times New Roman" w:eastAsia="Times New Roman" w:hAnsi="Times New Roman"/>
          <w:sz w:val="22"/>
          <w:szCs w:val="22"/>
        </w:rPr>
        <w:t xml:space="preserve">	(10.6)</w:t>
      </w:r>
    </w:p>
    <w:p>
      <w:pPr>
        <w:spacing w:after="110" w:line="264"/>
        <w:jc w:val="both"/>
      </w:pPr>
      <w:r>
        <w:rPr>
          <w:rFonts w:ascii="Times New Roman" w:cs="Times New Roman" w:eastAsia="Times New Roman" w:hAnsi="Times New Roman"/>
          <w:sz w:val="22"/>
          <w:szCs w:val="22"/>
        </w:rPr>
        <w:t xml:space="preserve">Authorisation is not permanent. A consent that was valid when approved can later become invalid through expiration or revocation. RO5 is therefore more than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10.1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derives the lifecycle state from the application record and also checks the revocation flag and the token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3714750" cy="533400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147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10.1: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In the current prototype,</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w:t>
      </w:r>
      <w:r>
        <w:rPr>
          <w:rFonts w:ascii="Times New Roman" w:cs="Times New Roman" w:eastAsia="Times New Roman" w:hAnsi="Times New Roman"/>
          <w:sz w:val="22"/>
          <w:szCs w:val="22"/>
        </w:rPr>
        <w:t xml:space="preserve">. PENDING_SIGNATURE and PENDING_TOKEN refine the PENDING state of Section 10.1, a new consent enters PENDING_SIGNATURE directly rather than a separate CREATED state, NOT_STARTED marks an approved consent whose validity interval has not yet begun, and the SUSPENDED state is not yet implemented.</w:t>
      </w:r>
      <w:r>
        <w:rPr>
          <w:rFonts w:ascii="Times New Roman" w:cs="Times New Roman" w:eastAsia="Times New Roman" w:hAnsi="Times New Roman"/>
          <w:sz w:val="22"/>
          <w:szCs w:val="22"/>
        </w:rPr>
        <w:t xml:space="preserve">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PENDING_TOKEN is the brief state between the last verified approval and the recording of the local token identifier</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implementation performs the two in one step, which is why Algorithm 8.1 and Figure 8.1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w:t>
      </w:r>
    </w:p>
    <w:p>
      <w:pPr>
        <w:spacing w:after="110" w:line="264"/>
        <w:jc w:val="both"/>
      </w:pPr>
      <w:r>
        <w:rPr>
          <w:rFonts w:ascii="Times New Roman" w:cs="Times New Roman" w:eastAsia="Times New Roman" w:hAnsi="Times New Roman"/>
          <w:sz w:val="22"/>
          <w:szCs w:val="22"/>
        </w:rPr>
        <w:t xml:space="preserve">Figure 10.2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w:t>
      </w:r>
      <w:r>
        <w:rPr>
          <w:rFonts w:ascii="Times New Roman" w:cs="Times New Roman" w:eastAsia="Times New Roman" w:hAnsi="Times New Roman"/>
          <w:sz w:val="22"/>
          <w:szCs w:val="22"/>
        </w:rPr>
        <w:t xml:space="preserve">The system therefore checks whether authorisation is still valid at the time an operation is requested, instead of treating authorisation as a one-time event.</w:t>
      </w:r>
      <w:r>
        <w:rPr>
          <w:rFonts w:ascii="Times New Roman" w:cs="Times New Roman" w:eastAsia="Times New Roman" w:hAnsi="Times New Roman"/>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10.2: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w:t>
      </w:r>
      <w:r>
        <w:rPr>
          <w:rFonts w:ascii="Times New Roman" w:cs="Times New Roman" w:eastAsia="Times New Roman" w:hAnsi="Times New Roman"/>
          <w:sz w:val="22"/>
          <w:szCs w:val="22"/>
        </w:rPr>
        <w:t xml:space="preserve">, including the SUSPENDED state</w:t>
      </w:r>
      <w:r>
        <w:rPr>
          <w:rFonts w:ascii="Times New Roman" w:cs="Times New Roman" w:eastAsia="Times New Roman" w:hAnsi="Times New Roman"/>
          <w:sz w:val="22"/>
          <w:szCs w:val="22"/>
        </w:rPr>
        <w:t xml:space="preserve">.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z w:val="22"/>
          <w:szCs w:val="22"/>
        </w:rPr>
        <w:t xml:space="preserve"> The main activities of the next stage</w:t>
      </w:r>
      <w:r>
        <w:rPr>
          <w:rFonts w:ascii="Times New Roman" w:cs="Times New Roman" w:eastAsia="Times New Roman" w:hAnsi="Times New Roman"/>
          <w:sz w:val="22"/>
          <w:szCs w:val="22"/>
        </w:rPr>
        <w:t xml:space="preserve"> and their expected outcomes are summarised in Section 13. </w:t>
      </w:r>
      <w:r>
        <w:rPr>
          <w:rFonts w:ascii="Times New Roman" w:cs="Times New Roman" w:eastAsia="Times New Roman" w:hAnsi="Times New Roman"/>
          <w:sz w:val="22"/>
          <w:szCs w:val="22"/>
        </w:rPr>
        <w:t xml:space="preserve">The next section presents RO6, the validation of the framework on the HALAH prototype.</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Section 11.1 sets out the validation approach, Section 11.2 describes the dataset, Section 11.3 presents the HALAH prototype and the live scenarios, Section 11.4 reports the measured results, Section 11.5 reports the unit-level adversarial tests, and Section 11.6 lists the remaining work.</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11.1 presents the RO6 workflow for formal security assurance and empirical validation. </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4752975" cy="533400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529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w:t>
      </w:r>
      <w:r>
        <w:rPr>
          <w:rFonts w:ascii="Times New Roman" w:cs="Times New Roman" w:eastAsia="Times New Roman" w:hAnsi="Times New Roman"/>
          <w:sz w:val="22"/>
          <w:szCs w:val="22"/>
        </w:rPr>
        <w:t xml:space="preserve">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(11.1)</w:t>
      </w:r>
    </w:p>
    <w:p>
      <w:pPr>
        <w:spacing w:after="110" w:line="264"/>
        <w:jc w:val="both"/>
      </w:pPr>
      <w:r>
        <w:rPr>
          <w:rFonts w:ascii="Times New Roman" w:cs="Times New Roman" w:eastAsia="Times New Roman" w:hAnsi="Times New Roman"/>
          <w:sz w:val="22"/>
          <w:szCs w:val="22"/>
        </w:rPr>
        <w:t xml:space="preserve">Equivalently, Equation (11.2), the contrapositive of Equation (11.1), states that if any mandatory condition is violated, the request must be denied. Equation (11.1) is therefore examined through the granted requests and Equation (11.2)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z w:val="22"/>
          <w:szCs w:val="22"/>
        </w:rPr>
        <w:t xml:space="preserve">of the five checks of the prototype decision matrix</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(11.2)</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w:t>
      </w:r>
      <w:r>
        <w:rPr>
          <w:rFonts w:ascii="Times New Roman" w:cs="Times New Roman" w:eastAsia="Times New Roman" w:hAnsi="Times New Roman"/>
          <w:sz w:val="22"/>
          <w:szCs w:val="22"/>
        </w:rPr>
        <w:t xml:space="preserve">Its 23 functional and regression tests check that each of </w:t>
      </w:r>
      <w:r>
        <w:rPr>
          <w:rFonts w:ascii="Times New Roman" w:cs="Times New Roman" w:eastAsia="Times New Roman" w:hAnsi="Times New Roman"/>
          <w:sz w:val="22"/>
          <w:szCs w:val="22"/>
        </w:rPr>
        <w:t xml:space="preserve">these five checks</w:t>
      </w:r>
      <w:r>
        <w:rPr>
          <w:rFonts w:ascii="Times New Roman" w:cs="Times New Roman" w:eastAsia="Times New Roman" w:hAnsi="Times New Roman"/>
          <w:sz w:val="22"/>
          <w:szCs w:val="22"/>
        </w:rPr>
        <w:t xml:space="preserve"> can refuse a request on its own: an invalid guardian signature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a revoked consent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 purpose that is not a supported healthcare use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an expired consent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a jurisdiction mismatch </w:t>
      </w:r>
      <w:r>
        <w:rPr>
          <w:rFonts w:ascii="Times New Roman" w:cs="Times New Roman" w:eastAsia="Times New Roman" w:hAnsi="Times New Roman"/>
          <w:sz w:val="22"/>
          <w:szCs w:val="22"/>
        </w:rPr>
        <w:t xml:space="preserve">(the exploratory check V</w:t>
      </w:r>
      <w:r>
        <w:rPr>
          <w:rFonts w:ascii="Times New Roman" w:cs="Times New Roman" w:eastAsia="Times New Roman" w:hAnsi="Times New Roman"/>
          <w:sz w:val="22"/>
          <w:szCs w:val="22"/>
          <w:vertAlign w:val="subscript"/>
        </w:rPr>
        <w:t xml:space="preserve">J</w:t>
      </w:r>
      <w:r>
        <w:rPr>
          <w:rFonts w:ascii="Times New Roman" w:cs="Times New Roman" w:eastAsia="Times New Roman" w:hAnsi="Times New Roman"/>
          <w:sz w:val="22"/>
          <w:szCs w:val="22"/>
        </w:rPr>
        <w:t xml:space="preserve">, labelled VL in the prototype)</w:t>
      </w:r>
      <w:r>
        <w:rPr>
          <w:rFonts w:ascii="Times New Roman" w:cs="Times New Roman" w:eastAsia="Times New Roman" w:hAnsi="Times New Roman"/>
          <w:sz w:val="22"/>
          <w:szCs w:val="22"/>
        </w:rPr>
        <w:t xml:space="preserve">. They also check that a new consent starts as PENDING_SIGNATURE and is ACTIVE once both guardians have signed and the token is recorded. A tampered proof fails verification, and no proof can be produced for an expired consent. Consents, revocations and audit events persist after a reload. The 13 adversarial tests cover a baseline and twelve attack scenarios. Among them, an approval from outside G and a repeated approval leave the consent short of the threshold, and an over-scope or empty request is refused.</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Dataset Used for Validation</w:t>
      </w:r>
    </w:p>
    <w:p>
      <w:pPr>
        <w:spacing w:after="110" w:line="264"/>
        <w:jc w:val="both"/>
      </w:pPr>
      <w:r>
        <w:rPr>
          <w:rFonts w:ascii="Times New Roman" w:cs="Times New Roman" w:eastAsia="Times New Roman" w:hAnsi="Times New Roman"/>
          <w:sz w:val="22"/>
          <w:szCs w:val="22"/>
        </w:rPr>
        <w:t xml:space="preserve">The prototype uses synthetic patient records from the Synthea 1K sample </w:t>
      </w:r>
      <w:r>
        <w:rPr>
          <w:rFonts w:ascii="Times New Roman" w:cs="Times New Roman" w:eastAsia="Times New Roman" w:hAnsi="Times New Roman"/>
          <w:sz w:val="22"/>
          <w:szCs w:val="22"/>
          <w:highlight w:val="yellow"/>
        </w:rPr>
        <w:t xml:space="preserve">(Walonoski et al. 2018)</w:t>
      </w:r>
      <w:r>
        <w:rPr>
          <w:rFonts w:ascii="Times New Roman" w:cs="Times New Roman" w:eastAsia="Times New Roman" w:hAnsi="Times New Roman"/>
          <w:sz w:val="22"/>
          <w:szCs w:val="22"/>
        </w:rPr>
        <w:t xml:space="preserve">, taken from synthea.mitre.org in its CSV export rather than its FHIR R4 export </w:t>
      </w:r>
      <w:r>
        <w:rPr>
          <w:rFonts w:ascii="Times New Roman" w:cs="Times New Roman" w:eastAsia="Times New Roman" w:hAnsi="Times New Roman"/>
          <w:sz w:val="22"/>
          <w:szCs w:val="22"/>
          <w:highlight w:val="yellow"/>
        </w:rPr>
        <w:t xml:space="preserve">(HL7 International 2019)</w:t>
      </w:r>
      <w:r>
        <w:rPr>
          <w:rFonts w:ascii="Times New Roman" w:cs="Times New Roman" w:eastAsia="Times New Roman" w:hAnsi="Times New Roman"/>
          <w:sz w:val="22"/>
          <w:szCs w:val="22"/>
        </w:rPr>
        <w:t xml:space="preserve">.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only step is the selection of the subset loaded into the local database of the prototype.</w:t>
      </w: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w:t>
      </w:r>
      <w:r>
        <w:rPr>
          <w:rFonts w:ascii="Times New Roman" w:cs="Times New Roman" w:eastAsia="Times New Roman" w:hAnsi="Times New Roman"/>
          <w:sz w:val="22"/>
          <w:szCs w:val="22"/>
        </w:rPr>
        <w:t xml:space="preserve">consent management platform. The current system includes separate patient, guardian, doctor, and auditor interfaces</w:t>
      </w:r>
      <w:r>
        <w:rPr>
          <w:rFonts w:ascii="Times New Roman" w:cs="Times New Roman" w:eastAsia="Times New Roman" w:hAnsi="Times New Roman"/>
          <w:sz w:val="22"/>
          <w:szCs w:val="22"/>
        </w:rPr>
        <w:t xml:space="preserve">, and the role shown in an interface is declared rather than authenticated, as noted in Section 5</w:t>
      </w:r>
      <w:r>
        <w:rPr>
          <w:rFonts w:ascii="Times New Roman" w:cs="Times New Roman" w:eastAsia="Times New Roman" w:hAnsi="Times New Roman"/>
          <w:sz w:val="22"/>
          <w:szCs w:val="22"/>
        </w:rPr>
        <w:t xml:space="preserve">. It also records consent creation, guardian approval, token minting, state checks, and data-access events. Following successful threshold satisfaction, the system generates activation or token evidence associated with the authorisation decision through ConsentSBTv3</w:t>
      </w:r>
      <w:r>
        <w:rPr>
          <w:rFonts w:ascii="Times New Roman" w:cs="Times New Roman" w:eastAsia="Times New Roman" w:hAnsi="Times New Roman"/>
          <w:sz w:val="22"/>
          <w:szCs w:val="22"/>
        </w:rPr>
        <w:t xml:space="preserve">, a contract written in Solidity </w:t>
      </w:r>
      <w:r>
        <w:rPr>
          <w:rFonts w:ascii="Times New Roman" w:cs="Times New Roman" w:eastAsia="Times New Roman" w:hAnsi="Times New Roman"/>
          <w:sz w:val="22"/>
          <w:szCs w:val="22"/>
          <w:highlight w:val="yellow"/>
        </w:rPr>
        <w:t xml:space="preserve">(Ethereum Foundation 2026a)</w:t>
      </w:r>
      <w:r>
        <w:rPr>
          <w:rFonts w:ascii="Times New Roman" w:cs="Times New Roman" w:eastAsia="Times New Roman" w:hAnsi="Times New Roman"/>
          <w:sz w:val="22"/>
          <w:szCs w:val="22"/>
        </w:rPr>
        <w:t xml:space="preserve"> for the Ethereum virtual machine </w:t>
      </w:r>
      <w:r>
        <w:rPr>
          <w:rFonts w:ascii="Times New Roman" w:cs="Times New Roman" w:eastAsia="Times New Roman" w:hAnsi="Times New Roman"/>
          <w:sz w:val="22"/>
          <w:szCs w:val="22"/>
          <w:highlight w:val="yellow"/>
        </w:rPr>
        <w:t xml:space="preserve">(Wood 2014)</w:t>
      </w:r>
      <w:r>
        <w:rPr>
          <w:rFonts w:ascii="Times New Roman" w:cs="Times New Roman" w:eastAsia="Times New Roman" w:hAnsi="Times New Roman"/>
          <w:sz w:val="22"/>
          <w:szCs w:val="22"/>
        </w:rPr>
        <w:t xml:space="preserve">, compiled in Remix</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yellow"/>
        </w:rPr>
        <w:t xml:space="preserve">(Ethereum Foundation 2026c)</w:t>
      </w:r>
      <w:r>
        <w:rPr>
          <w:rFonts w:ascii="Times New Roman" w:cs="Times New Roman" w:eastAsia="Times New Roman" w:hAnsi="Times New Roman"/>
          <w:sz w:val="22"/>
          <w:szCs w:val="22"/>
        </w:rPr>
        <w:t xml:space="preserve"> and deployed </w:t>
      </w:r>
      <w:r>
        <w:rPr>
          <w:rFonts w:ascii="Times New Roman" w:cs="Times New Roman" w:eastAsia="Times New Roman" w:hAnsi="Times New Roman"/>
          <w:sz w:val="22"/>
          <w:szCs w:val="22"/>
        </w:rPr>
        <w:t xml:space="preserve">on the Sepolia testnet </w:t>
      </w:r>
      <w:r>
        <w:rPr>
          <w:rFonts w:ascii="Times New Roman" w:cs="Times New Roman" w:eastAsia="Times New Roman" w:hAnsi="Times New Roman"/>
          <w:sz w:val="22"/>
          <w:szCs w:val="22"/>
          <w:highlight w:val="yellow"/>
        </w:rPr>
        <w:t xml:space="preserve">(Ethereum Foundation 2026b)</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via MetaMask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yellow"/>
        </w:rPr>
        <w:t xml:space="preserve">(Consensys 2026)</w:t>
      </w:r>
      <w:r>
        <w:rPr>
          <w:rFonts w:ascii="Times New Roman" w:cs="Times New Roman" w:eastAsia="Times New Roman" w:hAnsi="Times New Roman"/>
          <w:sz w:val="22"/>
          <w:szCs w:val="22"/>
        </w:rPr>
        <w:t xml:space="preserve">.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w:t>
      </w:r>
      <w:r>
        <w:rPr>
          <w:rFonts w:ascii="Times New Roman" w:cs="Times New Roman" w:eastAsia="Times New Roman" w:hAnsi="Times New Roman"/>
          <w:sz w:val="22"/>
          <w:szCs w:val="22"/>
          <w:highlight w:val="yellow"/>
        </w:rPr>
        <w:t xml:space="preserve">(Entriken et al. 2018)</w:t>
      </w:r>
      <w:r>
        <w:rPr>
          <w:rFonts w:ascii="Times New Roman" w:cs="Times New Roman" w:eastAsia="Times New Roman" w:hAnsi="Times New Roman"/>
          <w:sz w:val="22"/>
          <w:szCs w:val="22"/>
        </w:rPr>
        <w:t xml:space="preserve"> that follows ERC-5484 </w:t>
      </w:r>
      <w:r>
        <w:rPr>
          <w:rFonts w:ascii="Times New Roman" w:cs="Times New Roman" w:eastAsia="Times New Roman" w:hAnsi="Times New Roman"/>
          <w:sz w:val="22"/>
          <w:szCs w:val="22"/>
          <w:highlight w:val="yellow"/>
        </w:rPr>
        <w:t xml:space="preserve">(Cai 2022)</w:t>
      </w:r>
      <w:r>
        <w:rPr>
          <w:rFonts w:ascii="Times New Roman" w:cs="Times New Roman" w:eastAsia="Times New Roman" w:hAnsi="Times New Roman"/>
          <w:sz w:val="22"/>
          <w:szCs w:val="22"/>
        </w:rPr>
        <w:t xml:space="preserve">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The synthetic records that the prototype loads are described in Section 11.2.</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Figure 11.4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creation, approval, and record-display screens (Figure 11.2, Figure 11.3 and Figure 11.5)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11.2,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w:t>
      </w:r>
      <w:r>
        <w:rPr>
          <w:rFonts w:ascii="Times New Roman" w:cs="Times New Roman" w:eastAsia="Times New Roman" w:hAnsi="Times New Roman"/>
          <w:sz w:val="22"/>
          <w:szCs w:val="22"/>
        </w:rPr>
        <w:t xml:space="preserve">The consent object therefore holds the information needed for identity verification, multi-party authorisation, policy evaluation, and auditability. It is a structured authorisation artefact, not only a record of patient preference</w:t>
      </w:r>
      <w:r>
        <w:rPr>
          <w:rFonts w:ascii="Times New Roman" w:cs="Times New Roman" w:eastAsia="Times New Roman" w:hAnsi="Times New Roman"/>
          <w:sz w:val="22"/>
          <w:szCs w:val="22"/>
        </w:rPr>
        <w:t xml:space="preserve">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11.2: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11.3. </w:t>
      </w:r>
      <w:r>
        <w:rPr>
          <w:rFonts w:ascii="Times New Roman" w:cs="Times New Roman" w:eastAsia="Times New Roman" w:hAnsi="Times New Roman"/>
          <w:sz w:val="22"/>
          <w:szCs w:val="22"/>
        </w:rPr>
        <w:t xml:space="preserve">The public anchoring of the evaluated consent f050c29a in block 11,771,243 (block 11,771,581 for consent 04da25f5 in Figure 11.3)</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11.3: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11.4,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11.5,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he check labelled VL in the prototype interface is the exploratory jurisdiction check VJ)" title="Doctor subsystem for the evaluated consent f050c29a with requester jurisdiction AU: all five checks pass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11.4: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 (the check labelled VL in the prototype interface is the exploratory jurisdiction check V</w:t>
      </w:r>
      <w:r>
        <w:rPr>
          <w:rFonts w:ascii="Times New Roman" w:cs="Times New Roman" w:eastAsia="Times New Roman" w:hAnsi="Times New Roman"/>
          <w:sz w:val="18"/>
          <w:szCs w:val="18"/>
          <w:vertAlign w:val="subscript"/>
        </w:rPr>
        <w:t xml:space="preserve">J</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11.5: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w:t>
      </w:r>
      <w:r>
        <w:rPr>
          <w:rFonts w:ascii="Times New Roman" w:cs="Times New Roman" w:eastAsia="Times New Roman" w:hAnsi="Times New Roman"/>
          <w:b/>
          <w:bCs/>
          <w:sz w:val="22"/>
          <w:szCs w:val="22"/>
        </w:rPr>
        <w:t xml:space="preserve">exploratory check, supports RQ4</w:t>
      </w:r>
      <w:r>
        <w:rPr>
          <w:rFonts w:ascii="Times New Roman" w:cs="Times New Roman" w:eastAsia="Times New Roman" w:hAnsi="Times New Roman"/>
          <w:b/>
          <w:bCs/>
          <w:sz w:val="22"/>
          <w:szCs w:val="22"/>
        </w:rPr>
        <w:t xml:space="preserve">).</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w:t>
      </w:r>
      <w:r>
        <w:rPr>
          <w:rFonts w:ascii="Times New Roman" w:cs="Times New Roman" w:eastAsia="Times New Roman" w:hAnsi="Times New Roman"/>
          <w:sz w:val="22"/>
          <w:szCs w:val="22"/>
        </w:rPr>
        <w:t xml:space="preserve">the jurisdiction check passed. This check is the exploratory V</w:t>
      </w:r>
      <w:r>
        <w:rPr>
          <w:rFonts w:ascii="Times New Roman" w:cs="Times New Roman" w:eastAsia="Times New Roman" w:hAnsi="Times New Roman"/>
          <w:sz w:val="22"/>
          <w:szCs w:val="22"/>
          <w:vertAlign w:val="subscript"/>
        </w:rPr>
        <w:t xml:space="preserve">J</w:t>
      </w:r>
      <w:r>
        <w:rPr>
          <w:rFonts w:ascii="Times New Roman" w:cs="Times New Roman" w:eastAsia="Times New Roman" w:hAnsi="Times New Roman"/>
          <w:sz w:val="22"/>
          <w:szCs w:val="22"/>
        </w:rPr>
        <w:t xml:space="preserve"> of Section 9.5, which the prototype interface labels VL. Here, V</w:t>
      </w:r>
      <w:r>
        <w:rPr>
          <w:rFonts w:ascii="Times New Roman" w:cs="Times New Roman" w:eastAsia="Times New Roman" w:hAnsi="Times New Roman"/>
          <w:sz w:val="22"/>
          <w:szCs w:val="22"/>
          <w:vertAlign w:val="subscript"/>
        </w:rPr>
        <w:t xml:space="preserve">J</w:t>
      </w:r>
      <w:r>
        <w:rPr>
          <w:rFonts w:ascii="Times New Roman" w:cs="Times New Roman" w:eastAsia="Times New Roman" w:hAnsi="Times New Roman"/>
          <w:sz w:val="22"/>
          <w:szCs w:val="22"/>
        </w:rPr>
        <w:t xml:space="preserve"> = FAIL (shown as VL = FAIL in the interface)</w:t>
      </w:r>
      <w:r>
        <w:rPr>
          <w:rFonts w:ascii="Times New Roman" w:cs="Times New Roman" w:eastAsia="Times New Roman" w:hAnsi="Times New Roman"/>
          <w:sz w:val="22"/>
          <w:szCs w:val="22"/>
        </w:rPr>
        <w:t xml:space="preserve">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11.6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the jurisdiction check (VL in the prototype interface) as the failed check" title="Refused request naming the jurisdiction check (VL in the prototype interface)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11.6: </w:t>
      </w:r>
      <w:r>
        <w:rPr>
          <w:rFonts w:ascii="Times New Roman" w:cs="Times New Roman" w:eastAsia="Times New Roman" w:hAnsi="Times New Roman"/>
          <w:sz w:val="18"/>
          <w:szCs w:val="18"/>
        </w:rPr>
        <w:t xml:space="preserve">Refused request naming </w:t>
      </w:r>
      <w:r>
        <w:rPr>
          <w:rFonts w:ascii="Times New Roman" w:cs="Times New Roman" w:eastAsia="Times New Roman" w:hAnsi="Times New Roman"/>
          <w:sz w:val="18"/>
          <w:szCs w:val="18"/>
        </w:rPr>
        <w:t xml:space="preserve">the jurisdiction check (VL in the prototype interface)</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11.7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11.7: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An auditor can examine whether access occurred, whether the requester possessed a valid identity</w:t>
      </w:r>
      <w:r>
        <w:rPr>
          <w:rFonts w:ascii="Times New Roman" w:cs="Times New Roman" w:eastAsia="Times New Roman" w:hAnsi="Times New Roman"/>
          <w:sz w:val="22"/>
          <w:szCs w:val="22"/>
        </w:rPr>
        <w:t xml:space="preserve">, whether the required authorisation threshold was satisfied, whether the requested data complied with the authorised scope, and which conditions produced the final decision. As shown in Figure 11.8,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11.9.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11.8: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11.9: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11.1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w:t>
      </w:r>
      <w:r>
        <w:rPr>
          <w:rFonts w:ascii="Times New Roman" w:cs="Times New Roman" w:eastAsia="Times New Roman" w:hAnsi="Times New Roman"/>
          <w:sz w:val="22"/>
          <w:szCs w:val="22"/>
        </w:rPr>
        <w:t xml:space="preserve">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11.1: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Exploratory jurisdiction check (V</w:t>
            </w:r>
            <w:r>
              <w:rPr>
                <w:rFonts w:ascii="Times New Roman" w:cs="Times New Roman" w:eastAsia="Times New Roman" w:hAnsi="Times New Roman"/>
                <w:b w:val="false"/>
                <w:bCs w:val="false"/>
                <w:sz w:val="17"/>
                <w:szCs w:val="17"/>
                <w:vertAlign w:val="subscript"/>
              </w:rPr>
              <w:t xml:space="preserve">J</w:t>
            </w:r>
            <w:r>
              <w:rPr>
                <w:rFonts w:ascii="Times New Roman" w:cs="Times New Roman" w:eastAsia="Times New Roman" w:hAnsi="Times New Roman"/>
                <w:b w:val="false"/>
                <w:bCs w:val="false"/>
                <w:sz w:val="17"/>
                <w:szCs w:val="17"/>
              </w:rPr>
              <w:t xml:space="preserve">, prototype only)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Lifecycle / Revocation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11.2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11.2: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11.10,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11.10: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11.3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 Table 11.3 shows the proof mode of this row as not logged, because the prototype began to log it on denied requests later the same day</w:t>
      </w:r>
      <w:r>
        <w:rPr>
          <w:rFonts w:ascii="Times New Roman" w:cs="Times New Roman" w:eastAsia="Times New Roman" w:hAnsi="Times New Roman"/>
          <w:sz w:val="22"/>
          <w:szCs w:val="22"/>
        </w:rPr>
        <w:t xml:space="preserve">. In each of the six logged evaluations, the recorded audit evidence is consistent with the actual authorisation decision. </w:t>
      </w:r>
      <w:r>
        <w:rPr>
          <w:rFonts w:ascii="Times New Roman" w:cs="Times New Roman" w:eastAsia="Times New Roman" w:hAnsi="Times New Roman"/>
          <w:sz w:val="22"/>
          <w:szCs w:val="22"/>
        </w:rPr>
        <w:t xml:space="preserve">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11.3: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r>
        <w:rPr>
          <w:rFonts w:ascii="Times New Roman" w:cs="Times New Roman" w:eastAsia="Times New Roman" w:hAnsi="Times New Roman"/>
          <w:sz w:val="18"/>
          <w:szCs w:val="18"/>
        </w:rPr>
        <w:t xml:space="preserve">. V</w:t>
      </w:r>
      <w:r>
        <w:rPr>
          <w:rFonts w:ascii="Times New Roman" w:cs="Times New Roman" w:eastAsia="Times New Roman" w:hAnsi="Times New Roman"/>
          <w:sz w:val="18"/>
          <w:szCs w:val="18"/>
          <w:vertAlign w:val="subscript"/>
        </w:rPr>
        <w:t xml:space="preserve">J</w:t>
      </w:r>
      <w:r>
        <w:rPr>
          <w:rFonts w:ascii="Times New Roman" w:cs="Times New Roman" w:eastAsia="Times New Roman" w:hAnsi="Times New Roman"/>
          <w:sz w:val="18"/>
          <w:szCs w:val="18"/>
        </w:rPr>
        <w:t xml:space="preserve"> is the exploratory jurisdiction check, which the prototype logs as VL</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J</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11.4 summarises the processing time of the decision components, with the decision rule timed over 1,000 evaluations of </w:t>
      </w:r>
      <w:r>
        <w:rPr>
          <w:rFonts w:ascii="Times New Roman" w:cs="Times New Roman" w:eastAsia="Times New Roman" w:hAnsi="Times New Roman"/>
          <w:sz w:val="22"/>
          <w:szCs w:val="22"/>
        </w:rPr>
        <w:t xml:space="preserve">the five checks of the prototype decision matrix</w:t>
      </w:r>
      <w:r>
        <w:rPr>
          <w:rFonts w:ascii="Times New Roman" w:cs="Times New Roman" w:eastAsia="Times New Roman" w:hAnsi="Times New Roman"/>
          <w:sz w:val="22"/>
          <w:szCs w:val="22"/>
        </w:rPr>
        <w:t xml:space="preserve">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11.4: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11.2</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matrix checks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11.11,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w:t>
      </w:r>
      <w:r>
        <w:rPr>
          <w:rFonts w:ascii="Times New Roman" w:cs="Times New Roman" w:eastAsia="Times New Roman" w:hAnsi="Times New Roman"/>
          <w:sz w:val="22"/>
          <w:szCs w:val="22"/>
        </w:rPr>
        <w:t xml:space="preserve">Anchoring confirmation, measured over three mints and two revokes, is the slowest step. The mint is anchored in the background, so it delays neither the guardians nor the doctor, whereas the patient waits for the confirmation of a revoke.</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1.4 is not plotted, as its values are close to those of the checkValidAt read" title="Processing time of the decision components on a logarithmic axis (median and minimum to maximum). The checkValid read of Table 11.4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11.11: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11.4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z w:val="22"/>
          <w:szCs w:val="22"/>
        </w:rPr>
        <w:t xml:space="preserve">the component of C that it targets, as listed in Table 11.5</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11.5 and Figure 11.12 record whether each scenario has passed or failed. Before the hardening, three attacks, A1, A3, and A5, were accepted when the service functions were called directly. </w:t>
      </w:r>
      <w:r>
        <w:rPr>
          <w:rFonts w:ascii="Times New Roman" w:cs="Times New Roman" w:eastAsia="Times New Roman" w:hAnsi="Times New Roman"/>
          <w:sz w:val="22"/>
          <w:szCs w:val="22"/>
        </w:rPr>
        <w:t xml:space="preserve">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 </w:t>
      </w:r>
      <w:r>
        <w:rPr>
          <w:rFonts w:ascii="Times New Roman" w:cs="Times New Roman" w:eastAsia="Times New Roman" w:hAnsi="Times New Roman"/>
          <w:sz w:val="22"/>
          <w:szCs w:val="22"/>
        </w:rPr>
        <w:t xml:space="preserve">The analysis records the unsuccessful cases and classifies each one as a violation of an intended security property or as a limitation to be addressed in the next stage.</w:t>
      </w:r>
      <w:r>
        <w:rPr>
          <w:rFonts w:ascii="Times New Roman" w:cs="Times New Roman" w:eastAsia="Times New Roman" w:hAnsi="Times New Roman"/>
          <w:sz w:val="22"/>
          <w:szCs w:val="22"/>
        </w:rPr>
        <w:t xml:space="preserve">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11.5: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(V</w:t>
            </w:r>
            <w:r>
              <w:rPr>
                <w:rFonts w:ascii="Times New Roman" w:cs="Times New Roman" w:eastAsia="Times New Roman" w:hAnsi="Times New Roman"/>
                <w:b w:val="false"/>
                <w:bCs w:val="false"/>
                <w:sz w:val="17"/>
                <w:szCs w:val="17"/>
                <w:vertAlign w:val="subscript"/>
              </w:rPr>
              <w:t xml:space="preserve">J</w:t>
            </w:r>
            <w:r>
              <w:rPr>
                <w:rFonts w:ascii="Times New Roman" w:cs="Times New Roman" w:eastAsia="Times New Roman" w:hAnsi="Times New Roman"/>
                <w:b w:val="false"/>
                <w:bCs w:val="false"/>
                <w:sz w:val="17"/>
                <w:szCs w:val="17"/>
              </w:rPr>
              <w:t xml:space="preserv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11.6</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11.12: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separates implementation defects from incomplete security controls and from limitations of the test environment.</w:t>
      </w:r>
      <w:r>
        <w:rPr>
          <w:rFonts w:ascii="Times New Roman" w:cs="Times New Roman" w:eastAsia="Times New Roman" w:hAnsi="Times New Roman"/>
          <w:sz w:val="22"/>
          <w:szCs w:val="22"/>
        </w:rPr>
        <w:t xml:space="preserve">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11.6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w:t>
      </w:r>
      <w:r>
        <w:rPr>
          <w:rFonts w:ascii="Times New Roman" w:cs="Times New Roman" w:eastAsia="Times New Roman" w:hAnsi="Times New Roman"/>
          <w:sz w:val="22"/>
          <w:szCs w:val="22"/>
        </w:rPr>
        <w:t xml:space="preserve">The formal security model will be compared with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w:t>
      </w:r>
      <w:r>
        <w:rPr>
          <w:rFonts w:ascii="Times New Roman" w:cs="Times New Roman" w:eastAsia="Times New Roman" w:hAnsi="Times New Roman"/>
          <w:sz w:val="22"/>
          <w:szCs w:val="22"/>
        </w:rPr>
        <w:t xml:space="preserve">This work establishes explicit security properties</w:t>
      </w:r>
      <w:r>
        <w:rPr>
          <w:rFonts w:ascii="Times New Roman" w:cs="Times New Roman" w:eastAsia="Times New Roman" w:hAnsi="Times New Roman"/>
          <w:sz w:val="22"/>
          <w:szCs w:val="22"/>
        </w:rPr>
        <w:t xml:space="preserve">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12.1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12.1: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13.1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13.1: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13.1,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t>
      </w:r>
      <w:r>
        <w:rPr>
          <w:rFonts w:ascii="Times New Roman" w:cs="Times New Roman" w:eastAsia="Times New Roman" w:hAnsi="Times New Roman"/>
          <w:sz w:val="22"/>
          <w:szCs w:val="22"/>
        </w:rPr>
        <w:t xml:space="preserve">will extend the framework of the current stage to dynamic consent governance, formal security assurance, and a fuller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t>
      </w:r>
      <w:r>
        <w:rPr>
          <w:rFonts w:ascii="Times New Roman" w:cs="Times New Roman" w:eastAsia="Times New Roman" w:hAnsi="Times New Roman"/>
          <w:sz w:val="22"/>
          <w:szCs w:val="22"/>
        </w:rPr>
        <w:t xml:space="preserve">and contextual policy conditions such as jurisdiction extend the policy evaluation of Section 9,</w:t>
      </w:r>
      <w:r>
        <w:rPr>
          <w:rFonts w:ascii="Times New Roman" w:cs="Times New Roman" w:eastAsia="Times New Roman" w:hAnsi="Times New Roman"/>
          <w:sz w:val="22"/>
          <w:szCs w:val="22"/>
        </w:rPr>
        <w:t xml:space="preserve">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13.1: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13.2.</w:t>
      </w:r>
    </w:p>
    <w:p>
      <w:pPr>
        <w:keepNext/>
        <w:spacing w:after="80" w:before="200"/>
        <w:jc w:val="center"/>
      </w:pPr>
      <w:r>
        <w:rPr>
          <w:rFonts w:ascii="Times New Roman" w:cs="Times New Roman" w:eastAsia="Times New Roman" w:hAnsi="Times New Roman"/>
          <w:b/>
          <w:bCs/>
          <w:sz w:val="18"/>
          <w:szCs w:val="18"/>
        </w:rPr>
        <w:t xml:space="preserve">Table 13.2: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w:t>
            </w:r>
            <w:r>
              <w:rPr>
                <w:rFonts w:ascii="Times New Roman" w:cs="Times New Roman" w:eastAsia="Times New Roman" w:hAnsi="Times New Roman"/>
                <w:b w:val="false"/>
                <w:bCs w:val="false"/>
                <w:sz w:val="17"/>
                <w:szCs w:val="17"/>
              </w:rPr>
              <w:t xml:space="preserve">extend the policy evaluation with a declared request purpose and the jurisdiction condition V</w:t>
            </w:r>
            <w:r>
              <w:rPr>
                <w:rFonts w:ascii="Times New Roman" w:cs="Times New Roman" w:eastAsia="Times New Roman" w:hAnsi="Times New Roman"/>
                <w:b w:val="false"/>
                <w:bCs w:val="false"/>
                <w:sz w:val="17"/>
                <w:szCs w:val="17"/>
                <w:vertAlign w:val="subscript"/>
              </w:rPr>
              <w:t xml:space="preserve">J</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spacing w:after="80" w:line="240"/>
        <w:ind w:left="560" w:hanging="560"/>
        <w:jc w:val="left"/>
      </w:pPr>
      <w:r>
        <w:rPr>
          <w:rFonts w:ascii="Times New Roman" w:cs="Times New Roman" w:eastAsia="Times New Roman" w:hAnsi="Times New Roman"/>
          <w:sz w:val="18"/>
          <w:szCs w:val="18"/>
        </w:rPr>
        <w:t xml:space="preserve">Abbasi, A., Humeidi, M.N. &amp; Wang, Q. 2026, 'Nexa: Enabling secure, scalable, and decentralized management of electronic health records using threshold cryptography and public blockchains',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50791–50810, &lt;https://doi.org/10.1109/ACCESS.2026.3677499&gt;.</w:t>
      </w:r>
    </w:p>
    <w:p>
      <w:pPr>
        <w:spacing w:after="80" w:line="240"/>
        <w:ind w:left="560" w:hanging="560"/>
        <w:jc w:val="left"/>
      </w:pPr>
      <w:r>
        <w:rPr>
          <w:rFonts w:ascii="Times New Roman" w:cs="Times New Roman" w:eastAsia="Times New Roman" w:hAnsi="Times New Roman"/>
          <w:sz w:val="18"/>
          <w:szCs w:val="18"/>
        </w:rPr>
        <w:t xml:space="preserve">Akter, S. &amp; Sanam, T.F. 2025, 'A blockchain framework for secure healthcare data management using role-based access control and smart contracts', </w:t>
      </w:r>
      <w:r>
        <w:rPr>
          <w:rFonts w:ascii="Times New Roman" w:cs="Times New Roman" w:eastAsia="Times New Roman" w:hAnsi="Times New Roman"/>
          <w:i/>
          <w:iCs/>
          <w:sz w:val="18"/>
          <w:szCs w:val="18"/>
        </w:rPr>
        <w:t xml:space="preserve">2025 International Conference on Electrical, Computer and Communication Engineering (ECCE)</w:t>
      </w:r>
      <w:r>
        <w:rPr>
          <w:rFonts w:ascii="Times New Roman" w:cs="Times New Roman" w:eastAsia="Times New Roman" w:hAnsi="Times New Roman"/>
          <w:sz w:val="18"/>
          <w:szCs w:val="18"/>
        </w:rPr>
        <w:t xml:space="preserve">, pp. 1–6, &lt;https://doi.org/10.1109/ECCE64574.2025.11013162&gt;.</w:t>
      </w:r>
    </w:p>
    <w:p>
      <w:pPr>
        <w:spacing w:after="80" w:line="240"/>
        <w:ind w:left="560" w:hanging="560"/>
        <w:jc w:val="left"/>
      </w:pPr>
      <w:r>
        <w:rPr>
          <w:rFonts w:ascii="Times New Roman" w:cs="Times New Roman" w:eastAsia="Times New Roman" w:hAnsi="Times New Roman"/>
          <w:sz w:val="18"/>
          <w:szCs w:val="18"/>
        </w:rPr>
        <w:t xml:space="preserve">Al Amin, M., Altarawneh, A. &amp; Ray, I. 2023, 'Informed consent as patient driven policy for clinical diagnosis and treatment: A smart contract based approach', </w:t>
      </w:r>
      <w:r>
        <w:rPr>
          <w:rFonts w:ascii="Times New Roman" w:cs="Times New Roman" w:eastAsia="Times New Roman" w:hAnsi="Times New Roman"/>
          <w:i/>
          <w:iCs/>
          <w:sz w:val="18"/>
          <w:szCs w:val="18"/>
        </w:rPr>
        <w:t xml:space="preserve">Proceedings of the 20th International Conference on Security and Cryptography (SECRYPT 2023)</w:t>
      </w:r>
      <w:r>
        <w:rPr>
          <w:rFonts w:ascii="Times New Roman" w:cs="Times New Roman" w:eastAsia="Times New Roman" w:hAnsi="Times New Roman"/>
          <w:sz w:val="18"/>
          <w:szCs w:val="18"/>
        </w:rPr>
        <w:t xml:space="preserve">, pp. 159–170, SciTePress, &lt;https://doi.org/10.5220/0012090600003555&gt;.</w:t>
      </w:r>
    </w:p>
    <w:p>
      <w:pPr>
        <w:spacing w:after="80" w:line="240"/>
        <w:ind w:left="560" w:hanging="560"/>
        <w:jc w:val="left"/>
      </w:pPr>
      <w:r>
        <w:rPr>
          <w:rFonts w:ascii="Times New Roman" w:cs="Times New Roman" w:eastAsia="Times New Roman" w:hAnsi="Times New Roman"/>
          <w:sz w:val="18"/>
          <w:szCs w:val="18"/>
        </w:rPr>
        <w:t xml:space="preserve">Al Mamun, A., Azam, S. &amp; Gritti, C. 2022, 'Blockchain-based electronic health records management: A comprehensive review and future research direction',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5768–5789, &lt;https://doi.org/10.1109/ACCESS.2022.3141079&gt;.</w:t>
      </w:r>
    </w:p>
    <w:p>
      <w:pPr>
        <w:spacing w:after="80" w:line="240"/>
        <w:ind w:left="560" w:hanging="560"/>
        <w:jc w:val="left"/>
      </w:pPr>
      <w:r>
        <w:rPr>
          <w:rFonts w:ascii="Times New Roman" w:cs="Times New Roman" w:eastAsia="Times New Roman" w:hAnsi="Times New Roman"/>
          <w:sz w:val="18"/>
          <w:szCs w:val="18"/>
        </w:rPr>
        <w:t xml:space="preserve">Albalwy, F., Brass, A. &amp; Davies, A. 2021, 'A blockchain-based dynamic consent architecture to support clinical genomic data sharing (ConsentChain): Proof-of-concept study', </w:t>
      </w:r>
      <w:r>
        <w:rPr>
          <w:rFonts w:ascii="Times New Roman" w:cs="Times New Roman" w:eastAsia="Times New Roman" w:hAnsi="Times New Roman"/>
          <w:i/>
          <w:iCs/>
          <w:sz w:val="18"/>
          <w:szCs w:val="18"/>
        </w:rPr>
        <w:t xml:space="preserve">JMIR Medical Informatics</w:t>
      </w:r>
      <w:r>
        <w:rPr>
          <w:rFonts w:ascii="Times New Roman" w:cs="Times New Roman" w:eastAsia="Times New Roman" w:hAnsi="Times New Roman"/>
          <w:sz w:val="18"/>
          <w:szCs w:val="18"/>
        </w:rPr>
        <w:t xml:space="preserve">, vol. 9, no. 11, p. e27816, &lt;https://doi.org/10.2196/27816&gt;.</w:t>
      </w:r>
    </w:p>
    <w:p>
      <w:pPr>
        <w:spacing w:after="80" w:line="240"/>
        <w:ind w:left="560" w:hanging="560"/>
        <w:jc w:val="left"/>
      </w:pPr>
      <w:r>
        <w:rPr>
          <w:rFonts w:ascii="Times New Roman" w:cs="Times New Roman" w:eastAsia="Times New Roman" w:hAnsi="Times New Roman"/>
          <w:sz w:val="18"/>
          <w:szCs w:val="18"/>
        </w:rPr>
        <w:t xml:space="preserve">Andrew, J., Isravel, D.P., Sagayam, K.M., Bhushan, B., Sei, Y. &amp; Eunice, J. 2023, 'Blockchain for healthcare systems: Architecture, security challenges, trends and future directions', </w:t>
      </w:r>
      <w:r>
        <w:rPr>
          <w:rFonts w:ascii="Times New Roman" w:cs="Times New Roman" w:eastAsia="Times New Roman" w:hAnsi="Times New Roman"/>
          <w:i/>
          <w:iCs/>
          <w:sz w:val="18"/>
          <w:szCs w:val="18"/>
        </w:rPr>
        <w:t xml:space="preserve">Journal of Network and Computer Applications</w:t>
      </w:r>
      <w:r>
        <w:rPr>
          <w:rFonts w:ascii="Times New Roman" w:cs="Times New Roman" w:eastAsia="Times New Roman" w:hAnsi="Times New Roman"/>
          <w:sz w:val="18"/>
          <w:szCs w:val="18"/>
        </w:rPr>
        <w:t xml:space="preserve">, vol. 215, p. 103633, &lt;https://doi.org/10.1016/j.jnca.2023.103633&gt;.</w:t>
      </w:r>
    </w:p>
    <w:p>
      <w:pPr>
        <w:spacing w:after="80" w:line="240"/>
        <w:ind w:left="560" w:hanging="560"/>
        <w:jc w:val="left"/>
      </w:pPr>
      <w:r>
        <w:rPr>
          <w:rFonts w:ascii="Times New Roman" w:cs="Times New Roman" w:eastAsia="Times New Roman" w:hAnsi="Times New Roman"/>
          <w:sz w:val="18"/>
          <w:szCs w:val="18"/>
        </w:rPr>
        <w:t xml:space="preserve">Arbabi, M.S., Lal, C., Veeraragavan, N.R., Marijan, D., Nygård, J.F. &amp; Vitenberg, R. 2023, 'A survey on blockchain for healthcare: Challenges, benefits, and future directions',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25, no. 1, pp. 386–424, &lt;https://doi.org/10.1109/COMST.2022.3224644&gt;.</w:t>
      </w:r>
    </w:p>
    <w:p>
      <w:pPr>
        <w:spacing w:after="80" w:line="240"/>
        <w:ind w:left="560" w:hanging="560"/>
        <w:jc w:val="left"/>
      </w:pPr>
      <w:r>
        <w:rPr>
          <w:rFonts w:ascii="Times New Roman" w:cs="Times New Roman" w:eastAsia="Times New Roman" w:hAnsi="Times New Roman"/>
          <w:sz w:val="18"/>
          <w:szCs w:val="18"/>
        </w:rPr>
        <w:t xml:space="preserve">Bloemen, R., Logvinov, L. &amp; Evans, J. 2017, </w:t>
      </w:r>
      <w:r>
        <w:rPr>
          <w:rFonts w:ascii="Times New Roman" w:cs="Times New Roman" w:eastAsia="Times New Roman" w:hAnsi="Times New Roman"/>
          <w:i/>
          <w:iCs/>
          <w:sz w:val="18"/>
          <w:szCs w:val="18"/>
        </w:rPr>
        <w:t xml:space="preserve">EIP-712: Typed structured data hashing and signing</w:t>
      </w:r>
      <w:r>
        <w:rPr>
          <w:rFonts w:ascii="Times New Roman" w:cs="Times New Roman" w:eastAsia="Times New Roman" w:hAnsi="Times New Roman"/>
          <w:sz w:val="18"/>
          <w:szCs w:val="18"/>
        </w:rPr>
        <w:t xml:space="preserve">, Ethereum Improvement Proposals, no. 712, viewed 6 October 2026, &lt;https://eips.ethereum.org/EIPS/eip-712&gt;.</w:t>
      </w:r>
    </w:p>
    <w:p>
      <w:pPr>
        <w:spacing w:after="80" w:line="240"/>
        <w:ind w:left="560" w:hanging="560"/>
        <w:jc w:val="left"/>
      </w:pPr>
      <w:r>
        <w:rPr>
          <w:rFonts w:ascii="Times New Roman" w:cs="Times New Roman" w:eastAsia="Times New Roman" w:hAnsi="Times New Roman"/>
          <w:sz w:val="18"/>
          <w:szCs w:val="18"/>
        </w:rPr>
        <w:t xml:space="preserve">Cai, B. 2022, </w:t>
      </w:r>
      <w:r>
        <w:rPr>
          <w:rFonts w:ascii="Times New Roman" w:cs="Times New Roman" w:eastAsia="Times New Roman" w:hAnsi="Times New Roman"/>
          <w:i/>
          <w:iCs/>
          <w:sz w:val="18"/>
          <w:szCs w:val="18"/>
        </w:rPr>
        <w:t xml:space="preserve">ERC-5484: Consensual soulbound tokens</w:t>
      </w:r>
      <w:r>
        <w:rPr>
          <w:rFonts w:ascii="Times New Roman" w:cs="Times New Roman" w:eastAsia="Times New Roman" w:hAnsi="Times New Roman"/>
          <w:sz w:val="18"/>
          <w:szCs w:val="18"/>
        </w:rPr>
        <w:t xml:space="preserve">, Ethereum Improvement Proposals, no. 5484, viewed 6 October 2026, &lt;https://eips.ethereum.org/EIPS/eip-5484&gt;.</w:t>
      </w:r>
    </w:p>
    <w:p>
      <w:pPr>
        <w:spacing w:after="80" w:line="240"/>
        <w:ind w:left="560" w:hanging="560"/>
        <w:jc w:val="left"/>
      </w:pPr>
      <w:r>
        <w:rPr>
          <w:rFonts w:ascii="Times New Roman" w:cs="Times New Roman" w:eastAsia="Times New Roman" w:hAnsi="Times New Roman"/>
          <w:sz w:val="18"/>
          <w:szCs w:val="18"/>
        </w:rPr>
        <w:t xml:space="preserve">Consensys 2026, </w:t>
      </w:r>
      <w:r>
        <w:rPr>
          <w:rFonts w:ascii="Times New Roman" w:cs="Times New Roman" w:eastAsia="Times New Roman" w:hAnsi="Times New Roman"/>
          <w:i/>
          <w:iCs/>
          <w:sz w:val="18"/>
          <w:szCs w:val="18"/>
        </w:rPr>
        <w:t xml:space="preserve">MetaMask developer documentation</w:t>
      </w:r>
      <w:r>
        <w:rPr>
          <w:rFonts w:ascii="Times New Roman" w:cs="Times New Roman" w:eastAsia="Times New Roman" w:hAnsi="Times New Roman"/>
          <w:sz w:val="18"/>
          <w:szCs w:val="18"/>
        </w:rPr>
        <w:t xml:space="preserve">, viewed 7 October 2026, &lt;https://docs.metamask.io/&gt;.</w:t>
      </w:r>
    </w:p>
    <w:p>
      <w:pPr>
        <w:spacing w:after="80" w:line="240"/>
        <w:ind w:left="560" w:hanging="560"/>
        <w:jc w:val="left"/>
      </w:pPr>
      <w:r>
        <w:rPr>
          <w:rFonts w:ascii="Times New Roman" w:cs="Times New Roman" w:eastAsia="Times New Roman" w:hAnsi="Times New Roman"/>
          <w:sz w:val="18"/>
          <w:szCs w:val="18"/>
        </w:rPr>
        <w:t xml:space="preserve">Deng, H., Liang, J., Zhang, C., Liu, X., Zhu, L. &amp; Guo, S. 2024, 'FutureDID: A fully decentralized identity system with multi-party verification', </w:t>
      </w:r>
      <w:r>
        <w:rPr>
          <w:rFonts w:ascii="Times New Roman" w:cs="Times New Roman" w:eastAsia="Times New Roman" w:hAnsi="Times New Roman"/>
          <w:i/>
          <w:iCs/>
          <w:sz w:val="18"/>
          <w:szCs w:val="18"/>
        </w:rPr>
        <w:t xml:space="preserve">IEEE Transactions on Computers</w:t>
      </w:r>
      <w:r>
        <w:rPr>
          <w:rFonts w:ascii="Times New Roman" w:cs="Times New Roman" w:eastAsia="Times New Roman" w:hAnsi="Times New Roman"/>
          <w:sz w:val="18"/>
          <w:szCs w:val="18"/>
        </w:rPr>
        <w:t xml:space="preserve">, vol. 73, no. 8, pp. 2051–2065, &lt;https://doi.org/10.1109/TC.2024.3398509&gt;.</w:t>
      </w:r>
    </w:p>
    <w:p>
      <w:pPr>
        <w:spacing w:after="80" w:line="240"/>
        <w:ind w:left="560" w:hanging="560"/>
        <w:jc w:val="left"/>
      </w:pPr>
      <w:r>
        <w:rPr>
          <w:rFonts w:ascii="Times New Roman" w:cs="Times New Roman" w:eastAsia="Times New Roman" w:hAnsi="Times New Roman"/>
          <w:sz w:val="18"/>
          <w:szCs w:val="18"/>
        </w:rPr>
        <w:t xml:space="preserve">Ekholm, K., Augustinsson, A., Sundström, J., Johansen, C., Storgärds, M., Ljöstad, L. et al. 2025, 'Implementing electronic informed consent in rare disease genomics', </w:t>
      </w:r>
      <w:r>
        <w:rPr>
          <w:rFonts w:ascii="Times New Roman" w:cs="Times New Roman" w:eastAsia="Times New Roman" w:hAnsi="Times New Roman"/>
          <w:i/>
          <w:iCs/>
          <w:sz w:val="18"/>
          <w:szCs w:val="18"/>
        </w:rPr>
        <w:t xml:space="preserve">Scientific Reports</w:t>
      </w:r>
      <w:r>
        <w:rPr>
          <w:rFonts w:ascii="Times New Roman" w:cs="Times New Roman" w:eastAsia="Times New Roman" w:hAnsi="Times New Roman"/>
          <w:sz w:val="18"/>
          <w:szCs w:val="18"/>
        </w:rPr>
        <w:t xml:space="preserve">, vol. 15, no. 1, p. 44419, &lt;https://doi.org/10.1038/s41598-025-32740-1&gt;.</w:t>
      </w:r>
    </w:p>
    <w:p>
      <w:pPr>
        <w:spacing w:after="80" w:line="240"/>
        <w:ind w:left="560" w:hanging="560"/>
        <w:jc w:val="left"/>
      </w:pPr>
      <w:r>
        <w:rPr>
          <w:rFonts w:ascii="Times New Roman" w:cs="Times New Roman" w:eastAsia="Times New Roman" w:hAnsi="Times New Roman"/>
          <w:sz w:val="18"/>
          <w:szCs w:val="18"/>
        </w:rPr>
        <w:t xml:space="preserve">Eneh, A.U., Ahakonye, L.A.C., Lee, J.M. &amp; Kim, D.-S. 2026, 'Demo: EdgeConsent: On-chain attribute-based access control for data consent management', </w:t>
      </w:r>
      <w:r>
        <w:rPr>
          <w:rFonts w:ascii="Times New Roman" w:cs="Times New Roman" w:eastAsia="Times New Roman" w:hAnsi="Times New Roman"/>
          <w:i/>
          <w:iCs/>
          <w:sz w:val="18"/>
          <w:szCs w:val="18"/>
        </w:rPr>
        <w:t xml:space="preserve">2026 IEEE International Conference on Blockchain and Cryptocurrency (ICBC)</w:t>
      </w:r>
      <w:r>
        <w:rPr>
          <w:rFonts w:ascii="Times New Roman" w:cs="Times New Roman" w:eastAsia="Times New Roman" w:hAnsi="Times New Roman"/>
          <w:sz w:val="18"/>
          <w:szCs w:val="18"/>
        </w:rPr>
        <w:t xml:space="preserve">, pp. 1–2, &lt;https://doi.org/10.1109/ICBC67748.2026.11575534&gt;.</w:t>
      </w:r>
    </w:p>
    <w:p>
      <w:pPr>
        <w:spacing w:after="80" w:line="240"/>
        <w:ind w:left="560" w:hanging="560"/>
        <w:jc w:val="left"/>
      </w:pPr>
      <w:r>
        <w:rPr>
          <w:rFonts w:ascii="Times New Roman" w:cs="Times New Roman" w:eastAsia="Times New Roman" w:hAnsi="Times New Roman"/>
          <w:sz w:val="18"/>
          <w:szCs w:val="18"/>
        </w:rPr>
        <w:t xml:space="preserve">Entriken, W., Shirley, D., Evans, J. &amp; Sachs, N. 2018, </w:t>
      </w:r>
      <w:r>
        <w:rPr>
          <w:rFonts w:ascii="Times New Roman" w:cs="Times New Roman" w:eastAsia="Times New Roman" w:hAnsi="Times New Roman"/>
          <w:i/>
          <w:iCs/>
          <w:sz w:val="18"/>
          <w:szCs w:val="18"/>
        </w:rPr>
        <w:t xml:space="preserve">ERC-721: Non-fungible token standard</w:t>
      </w:r>
      <w:r>
        <w:rPr>
          <w:rFonts w:ascii="Times New Roman" w:cs="Times New Roman" w:eastAsia="Times New Roman" w:hAnsi="Times New Roman"/>
          <w:sz w:val="18"/>
          <w:szCs w:val="18"/>
        </w:rPr>
        <w:t xml:space="preserve">, Ethereum Improvement Proposals, no. 721, viewed 6 October 2026, &lt;https://eips.ethereum.org/EIPS/eip-721&gt;.</w:t>
      </w:r>
    </w:p>
    <w:p>
      <w:pPr>
        <w:spacing w:after="80" w:line="240"/>
        <w:ind w:left="560" w:hanging="560"/>
        <w:jc w:val="left"/>
      </w:pPr>
      <w:r>
        <w:rPr>
          <w:rFonts w:ascii="Times New Roman" w:cs="Times New Roman" w:eastAsia="Times New Roman" w:hAnsi="Times New Roman"/>
          <w:sz w:val="18"/>
          <w:szCs w:val="18"/>
        </w:rPr>
        <w:t xml:space="preserve">Ethereum Foundation 2026a, </w:t>
      </w:r>
      <w:r>
        <w:rPr>
          <w:rFonts w:ascii="Times New Roman" w:cs="Times New Roman" w:eastAsia="Times New Roman" w:hAnsi="Times New Roman"/>
          <w:i/>
          <w:iCs/>
          <w:sz w:val="18"/>
          <w:szCs w:val="18"/>
        </w:rPr>
        <w:t xml:space="preserve">Solidity documentation</w:t>
      </w:r>
      <w:r>
        <w:rPr>
          <w:rFonts w:ascii="Times New Roman" w:cs="Times New Roman" w:eastAsia="Times New Roman" w:hAnsi="Times New Roman"/>
          <w:sz w:val="18"/>
          <w:szCs w:val="18"/>
        </w:rPr>
        <w:t xml:space="preserve">, viewed 7 October 2026, &lt;https://docs.soliditylang.org/&gt;.</w:t>
      </w:r>
    </w:p>
    <w:p>
      <w:pPr>
        <w:spacing w:after="80" w:line="240"/>
        <w:ind w:left="560" w:hanging="560"/>
        <w:jc w:val="left"/>
      </w:pPr>
      <w:r>
        <w:rPr>
          <w:rFonts w:ascii="Times New Roman" w:cs="Times New Roman" w:eastAsia="Times New Roman" w:hAnsi="Times New Roman"/>
          <w:sz w:val="18"/>
          <w:szCs w:val="18"/>
        </w:rPr>
        <w:t xml:space="preserve">Ethereum Foundation 2026b, </w:t>
      </w:r>
      <w:r>
        <w:rPr>
          <w:rFonts w:ascii="Times New Roman" w:cs="Times New Roman" w:eastAsia="Times New Roman" w:hAnsi="Times New Roman"/>
          <w:i/>
          <w:iCs/>
          <w:sz w:val="18"/>
          <w:szCs w:val="18"/>
        </w:rPr>
        <w:t xml:space="preserve">Networks</w:t>
      </w:r>
      <w:r>
        <w:rPr>
          <w:rFonts w:ascii="Times New Roman" w:cs="Times New Roman" w:eastAsia="Times New Roman" w:hAnsi="Times New Roman"/>
          <w:sz w:val="18"/>
          <w:szCs w:val="18"/>
        </w:rPr>
        <w:t xml:space="preserve">, ethereum.org developer documentation, viewed 7 October 2026, &lt;https://ethereum.org/en/developers/docs/networks/&gt;.</w:t>
      </w:r>
    </w:p>
    <w:p>
      <w:pPr>
        <w:spacing w:after="80" w:line="240"/>
        <w:ind w:left="560" w:hanging="560"/>
        <w:jc w:val="left"/>
      </w:pPr>
      <w:r>
        <w:rPr>
          <w:rFonts w:ascii="Times New Roman" w:cs="Times New Roman" w:eastAsia="Times New Roman" w:hAnsi="Times New Roman"/>
          <w:sz w:val="18"/>
          <w:szCs w:val="18"/>
        </w:rPr>
        <w:t xml:space="preserve">Ethereum Foundation 2026c, </w:t>
      </w:r>
      <w:r>
        <w:rPr>
          <w:rFonts w:ascii="Times New Roman" w:cs="Times New Roman" w:eastAsia="Times New Roman" w:hAnsi="Times New Roman"/>
          <w:i/>
          <w:iCs/>
          <w:sz w:val="18"/>
          <w:szCs w:val="18"/>
        </w:rPr>
        <w:t xml:space="preserve">Remix IDE documentation</w:t>
      </w:r>
      <w:r>
        <w:rPr>
          <w:rFonts w:ascii="Times New Roman" w:cs="Times New Roman" w:eastAsia="Times New Roman" w:hAnsi="Times New Roman"/>
          <w:sz w:val="18"/>
          <w:szCs w:val="18"/>
        </w:rPr>
        <w:t xml:space="preserve">, viewed 7 October 2026, &lt;https://remix-ide.readthedocs.io/&gt;.</w:t>
      </w:r>
    </w:p>
    <w:p>
      <w:pPr>
        <w:spacing w:after="80" w:line="240"/>
        <w:ind w:left="560" w:hanging="560"/>
        <w:jc w:val="left"/>
      </w:pPr>
      <w:r>
        <w:rPr>
          <w:rFonts w:ascii="Times New Roman" w:cs="Times New Roman" w:eastAsia="Times New Roman" w:hAnsi="Times New Roman"/>
          <w:sz w:val="18"/>
          <w:szCs w:val="18"/>
        </w:rPr>
        <w:t xml:space="preserve">Ferreira, J.C., Correia, R., Rosário, L. &amp; Vila, A. 2025, 'Blockchain integration for trust and consent management in MCP-enabled FHIR systems', </w:t>
      </w:r>
      <w:r>
        <w:rPr>
          <w:rFonts w:ascii="Times New Roman" w:cs="Times New Roman" w:eastAsia="Times New Roman" w:hAnsi="Times New Roman"/>
          <w:i/>
          <w:iCs/>
          <w:sz w:val="18"/>
          <w:szCs w:val="18"/>
        </w:rPr>
        <w:t xml:space="preserve">2025 IEEE International Conference on Distributed Ledger Technologies (ICDLT)</w:t>
      </w:r>
      <w:r>
        <w:rPr>
          <w:rFonts w:ascii="Times New Roman" w:cs="Times New Roman" w:eastAsia="Times New Roman" w:hAnsi="Times New Roman"/>
          <w:sz w:val="18"/>
          <w:szCs w:val="18"/>
        </w:rPr>
        <w:t xml:space="preserve">, pp. 1–10, &lt;https://doi.org/10.1109/ICDLT66400.2025.11466653&gt;.</w:t>
      </w:r>
    </w:p>
    <w:p>
      <w:pPr>
        <w:spacing w:after="80" w:line="240"/>
        <w:ind w:left="560" w:hanging="560"/>
        <w:jc w:val="left"/>
      </w:pPr>
      <w:r>
        <w:rPr>
          <w:rFonts w:ascii="Times New Roman" w:cs="Times New Roman" w:eastAsia="Times New Roman" w:hAnsi="Times New Roman"/>
          <w:sz w:val="18"/>
          <w:szCs w:val="18"/>
        </w:rPr>
        <w:t xml:space="preserve">Flamini, A., Sciarretta, G., Scuro, M., Sharif, A., Tomasi, A. &amp; Ranise, S. 2024, 'On cryptographic mechanisms for the selective disclosure of verifiable credentials', </w:t>
      </w:r>
      <w:r>
        <w:rPr>
          <w:rFonts w:ascii="Times New Roman" w:cs="Times New Roman" w:eastAsia="Times New Roman" w:hAnsi="Times New Roman"/>
          <w:i/>
          <w:iCs/>
          <w:sz w:val="18"/>
          <w:szCs w:val="18"/>
        </w:rPr>
        <w:t xml:space="preserve">Journal of Information Security and Applications</w:t>
      </w:r>
      <w:r>
        <w:rPr>
          <w:rFonts w:ascii="Times New Roman" w:cs="Times New Roman" w:eastAsia="Times New Roman" w:hAnsi="Times New Roman"/>
          <w:sz w:val="18"/>
          <w:szCs w:val="18"/>
        </w:rPr>
        <w:t xml:space="preserve">, vol. 83, p. 103789, &lt;https://doi.org/10.1016/j.jisa.2024.103789&gt;.</w:t>
      </w:r>
    </w:p>
    <w:p>
      <w:pPr>
        <w:spacing w:after="80" w:line="240"/>
        <w:ind w:left="560" w:hanging="560"/>
        <w:jc w:val="left"/>
      </w:pPr>
      <w:r>
        <w:rPr>
          <w:rFonts w:ascii="Times New Roman" w:cs="Times New Roman" w:eastAsia="Times New Roman" w:hAnsi="Times New Roman"/>
          <w:sz w:val="18"/>
          <w:szCs w:val="18"/>
        </w:rPr>
        <w:t xml:space="preserve">Ghafoor, A., Symeonidis, I., Rydberg, A., Lindahl, C. &amp; Abbasi, A.Q. 2025, 'Towards empowering stakeholders through decentralized trust and secure livestock data sharing', </w:t>
      </w:r>
      <w:r>
        <w:rPr>
          <w:rFonts w:ascii="Times New Roman" w:cs="Times New Roman" w:eastAsia="Times New Roman" w:hAnsi="Times New Roman"/>
          <w:i/>
          <w:iCs/>
          <w:sz w:val="18"/>
          <w:szCs w:val="18"/>
        </w:rPr>
        <w:t xml:space="preserve">Cryptography</w:t>
      </w:r>
      <w:r>
        <w:rPr>
          <w:rFonts w:ascii="Times New Roman" w:cs="Times New Roman" w:eastAsia="Times New Roman" w:hAnsi="Times New Roman"/>
          <w:sz w:val="18"/>
          <w:szCs w:val="18"/>
        </w:rPr>
        <w:t xml:space="preserve">, vol. 9, no. 3, p. 52, &lt;https://doi.org/10.3390/cryptography9030052&gt;.</w:t>
      </w:r>
    </w:p>
    <w:p>
      <w:pPr>
        <w:spacing w:after="80" w:line="240"/>
        <w:ind w:left="560" w:hanging="560"/>
        <w:jc w:val="left"/>
      </w:pPr>
      <w:r>
        <w:rPr>
          <w:rFonts w:ascii="Times New Roman" w:cs="Times New Roman" w:eastAsia="Times New Roman" w:hAnsi="Times New Roman"/>
          <w:sz w:val="18"/>
          <w:szCs w:val="18"/>
        </w:rPr>
        <w:t xml:space="preserve">Ghosh, P.K., Chakraborty, A., Hasan, M., Rashid, K. &amp; Siddique, A.H. 2023, 'Blockchain application in healthcare systems: A review', </w:t>
      </w:r>
      <w:r>
        <w:rPr>
          <w:rFonts w:ascii="Times New Roman" w:cs="Times New Roman" w:eastAsia="Times New Roman" w:hAnsi="Times New Roman"/>
          <w:i/>
          <w:iCs/>
          <w:sz w:val="18"/>
          <w:szCs w:val="18"/>
        </w:rPr>
        <w:t xml:space="preserve">Systems</w:t>
      </w:r>
      <w:r>
        <w:rPr>
          <w:rFonts w:ascii="Times New Roman" w:cs="Times New Roman" w:eastAsia="Times New Roman" w:hAnsi="Times New Roman"/>
          <w:sz w:val="18"/>
          <w:szCs w:val="18"/>
        </w:rPr>
        <w:t xml:space="preserve">, vol. 11, no. 1, p. 38, &lt;https://doi.org/10.3390/systems11010038&gt;.</w:t>
      </w:r>
    </w:p>
    <w:p>
      <w:pPr>
        <w:spacing w:after="80" w:line="240"/>
        <w:ind w:left="560" w:hanging="560"/>
        <w:jc w:val="left"/>
      </w:pPr>
      <w:r>
        <w:rPr>
          <w:rFonts w:ascii="Times New Roman" w:cs="Times New Roman" w:eastAsia="Times New Roman" w:hAnsi="Times New Roman"/>
          <w:sz w:val="18"/>
          <w:szCs w:val="18"/>
        </w:rPr>
        <w:t xml:space="preserve">Grassi, L., Khovratovich, D., Rechberger, C., Roy, A. &amp; Schofnegger, M. 2021, 'Poseidon: A new hash function for zero-knowledge proof systems', </w:t>
      </w:r>
      <w:r>
        <w:rPr>
          <w:rFonts w:ascii="Times New Roman" w:cs="Times New Roman" w:eastAsia="Times New Roman" w:hAnsi="Times New Roman"/>
          <w:i/>
          <w:iCs/>
          <w:sz w:val="18"/>
          <w:szCs w:val="18"/>
        </w:rPr>
        <w:t xml:space="preserve">Proceedings of the 30th USENIX Security Symposium</w:t>
      </w:r>
      <w:r>
        <w:rPr>
          <w:rFonts w:ascii="Times New Roman" w:cs="Times New Roman" w:eastAsia="Times New Roman" w:hAnsi="Times New Roman"/>
          <w:sz w:val="18"/>
          <w:szCs w:val="18"/>
        </w:rPr>
        <w:t xml:space="preserve">, pp. 519–535.</w:t>
      </w:r>
    </w:p>
    <w:p>
      <w:pPr>
        <w:spacing w:after="80" w:line="240"/>
        <w:ind w:left="560" w:hanging="560"/>
        <w:jc w:val="left"/>
      </w:pPr>
      <w:r>
        <w:rPr>
          <w:rFonts w:ascii="Times New Roman" w:cs="Times New Roman" w:eastAsia="Times New Roman" w:hAnsi="Times New Roman"/>
          <w:sz w:val="18"/>
          <w:szCs w:val="18"/>
        </w:rPr>
        <w:t xml:space="preserve">Groth, J. 2016, 'On the size of pairing-based non-interactive arguments', </w:t>
      </w:r>
      <w:r>
        <w:rPr>
          <w:rFonts w:ascii="Times New Roman" w:cs="Times New Roman" w:eastAsia="Times New Roman" w:hAnsi="Times New Roman"/>
          <w:i/>
          <w:iCs/>
          <w:sz w:val="18"/>
          <w:szCs w:val="18"/>
        </w:rPr>
        <w:t xml:space="preserve">Advances in Cryptology – EUROCRYPT 2016, LNCS</w:t>
      </w:r>
      <w:r>
        <w:rPr>
          <w:rFonts w:ascii="Times New Roman" w:cs="Times New Roman" w:eastAsia="Times New Roman" w:hAnsi="Times New Roman"/>
          <w:sz w:val="18"/>
          <w:szCs w:val="18"/>
        </w:rPr>
        <w:t xml:space="preserve">, vol. 9666, pp. 305–326, Springer, &lt;https://doi.org/10.1007/978-3-662-49896-5_11&gt;.</w:t>
      </w:r>
    </w:p>
    <w:p>
      <w:pPr>
        <w:spacing w:after="80" w:line="240"/>
        <w:ind w:left="560" w:hanging="560"/>
        <w:jc w:val="left"/>
      </w:pPr>
      <w:r>
        <w:rPr>
          <w:rFonts w:ascii="Times New Roman" w:cs="Times New Roman" w:eastAsia="Times New Roman" w:hAnsi="Times New Roman"/>
          <w:sz w:val="18"/>
          <w:szCs w:val="18"/>
        </w:rPr>
        <w:t xml:space="preserve">Hagström, J., Hägglund, M., Holmroos, M., Lähteenmäki, P. &amp; Hörhammer, I. 2024, 'Minors’ and guardian access to and use of a national patient portal: A retrospective comparative case study of Sweden and Finland', </w:t>
      </w:r>
      <w:r>
        <w:rPr>
          <w:rFonts w:ascii="Times New Roman" w:cs="Times New Roman" w:eastAsia="Times New Roman" w:hAnsi="Times New Roman"/>
          <w:i/>
          <w:iCs/>
          <w:sz w:val="18"/>
          <w:szCs w:val="18"/>
        </w:rPr>
        <w:t xml:space="preserve">International Journal of Medical Informatics</w:t>
      </w:r>
      <w:r>
        <w:rPr>
          <w:rFonts w:ascii="Times New Roman" w:cs="Times New Roman" w:eastAsia="Times New Roman" w:hAnsi="Times New Roman"/>
          <w:sz w:val="18"/>
          <w:szCs w:val="18"/>
        </w:rPr>
        <w:t xml:space="preserve">, vol. 187, p. 105465, &lt;https://doi.org/10.1016/j.ijmedinf.2024.105465&gt;.</w:t>
      </w:r>
    </w:p>
    <w:p>
      <w:pPr>
        <w:spacing w:after="80" w:line="240"/>
        <w:ind w:left="560" w:hanging="560"/>
        <w:jc w:val="left"/>
      </w:pPr>
      <w:r>
        <w:rPr>
          <w:rFonts w:ascii="Times New Roman" w:cs="Times New Roman" w:eastAsia="Times New Roman" w:hAnsi="Times New Roman"/>
          <w:sz w:val="18"/>
          <w:szCs w:val="18"/>
        </w:rPr>
        <w:t xml:space="preserve">Hellstern, R., Park, D.C., Lemieux, V. &amp; Salimjan, G. 2022, 'Leveraging blockchain-based archival solutions for sensitive documentation: A Xinjiang case study', </w:t>
      </w:r>
      <w:r>
        <w:rPr>
          <w:rFonts w:ascii="Times New Roman" w:cs="Times New Roman" w:eastAsia="Times New Roman" w:hAnsi="Times New Roman"/>
          <w:i/>
          <w:iCs/>
          <w:sz w:val="18"/>
          <w:szCs w:val="18"/>
        </w:rPr>
        <w:t xml:space="preserve">Digital Society</w:t>
      </w:r>
      <w:r>
        <w:rPr>
          <w:rFonts w:ascii="Times New Roman" w:cs="Times New Roman" w:eastAsia="Times New Roman" w:hAnsi="Times New Roman"/>
          <w:sz w:val="18"/>
          <w:szCs w:val="18"/>
        </w:rPr>
        <w:t xml:space="preserve">, vol. 1, no. 1, p. 4, &lt;https://doi.org/10.1007/s44206-022-00007-1&gt;.</w:t>
      </w:r>
    </w:p>
    <w:p>
      <w:pPr>
        <w:spacing w:after="80" w:line="240"/>
        <w:ind w:left="560" w:hanging="560"/>
        <w:jc w:val="left"/>
      </w:pPr>
      <w:r>
        <w:rPr>
          <w:rFonts w:ascii="Times New Roman" w:cs="Times New Roman" w:eastAsia="Times New Roman" w:hAnsi="Times New Roman"/>
          <w:sz w:val="18"/>
          <w:szCs w:val="18"/>
        </w:rPr>
        <w:t xml:space="preserve">Hema, S., Reddy, G.B.S. &amp; Shalini, R. 2026, 'Patient centric cryptographic protection of cloud electronic health records', </w:t>
      </w:r>
      <w:r>
        <w:rPr>
          <w:rFonts w:ascii="Times New Roman" w:cs="Times New Roman" w:eastAsia="Times New Roman" w:hAnsi="Times New Roman"/>
          <w:i/>
          <w:iCs/>
          <w:sz w:val="18"/>
          <w:szCs w:val="18"/>
        </w:rPr>
        <w:t xml:space="preserve">2026 6th International Conference on Expert Clouds and Applications (ICOECA)</w:t>
      </w:r>
      <w:r>
        <w:rPr>
          <w:rFonts w:ascii="Times New Roman" w:cs="Times New Roman" w:eastAsia="Times New Roman" w:hAnsi="Times New Roman"/>
          <w:sz w:val="18"/>
          <w:szCs w:val="18"/>
        </w:rPr>
        <w:t xml:space="preserve">, pp. 293–300, &lt;https://doi.org/10.1109/ICOECA68095.2026.11485301&gt;.</w:t>
      </w:r>
    </w:p>
    <w:p>
      <w:pPr>
        <w:spacing w:after="80" w:line="240"/>
        <w:ind w:left="560" w:hanging="560"/>
        <w:jc w:val="left"/>
      </w:pPr>
      <w:r>
        <w:rPr>
          <w:rFonts w:ascii="Times New Roman" w:cs="Times New Roman" w:eastAsia="Times New Roman" w:hAnsi="Times New Roman"/>
          <w:sz w:val="18"/>
          <w:szCs w:val="18"/>
        </w:rPr>
        <w:t xml:space="preserve">HL7 International 2019, </w:t>
      </w:r>
      <w:r>
        <w:rPr>
          <w:rFonts w:ascii="Times New Roman" w:cs="Times New Roman" w:eastAsia="Times New Roman" w:hAnsi="Times New Roman"/>
          <w:i/>
          <w:iCs/>
          <w:sz w:val="18"/>
          <w:szCs w:val="18"/>
        </w:rPr>
        <w:t xml:space="preserve">HL7 FHIR Release 4 (R4)</w:t>
      </w:r>
      <w:r>
        <w:rPr>
          <w:rFonts w:ascii="Times New Roman" w:cs="Times New Roman" w:eastAsia="Times New Roman" w:hAnsi="Times New Roman"/>
          <w:sz w:val="18"/>
          <w:szCs w:val="18"/>
        </w:rPr>
        <w:t xml:space="preserve">, viewed 7 October 2026, &lt;https://hl7.org/fhir/R4/&gt;.</w:t>
      </w:r>
    </w:p>
    <w:p>
      <w:pPr>
        <w:spacing w:after="80" w:line="240"/>
        <w:ind w:left="560" w:hanging="560"/>
        <w:jc w:val="left"/>
      </w:pPr>
      <w:r>
        <w:rPr>
          <w:rFonts w:ascii="Times New Roman" w:cs="Times New Roman" w:eastAsia="Times New Roman" w:hAnsi="Times New Roman"/>
          <w:sz w:val="18"/>
          <w:szCs w:val="18"/>
        </w:rPr>
        <w:t xml:space="preserve">Ibrahim, A.M., Abdel-Aziz, H.R., Mohamed, H.A.H., Zaghamir, D.E.F., Wahba, N.M.I., Hassan, G.A. et al. 2024, 'Balancing confidentiality and care coordination: Challenges in patient privacy', </w:t>
      </w:r>
      <w:r>
        <w:rPr>
          <w:rFonts w:ascii="Times New Roman" w:cs="Times New Roman" w:eastAsia="Times New Roman" w:hAnsi="Times New Roman"/>
          <w:i/>
          <w:iCs/>
          <w:sz w:val="18"/>
          <w:szCs w:val="18"/>
        </w:rPr>
        <w:t xml:space="preserve">BMC Nursing</w:t>
      </w:r>
      <w:r>
        <w:rPr>
          <w:rFonts w:ascii="Times New Roman" w:cs="Times New Roman" w:eastAsia="Times New Roman" w:hAnsi="Times New Roman"/>
          <w:sz w:val="18"/>
          <w:szCs w:val="18"/>
        </w:rPr>
        <w:t xml:space="preserve">, vol. 23, no. 1, p. 564, &lt;https://doi.org/10.1186/s12912-024-02231-1&gt;.</w:t>
      </w:r>
    </w:p>
    <w:p>
      <w:pPr>
        <w:spacing w:after="80" w:line="240"/>
        <w:ind w:left="560" w:hanging="560"/>
        <w:jc w:val="left"/>
      </w:pPr>
      <w:r>
        <w:rPr>
          <w:rFonts w:ascii="Times New Roman" w:cs="Times New Roman" w:eastAsia="Times New Roman" w:hAnsi="Times New Roman"/>
          <w:sz w:val="18"/>
          <w:szCs w:val="18"/>
        </w:rPr>
        <w:t xml:space="preserve">iden3 2026a, </w:t>
      </w:r>
      <w:r>
        <w:rPr>
          <w:rFonts w:ascii="Times New Roman" w:cs="Times New Roman" w:eastAsia="Times New Roman" w:hAnsi="Times New Roman"/>
          <w:i/>
          <w:iCs/>
          <w:sz w:val="18"/>
          <w:szCs w:val="18"/>
        </w:rPr>
        <w:t xml:space="preserve">snarkjs: zkSNARKs implementation in JavaScript</w:t>
      </w:r>
      <w:r>
        <w:rPr>
          <w:rFonts w:ascii="Times New Roman" w:cs="Times New Roman" w:eastAsia="Times New Roman" w:hAnsi="Times New Roman"/>
          <w:sz w:val="18"/>
          <w:szCs w:val="18"/>
        </w:rPr>
        <w:t xml:space="preserve">, version 0.7, npm package, viewed 7 October 2026, &lt;https://www.npmjs.com/package/snarkjs&gt;.</w:t>
      </w:r>
    </w:p>
    <w:p>
      <w:pPr>
        <w:spacing w:after="80" w:line="240"/>
        <w:ind w:left="560" w:hanging="560"/>
        <w:jc w:val="left"/>
      </w:pPr>
      <w:r>
        <w:rPr>
          <w:rFonts w:ascii="Times New Roman" w:cs="Times New Roman" w:eastAsia="Times New Roman" w:hAnsi="Times New Roman"/>
          <w:sz w:val="18"/>
          <w:szCs w:val="18"/>
        </w:rPr>
        <w:t xml:space="preserve">iden3 2026b, </w:t>
      </w:r>
      <w:r>
        <w:rPr>
          <w:rFonts w:ascii="Times New Roman" w:cs="Times New Roman" w:eastAsia="Times New Roman" w:hAnsi="Times New Roman"/>
          <w:i/>
          <w:iCs/>
          <w:sz w:val="18"/>
          <w:szCs w:val="18"/>
        </w:rPr>
        <w:t xml:space="preserve">circom: circuit compiler for zero-knowledge proofs</w:t>
      </w:r>
      <w:r>
        <w:rPr>
          <w:rFonts w:ascii="Times New Roman" w:cs="Times New Roman" w:eastAsia="Times New Roman" w:hAnsi="Times New Roman"/>
          <w:sz w:val="18"/>
          <w:szCs w:val="18"/>
        </w:rPr>
        <w:t xml:space="preserve">, viewed 7 October 2026, &lt;https://docs.circom.io/&gt;.</w:t>
      </w:r>
    </w:p>
    <w:p>
      <w:pPr>
        <w:spacing w:after="80" w:line="240"/>
        <w:ind w:left="560" w:hanging="560"/>
        <w:jc w:val="left"/>
      </w:pPr>
      <w:r>
        <w:rPr>
          <w:rFonts w:ascii="Times New Roman" w:cs="Times New Roman" w:eastAsia="Times New Roman" w:hAnsi="Times New Roman"/>
          <w:sz w:val="18"/>
          <w:szCs w:val="18"/>
        </w:rPr>
        <w:t xml:space="preserve">Jaiman, V. &amp; Urovi, V. 2020, 'A consent model for blockchain-based health data sharing platforms',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143734–143745, &lt;https://doi.org/10.1109/ACCESS.2020.3014565&gt;.</w:t>
      </w:r>
    </w:p>
    <w:p>
      <w:pPr>
        <w:spacing w:after="80" w:line="240"/>
        <w:ind w:left="560" w:hanging="560"/>
        <w:jc w:val="left"/>
      </w:pPr>
      <w:r>
        <w:rPr>
          <w:rFonts w:ascii="Times New Roman" w:cs="Times New Roman" w:eastAsia="Times New Roman" w:hAnsi="Times New Roman"/>
          <w:sz w:val="18"/>
          <w:szCs w:val="18"/>
        </w:rPr>
        <w:t xml:space="preserve">Jesus, V. &amp; Pandit, H.J. 2022, 'Consent receipts for a usable and auditable web of personal data',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28545–28563, &lt;https://doi.org/10.1109/ACCESS.2022.3157850&gt;.</w:t>
      </w:r>
    </w:p>
    <w:p>
      <w:pPr>
        <w:spacing w:after="80" w:line="240"/>
        <w:ind w:left="560" w:hanging="560"/>
        <w:jc w:val="left"/>
      </w:pPr>
      <w:r>
        <w:rPr>
          <w:rFonts w:ascii="Times New Roman" w:cs="Times New Roman" w:eastAsia="Times New Roman" w:hAnsi="Times New Roman"/>
          <w:sz w:val="18"/>
          <w:szCs w:val="18"/>
        </w:rPr>
        <w:t xml:space="preserve">Jiang, R., Chen, X., Yu, Y., Zhang, Y. &amp; Ding, W. 2023, 'Risk and UCON-based access control model for healthcare big data', </w:t>
      </w:r>
      <w:r>
        <w:rPr>
          <w:rFonts w:ascii="Times New Roman" w:cs="Times New Roman" w:eastAsia="Times New Roman" w:hAnsi="Times New Roman"/>
          <w:i/>
          <w:iCs/>
          <w:sz w:val="18"/>
          <w:szCs w:val="18"/>
        </w:rPr>
        <w:t xml:space="preserve">Journal of Big Data</w:t>
      </w:r>
      <w:r>
        <w:rPr>
          <w:rFonts w:ascii="Times New Roman" w:cs="Times New Roman" w:eastAsia="Times New Roman" w:hAnsi="Times New Roman"/>
          <w:sz w:val="18"/>
          <w:szCs w:val="18"/>
        </w:rPr>
        <w:t xml:space="preserve">, vol. 10, no. 1, p. 104, &lt;https://doi.org/10.1186/s40537-023-00783-8&gt;.</w:t>
      </w:r>
    </w:p>
    <w:p>
      <w:pPr>
        <w:spacing w:after="80" w:line="240"/>
        <w:ind w:left="560" w:hanging="560"/>
        <w:jc w:val="left"/>
      </w:pPr>
      <w:r>
        <w:rPr>
          <w:rFonts w:ascii="Times New Roman" w:cs="Times New Roman" w:eastAsia="Times New Roman" w:hAnsi="Times New Roman"/>
          <w:sz w:val="18"/>
          <w:szCs w:val="18"/>
        </w:rPr>
        <w:t xml:space="preserve">Kaplow, K., Downey, M., Stewart, D., Massie, A.B., Motter, J.D., Taylor, L. et al. 2024, 'Data professionals’ attitudes on data privacy, sharing, and consent in healthcare and research', </w:t>
      </w:r>
      <w:r>
        <w:rPr>
          <w:rFonts w:ascii="Times New Roman" w:cs="Times New Roman" w:eastAsia="Times New Roman" w:hAnsi="Times New Roman"/>
          <w:i/>
          <w:iCs/>
          <w:sz w:val="18"/>
          <w:szCs w:val="18"/>
        </w:rPr>
        <w:t xml:space="preserve">Digital Health</w:t>
      </w:r>
      <w:r>
        <w:rPr>
          <w:rFonts w:ascii="Times New Roman" w:cs="Times New Roman" w:eastAsia="Times New Roman" w:hAnsi="Times New Roman"/>
          <w:sz w:val="18"/>
          <w:szCs w:val="18"/>
        </w:rPr>
        <w:t xml:space="preserve">, vol. 10, p. 20552076241290964, &lt;https://doi.org/10.1177/20552076241290964&gt;.</w:t>
      </w:r>
    </w:p>
    <w:p>
      <w:pPr>
        <w:spacing w:after="80" w:line="240"/>
        <w:ind w:left="560" w:hanging="560"/>
        <w:jc w:val="left"/>
      </w:pPr>
      <w:r>
        <w:rPr>
          <w:rFonts w:ascii="Times New Roman" w:cs="Times New Roman" w:eastAsia="Times New Roman" w:hAnsi="Times New Roman"/>
          <w:sz w:val="18"/>
          <w:szCs w:val="18"/>
        </w:rPr>
        <w:t xml:space="preserve">Khalid, M.I., Ahmed, M., Helfert, M. &amp; Kim, J. 2023, 'Privacy-first paradigm for dynamic consent management systems: Empowering data subjects through decentralized data controllers and privacy-preserving techniques',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12, no. 24, p. 4973, &lt;https://doi.org/10.3390/electronics12244973&gt;.</w:t>
      </w:r>
    </w:p>
    <w:p>
      <w:pPr>
        <w:spacing w:after="80" w:line="240"/>
        <w:ind w:left="560" w:hanging="560"/>
        <w:jc w:val="left"/>
      </w:pPr>
      <w:r>
        <w:rPr>
          <w:rFonts w:ascii="Times New Roman" w:cs="Times New Roman" w:eastAsia="Times New Roman" w:hAnsi="Times New Roman"/>
          <w:sz w:val="18"/>
          <w:szCs w:val="18"/>
        </w:rPr>
        <w:t xml:space="preserve">Kharlamov, A., Hohmann, R. &amp; Parry, G. 2023, 'Data sharing decisions: Perceptions and intentions in healthcare', </w:t>
      </w:r>
      <w:r>
        <w:rPr>
          <w:rFonts w:ascii="Times New Roman" w:cs="Times New Roman" w:eastAsia="Times New Roman" w:hAnsi="Times New Roman"/>
          <w:i/>
          <w:iCs/>
          <w:sz w:val="18"/>
          <w:szCs w:val="18"/>
        </w:rPr>
        <w:t xml:space="preserve">Strategic Change</w:t>
      </w:r>
      <w:r>
        <w:rPr>
          <w:rFonts w:ascii="Times New Roman" w:cs="Times New Roman" w:eastAsia="Times New Roman" w:hAnsi="Times New Roman"/>
          <w:sz w:val="18"/>
          <w:szCs w:val="18"/>
        </w:rPr>
        <w:t xml:space="preserve">, vol. 32, no. 6, pp. 223–237, &lt;https://doi.org/10.1002/jsc.2558&gt;.</w:t>
      </w:r>
    </w:p>
    <w:p>
      <w:pPr>
        <w:spacing w:after="80" w:line="240"/>
        <w:ind w:left="560" w:hanging="560"/>
        <w:jc w:val="left"/>
      </w:pPr>
      <w:r>
        <w:rPr>
          <w:rFonts w:ascii="Times New Roman" w:cs="Times New Roman" w:eastAsia="Times New Roman" w:hAnsi="Times New Roman"/>
          <w:sz w:val="18"/>
          <w:szCs w:val="18"/>
        </w:rPr>
        <w:t xml:space="preserve">Khayer, B., Mirzaei, S., Alavizadeh, H. &amp; Salehi Shahraki, A. 2025, 'Blockchain for secure IoT: A review of identity management, access control, and trust mechanisms', </w:t>
      </w:r>
      <w:r>
        <w:rPr>
          <w:rFonts w:ascii="Times New Roman" w:cs="Times New Roman" w:eastAsia="Times New Roman" w:hAnsi="Times New Roman"/>
          <w:i/>
          <w:iCs/>
          <w:sz w:val="18"/>
          <w:szCs w:val="18"/>
        </w:rPr>
        <w:t xml:space="preserve">IoT</w:t>
      </w:r>
      <w:r>
        <w:rPr>
          <w:rFonts w:ascii="Times New Roman" w:cs="Times New Roman" w:eastAsia="Times New Roman" w:hAnsi="Times New Roman"/>
          <w:sz w:val="18"/>
          <w:szCs w:val="18"/>
        </w:rPr>
        <w:t xml:space="preserve">, vol. 6, no. 4, p. 65, &lt;https://doi.org/10.3390/iot6040065&gt;.</w:t>
      </w:r>
    </w:p>
    <w:p>
      <w:pPr>
        <w:spacing w:after="80" w:line="240"/>
        <w:ind w:left="560" w:hanging="560"/>
        <w:jc w:val="left"/>
      </w:pPr>
      <w:r>
        <w:rPr>
          <w:rFonts w:ascii="Times New Roman" w:cs="Times New Roman" w:eastAsia="Times New Roman" w:hAnsi="Times New Roman"/>
          <w:sz w:val="18"/>
          <w:szCs w:val="18"/>
        </w:rPr>
        <w:t xml:space="preserve">Li, L., Liu, C.Z. &amp; Shrestha, S. 2026, 'Analytical entropy approach for measuring blockchain immutability and tamper-resilient trust', </w:t>
      </w:r>
      <w:r>
        <w:rPr>
          <w:rFonts w:ascii="Times New Roman" w:cs="Times New Roman" w:eastAsia="Times New Roman" w:hAnsi="Times New Roman"/>
          <w:i/>
          <w:iCs/>
          <w:sz w:val="18"/>
          <w:szCs w:val="18"/>
        </w:rPr>
        <w:t xml:space="preserve">Entropy</w:t>
      </w:r>
      <w:r>
        <w:rPr>
          <w:rFonts w:ascii="Times New Roman" w:cs="Times New Roman" w:eastAsia="Times New Roman" w:hAnsi="Times New Roman"/>
          <w:sz w:val="18"/>
          <w:szCs w:val="18"/>
        </w:rPr>
        <w:t xml:space="preserve">, vol. 28, no. 6, p. 690, &lt;https://doi.org/10.3390/e28060690&gt;.</w:t>
      </w:r>
    </w:p>
    <w:p>
      <w:pPr>
        <w:spacing w:after="80" w:line="240"/>
        <w:ind w:left="560" w:hanging="560"/>
        <w:jc w:val="left"/>
      </w:pPr>
      <w:r>
        <w:rPr>
          <w:rFonts w:ascii="Times New Roman" w:cs="Times New Roman" w:eastAsia="Times New Roman" w:hAnsi="Times New Roman"/>
          <w:sz w:val="18"/>
          <w:szCs w:val="18"/>
        </w:rPr>
        <w:t xml:space="preserve">Li, H., Li, D., Lv, G., Crespi, N., Minerva, R., Shao, W. et al. 2026a, 'Privacy-preserving fine-grained EMR access control for IoMT: A hybrid RBAC-smart contract scheme with attribute-based authorization',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2, pp. 2970–2987, &lt;https://doi.org/10.1109/JIOT.2025.3633504&gt;.</w:t>
      </w:r>
    </w:p>
    <w:p>
      <w:pPr>
        <w:spacing w:after="80" w:line="240"/>
        <w:ind w:left="560" w:hanging="560"/>
        <w:jc w:val="left"/>
      </w:pPr>
      <w:r>
        <w:rPr>
          <w:rFonts w:ascii="Times New Roman" w:cs="Times New Roman" w:eastAsia="Times New Roman" w:hAnsi="Times New Roman"/>
          <w:sz w:val="18"/>
          <w:szCs w:val="18"/>
        </w:rPr>
        <w:t xml:space="preserve">Li, L., Liu, C.Z., Huang, K., Deng, R., Alrowaily, M.A., Alghamdi, M. et al. 2026b, 'Trust-aware environmental state consensus for smart agriculture with TEE-enabled sensing and Byzantine-resilient blockchain coordination', </w:t>
      </w:r>
      <w:r>
        <w:rPr>
          <w:rFonts w:ascii="Times New Roman" w:cs="Times New Roman" w:eastAsia="Times New Roman" w:hAnsi="Times New Roman"/>
          <w:i/>
          <w:iCs/>
          <w:sz w:val="18"/>
          <w:szCs w:val="18"/>
        </w:rPr>
        <w:t xml:space="preserve">Sensors</w:t>
      </w:r>
      <w:r>
        <w:rPr>
          <w:rFonts w:ascii="Times New Roman" w:cs="Times New Roman" w:eastAsia="Times New Roman" w:hAnsi="Times New Roman"/>
          <w:sz w:val="18"/>
          <w:szCs w:val="18"/>
        </w:rPr>
        <w:t xml:space="preserve">, vol. 26, no. 14, p. 4577, &lt;https://doi.org/10.3390/s26144577&gt;.</w:t>
      </w:r>
    </w:p>
    <w:p>
      <w:pPr>
        <w:spacing w:after="80" w:line="240"/>
        <w:ind w:left="560" w:hanging="560"/>
        <w:jc w:val="left"/>
      </w:pPr>
      <w:r>
        <w:rPr>
          <w:rFonts w:ascii="Times New Roman" w:cs="Times New Roman" w:eastAsia="Times New Roman" w:hAnsi="Times New Roman"/>
          <w:sz w:val="18"/>
          <w:szCs w:val="18"/>
        </w:rPr>
        <w:t xml:space="preserve">Lomotey, R.K., Kumi, S. &amp; Deters, R. 2022, 'Data trusts as a service: Providing a platform for multi-party data sharing', </w:t>
      </w:r>
      <w:r>
        <w:rPr>
          <w:rFonts w:ascii="Times New Roman" w:cs="Times New Roman" w:eastAsia="Times New Roman" w:hAnsi="Times New Roman"/>
          <w:i/>
          <w:iCs/>
          <w:sz w:val="18"/>
          <w:szCs w:val="18"/>
        </w:rPr>
        <w:t xml:space="preserve">International Journal of Information Management Data Insights</w:t>
      </w:r>
      <w:r>
        <w:rPr>
          <w:rFonts w:ascii="Times New Roman" w:cs="Times New Roman" w:eastAsia="Times New Roman" w:hAnsi="Times New Roman"/>
          <w:sz w:val="18"/>
          <w:szCs w:val="18"/>
        </w:rPr>
        <w:t xml:space="preserve">, vol. 2, no. 1, p. 100075, &lt;https://doi.org/10.1016/j.jjimei.2022.100075&gt;.</w:t>
      </w:r>
    </w:p>
    <w:p>
      <w:pPr>
        <w:spacing w:after="80" w:line="240"/>
        <w:ind w:left="560" w:hanging="560"/>
        <w:jc w:val="left"/>
      </w:pPr>
      <w:r>
        <w:rPr>
          <w:rFonts w:ascii="Times New Roman" w:cs="Times New Roman" w:eastAsia="Times New Roman" w:hAnsi="Times New Roman"/>
          <w:sz w:val="18"/>
          <w:szCs w:val="18"/>
        </w:rPr>
        <w:t xml:space="preserve">Madine, M.M., Salah, K., Jayaraman, R., Yaqoob, I., Al-Hammadi, Y., Ellahham, S. et al. 2020, 'Fully decentralized multi-party consent management for secure sharing of patient health records',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225777–225791, &lt;https://doi.org/10.1109/ACCESS.2020.3045048&gt;.</w:t>
      </w:r>
    </w:p>
    <w:p>
      <w:pPr>
        <w:spacing w:after="80" w:line="240"/>
        <w:ind w:left="560" w:hanging="560"/>
        <w:jc w:val="left"/>
      </w:pPr>
      <w:r>
        <w:rPr>
          <w:rFonts w:ascii="Times New Roman" w:cs="Times New Roman" w:eastAsia="Times New Roman" w:hAnsi="Times New Roman"/>
          <w:sz w:val="18"/>
          <w:szCs w:val="18"/>
        </w:rPr>
        <w:t xml:space="preserve">Maruthi, V. &amp; Singh, K. 2025, 'Enhancing security and privacy of IoMT data for unconscious patient with blockchain', </w:t>
      </w:r>
      <w:r>
        <w:rPr>
          <w:rFonts w:ascii="Times New Roman" w:cs="Times New Roman" w:eastAsia="Times New Roman" w:hAnsi="Times New Roman"/>
          <w:i/>
          <w:iCs/>
          <w:sz w:val="18"/>
          <w:szCs w:val="18"/>
        </w:rPr>
        <w:t xml:space="preserve">IEEE Transactions on Network and Service Management</w:t>
      </w:r>
      <w:r>
        <w:rPr>
          <w:rFonts w:ascii="Times New Roman" w:cs="Times New Roman" w:eastAsia="Times New Roman" w:hAnsi="Times New Roman"/>
          <w:sz w:val="18"/>
          <w:szCs w:val="18"/>
        </w:rPr>
        <w:t xml:space="preserve">, vol. 22, no. 6, pp. 5223–5238, &lt;https://doi.org/10.1109/TNSM.2025.3602117&gt;.</w:t>
      </w:r>
    </w:p>
    <w:p>
      <w:pPr>
        <w:spacing w:after="80" w:line="240"/>
        <w:ind w:left="560" w:hanging="560"/>
        <w:jc w:val="left"/>
      </w:pPr>
      <w:r>
        <w:rPr>
          <w:rFonts w:ascii="Times New Roman" w:cs="Times New Roman" w:eastAsia="Times New Roman" w:hAnsi="Times New Roman"/>
          <w:sz w:val="18"/>
          <w:szCs w:val="18"/>
        </w:rPr>
        <w:t xml:space="preserve">Mazzocca, C., Acar, A., Uluagac, A.S., Montanari, R., Bellavista, P. &amp; Conti, M. 2025, 'A survey on decentralized identifiers and verifiable credentials',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27, no. 6, pp. 3641–3671, &lt;https://doi.org/10.1109/COMST.2025.3543197&gt;.</w:t>
      </w:r>
    </w:p>
    <w:p>
      <w:pPr>
        <w:spacing w:after="80" w:line="240"/>
        <w:ind w:left="560" w:hanging="560"/>
        <w:jc w:val="left"/>
      </w:pPr>
      <w:r>
        <w:rPr>
          <w:rFonts w:ascii="Times New Roman" w:cs="Times New Roman" w:eastAsia="Times New Roman" w:hAnsi="Times New Roman"/>
          <w:sz w:val="18"/>
          <w:szCs w:val="18"/>
        </w:rPr>
        <w:t xml:space="preserve">McClelland, R. &amp; Harper, C.M. 2023, 'Information privacy in healthcare — the vital role of informed consent', </w:t>
      </w:r>
      <w:r>
        <w:rPr>
          <w:rFonts w:ascii="Times New Roman" w:cs="Times New Roman" w:eastAsia="Times New Roman" w:hAnsi="Times New Roman"/>
          <w:i/>
          <w:iCs/>
          <w:sz w:val="18"/>
          <w:szCs w:val="18"/>
        </w:rPr>
        <w:t xml:space="preserve">European Journal of Health Law</w:t>
      </w:r>
      <w:r>
        <w:rPr>
          <w:rFonts w:ascii="Times New Roman" w:cs="Times New Roman" w:eastAsia="Times New Roman" w:hAnsi="Times New Roman"/>
          <w:sz w:val="18"/>
          <w:szCs w:val="18"/>
        </w:rPr>
        <w:t xml:space="preserve">, vol. 30, no. 4, pp. 469–480, &lt;https://doi.org/10.1163/15718093-bja10097&gt;.</w:t>
      </w:r>
    </w:p>
    <w:p>
      <w:pPr>
        <w:spacing w:after="80" w:line="240"/>
        <w:ind w:left="560" w:hanging="560"/>
        <w:jc w:val="left"/>
      </w:pPr>
      <w:r>
        <w:rPr>
          <w:rFonts w:ascii="Times New Roman" w:cs="Times New Roman" w:eastAsia="Times New Roman" w:hAnsi="Times New Roman"/>
          <w:sz w:val="18"/>
          <w:szCs w:val="18"/>
        </w:rPr>
        <w:t xml:space="preserve">Mei, L., Huang, K., Li, X., Wang, H. &amp; Zhang, X. 2026, 'Efficient dual-revocation CP-ABE for secure and fine-grained data sharing in IoMT',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14, pp. 30933–30940, &lt;https://doi.org/10.1109/JIOT.2026.3685269&gt;.</w:t>
      </w:r>
    </w:p>
    <w:p>
      <w:pPr>
        <w:spacing w:after="80" w:line="240"/>
        <w:ind w:left="560" w:hanging="560"/>
        <w:jc w:val="left"/>
      </w:pPr>
      <w:r>
        <w:rPr>
          <w:rFonts w:ascii="Times New Roman" w:cs="Times New Roman" w:eastAsia="Times New Roman" w:hAnsi="Times New Roman"/>
          <w:sz w:val="18"/>
          <w:szCs w:val="18"/>
        </w:rPr>
        <w:t xml:space="preserve">Ménétrey, J., Göttel, C., Khurshid, A., Pasin, M., Felber, P., Schiavoni, V. et al. 2022, 'Attestation mechanisms for trusted execution environments demystified', </w:t>
      </w:r>
      <w:r>
        <w:rPr>
          <w:rFonts w:ascii="Times New Roman" w:cs="Times New Roman" w:eastAsia="Times New Roman" w:hAnsi="Times New Roman"/>
          <w:i/>
          <w:iCs/>
          <w:sz w:val="18"/>
          <w:szCs w:val="18"/>
        </w:rPr>
        <w:t xml:space="preserve">IFIP International Conference on Distributed Applications and Interoperable Systems (DAIS 2022), LNCS</w:t>
      </w:r>
      <w:r>
        <w:rPr>
          <w:rFonts w:ascii="Times New Roman" w:cs="Times New Roman" w:eastAsia="Times New Roman" w:hAnsi="Times New Roman"/>
          <w:sz w:val="18"/>
          <w:szCs w:val="18"/>
        </w:rPr>
        <w:t xml:space="preserve">, vol. 13272, pp. 95–113, Springer, &lt;https://doi.org/10.1007/978-3-031-16092-9_7&gt;.</w:t>
      </w:r>
    </w:p>
    <w:p>
      <w:pPr>
        <w:spacing w:after="80" w:line="240"/>
        <w:ind w:left="560" w:hanging="560"/>
        <w:jc w:val="left"/>
      </w:pPr>
      <w:r>
        <w:rPr>
          <w:rFonts w:ascii="Times New Roman" w:cs="Times New Roman" w:eastAsia="Times New Roman" w:hAnsi="Times New Roman"/>
          <w:sz w:val="18"/>
          <w:szCs w:val="18"/>
        </w:rPr>
        <w:t xml:space="preserve">Narkhede, M.R., Wankhede, N.I. &amp; Kamble, A.M. 2025, 'Enhancing patient autonomy in data ownership: Privacy models and consent frameworks for healthcare', </w:t>
      </w:r>
      <w:r>
        <w:rPr>
          <w:rFonts w:ascii="Times New Roman" w:cs="Times New Roman" w:eastAsia="Times New Roman" w:hAnsi="Times New Roman"/>
          <w:i/>
          <w:iCs/>
          <w:sz w:val="18"/>
          <w:szCs w:val="18"/>
        </w:rPr>
        <w:t xml:space="preserve">Journal of Digital Health</w:t>
      </w:r>
      <w:r>
        <w:rPr>
          <w:rFonts w:ascii="Times New Roman" w:cs="Times New Roman" w:eastAsia="Times New Roman" w:hAnsi="Times New Roman"/>
          <w:sz w:val="18"/>
          <w:szCs w:val="18"/>
        </w:rPr>
        <w:t xml:space="preserve">, vol. 4, no. 1, pp. 1–23, &lt;https://doi.org/10.55976/jdh.4202513361-23&gt;.</w:t>
      </w:r>
    </w:p>
    <w:p>
      <w:pPr>
        <w:spacing w:after="80" w:line="240"/>
        <w:ind w:left="560" w:hanging="560"/>
        <w:jc w:val="left"/>
      </w:pPr>
      <w:r>
        <w:rPr>
          <w:rFonts w:ascii="Times New Roman" w:cs="Times New Roman" w:eastAsia="Times New Roman" w:hAnsi="Times New Roman"/>
          <w:sz w:val="18"/>
          <w:szCs w:val="18"/>
        </w:rPr>
        <w:t xml:space="preserve">Nassar Kyriakidou, C.D., Papathanasiou, A.M. &amp; Polyzos, G.C. 2023, 'Decentralized identity with applications to security and privacy for the internet of things', </w:t>
      </w:r>
      <w:r>
        <w:rPr>
          <w:rFonts w:ascii="Times New Roman" w:cs="Times New Roman" w:eastAsia="Times New Roman" w:hAnsi="Times New Roman"/>
          <w:i/>
          <w:iCs/>
          <w:sz w:val="18"/>
          <w:szCs w:val="18"/>
        </w:rPr>
        <w:t xml:space="preserve">Computer Networks and Communications</w:t>
      </w:r>
      <w:r>
        <w:rPr>
          <w:rFonts w:ascii="Times New Roman" w:cs="Times New Roman" w:eastAsia="Times New Roman" w:hAnsi="Times New Roman"/>
          <w:sz w:val="18"/>
          <w:szCs w:val="18"/>
        </w:rPr>
        <w:t xml:space="preserve">, vol. 1, no. 2, pp. 244–271, &lt;https://doi.org/10.37256/cnc.1220233048&gt;.</w:t>
      </w:r>
    </w:p>
    <w:p>
      <w:pPr>
        <w:spacing w:after="80" w:line="240"/>
        <w:ind w:left="560" w:hanging="560"/>
        <w:jc w:val="left"/>
      </w:pPr>
      <w:r>
        <w:rPr>
          <w:rFonts w:ascii="Times New Roman" w:cs="Times New Roman" w:eastAsia="Times New Roman" w:hAnsi="Times New Roman"/>
          <w:sz w:val="18"/>
          <w:szCs w:val="18"/>
        </w:rPr>
        <w:t xml:space="preserve">Nazir, A., Rehmani, M.H., Butler, B. &amp; O’Shea, D. 2026, 'Access control in healthcare IoT: A comprehensive survey', </w:t>
      </w:r>
      <w:r>
        <w:rPr>
          <w:rFonts w:ascii="Times New Roman" w:cs="Times New Roman" w:eastAsia="Times New Roman" w:hAnsi="Times New Roman"/>
          <w:i/>
          <w:iCs/>
          <w:sz w:val="18"/>
          <w:szCs w:val="18"/>
        </w:rPr>
        <w:t xml:space="preserve">Engineering Reports</w:t>
      </w:r>
      <w:r>
        <w:rPr>
          <w:rFonts w:ascii="Times New Roman" w:cs="Times New Roman" w:eastAsia="Times New Roman" w:hAnsi="Times New Roman"/>
          <w:sz w:val="18"/>
          <w:szCs w:val="18"/>
        </w:rPr>
        <w:t xml:space="preserve">, vol. 8, no. 4, p. e70766, &lt;https://doi.org/10.1002/eng2.70766&gt;.</w:t>
      </w:r>
    </w:p>
    <w:p>
      <w:pPr>
        <w:spacing w:after="80" w:line="240"/>
        <w:ind w:left="560" w:hanging="560"/>
        <w:jc w:val="left"/>
      </w:pPr>
      <w:r>
        <w:rPr>
          <w:rFonts w:ascii="Times New Roman" w:cs="Times New Roman" w:eastAsia="Times New Roman" w:hAnsi="Times New Roman"/>
          <w:sz w:val="18"/>
          <w:szCs w:val="18"/>
        </w:rPr>
        <w:t xml:space="preserve">Nguyen, T.L., Nguyen, L., Hoang, T., Bandara, D., Wang, Q., Lu, Q. et al. 2025, 'Blockchain-empowered trustworthy data sharing: Fundamentals, applications, and challenges', </w:t>
      </w:r>
      <w:r>
        <w:rPr>
          <w:rFonts w:ascii="Times New Roman" w:cs="Times New Roman" w:eastAsia="Times New Roman" w:hAnsi="Times New Roman"/>
          <w:i/>
          <w:iCs/>
          <w:sz w:val="18"/>
          <w:szCs w:val="18"/>
        </w:rPr>
        <w:t xml:space="preserve">ACM Computing Surveys</w:t>
      </w:r>
      <w:r>
        <w:rPr>
          <w:rFonts w:ascii="Times New Roman" w:cs="Times New Roman" w:eastAsia="Times New Roman" w:hAnsi="Times New Roman"/>
          <w:sz w:val="18"/>
          <w:szCs w:val="18"/>
        </w:rPr>
        <w:t xml:space="preserve">, vol. 57, no. 8, p. 195, &lt;https://doi.org/10.1145/3718082&gt;.</w:t>
      </w:r>
    </w:p>
    <w:p>
      <w:pPr>
        <w:spacing w:after="80" w:line="240"/>
        <w:ind w:left="560" w:hanging="560"/>
        <w:jc w:val="left"/>
      </w:pPr>
      <w:r>
        <w:rPr>
          <w:rFonts w:ascii="Times New Roman" w:cs="Times New Roman" w:eastAsia="Times New Roman" w:hAnsi="Times New Roman"/>
          <w:sz w:val="18"/>
          <w:szCs w:val="18"/>
        </w:rPr>
        <w:t xml:space="preserve">Page, M.J., McKenzie, J.E., Bossuyt, P.M., Boutron, I., Hoffmann, T.C., Mulrow, C.D. et al. 2021, 'The PRISMA 2020 statement: An updated guideline for reporting systematic reviews', </w:t>
      </w:r>
      <w:r>
        <w:rPr>
          <w:rFonts w:ascii="Times New Roman" w:cs="Times New Roman" w:eastAsia="Times New Roman" w:hAnsi="Times New Roman"/>
          <w:i/>
          <w:iCs/>
          <w:sz w:val="18"/>
          <w:szCs w:val="18"/>
        </w:rPr>
        <w:t xml:space="preserve">BMJ</w:t>
      </w:r>
      <w:r>
        <w:rPr>
          <w:rFonts w:ascii="Times New Roman" w:cs="Times New Roman" w:eastAsia="Times New Roman" w:hAnsi="Times New Roman"/>
          <w:sz w:val="18"/>
          <w:szCs w:val="18"/>
        </w:rPr>
        <w:t xml:space="preserve">, vol. 372, p. n71, &lt;https://doi.org/10.1136/bmj.n71&gt;.</w:t>
      </w:r>
    </w:p>
    <w:p>
      <w:pPr>
        <w:spacing w:after="80" w:line="240"/>
        <w:ind w:left="560" w:hanging="560"/>
        <w:jc w:val="left"/>
      </w:pPr>
      <w:r>
        <w:rPr>
          <w:rFonts w:ascii="Times New Roman" w:cs="Times New Roman" w:eastAsia="Times New Roman" w:hAnsi="Times New Roman"/>
          <w:sz w:val="18"/>
          <w:szCs w:val="18"/>
        </w:rPr>
        <w:t xml:space="preserve">Panagoulias, D.P., Damian, A.I., Stamate, C., Toderian, V., Butusina, P., De Franceschi, A. et al. 2026, 'Blockchain-enabled trust and compliance for clinical AI: Decentralized governance without decentralized data storage',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15, no. 14, p. 3046, &lt;https://doi.org/10.3390/electronics15143046&gt;.</w:t>
      </w:r>
    </w:p>
    <w:p>
      <w:pPr>
        <w:spacing w:after="80" w:line="240"/>
        <w:ind w:left="560" w:hanging="560"/>
        <w:jc w:val="left"/>
      </w:pPr>
      <w:r>
        <w:rPr>
          <w:rFonts w:ascii="Times New Roman" w:cs="Times New Roman" w:eastAsia="Times New Roman" w:hAnsi="Times New Roman"/>
          <w:sz w:val="18"/>
          <w:szCs w:val="18"/>
        </w:rPr>
        <w:t xml:space="preserve">Parameswarath, R.P., Gope, P. &amp; Sikdar, B. 2022, 'User-empowered privacy-preserving authentication protocol for electric vehicle charging based on decentralized identity and verifiable credential', </w:t>
      </w:r>
      <w:r>
        <w:rPr>
          <w:rFonts w:ascii="Times New Roman" w:cs="Times New Roman" w:eastAsia="Times New Roman" w:hAnsi="Times New Roman"/>
          <w:i/>
          <w:iCs/>
          <w:sz w:val="18"/>
          <w:szCs w:val="18"/>
        </w:rPr>
        <w:t xml:space="preserve">ACM Transactions on Management Information Systems</w:t>
      </w:r>
      <w:r>
        <w:rPr>
          <w:rFonts w:ascii="Times New Roman" w:cs="Times New Roman" w:eastAsia="Times New Roman" w:hAnsi="Times New Roman"/>
          <w:sz w:val="18"/>
          <w:szCs w:val="18"/>
        </w:rPr>
        <w:t xml:space="preserve">, vol. 13, no. 4, p. 44, &lt;https://doi.org/10.1145/3532869&gt;.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2026a, 'A blockchain-based architecture for dynamic and auditable patient consent in secondary use of health data', </w:t>
      </w:r>
      <w:r>
        <w:rPr>
          <w:rFonts w:ascii="Times New Roman" w:cs="Times New Roman" w:eastAsia="Times New Roman" w:hAnsi="Times New Roman"/>
          <w:i/>
          <w:iCs/>
          <w:sz w:val="18"/>
          <w:szCs w:val="18"/>
        </w:rPr>
        <w:t xml:space="preserve">Blockchain in Healthcare Today</w:t>
      </w:r>
      <w:r>
        <w:rPr>
          <w:rFonts w:ascii="Times New Roman" w:cs="Times New Roman" w:eastAsia="Times New Roman" w:hAnsi="Times New Roman"/>
          <w:sz w:val="18"/>
          <w:szCs w:val="18"/>
        </w:rPr>
        <w:t xml:space="preserve">, vol. 9, no. 1, p. 491, &lt;https://doi.org/10.30953/bhty.v9.491&gt;.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2026b, 'Enabling cross-institution health data sharing in Norway: EUDI wallets, on-chain consent, and openEHR↔FHIR translation',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20309–20327, &lt;https://doi.org/10.1109/ACCESS.2026.3661642&gt;.</w:t>
      </w:r>
    </w:p>
    <w:p>
      <w:pPr>
        <w:spacing w:after="80" w:line="240"/>
        <w:ind w:left="560" w:hanging="560"/>
        <w:jc w:val="left"/>
      </w:pPr>
      <w:r>
        <w:rPr>
          <w:rFonts w:ascii="Times New Roman" w:cs="Times New Roman" w:eastAsia="Times New Roman" w:hAnsi="Times New Roman"/>
          <w:sz w:val="18"/>
          <w:szCs w:val="18"/>
        </w:rPr>
        <w:t xml:space="preserve">Prashanth, M.S., Karnati, R., Velpuru, M.S. &amp; Venkateshwara Reddy, H. 2024, 'Enhancing health record security and privacy with blockchain-based access management', </w:t>
      </w:r>
      <w:r>
        <w:rPr>
          <w:rFonts w:ascii="Times New Roman" w:cs="Times New Roman" w:eastAsia="Times New Roman" w:hAnsi="Times New Roman"/>
          <w:i/>
          <w:iCs/>
          <w:sz w:val="18"/>
          <w:szCs w:val="18"/>
        </w:rPr>
        <w:t xml:space="preserve">Pervasive Knowledge and Collective Intelligence on Web and Social Media (PerSOM 2023), LNICST</w:t>
      </w:r>
      <w:r>
        <w:rPr>
          <w:rFonts w:ascii="Times New Roman" w:cs="Times New Roman" w:eastAsia="Times New Roman" w:hAnsi="Times New Roman"/>
          <w:sz w:val="18"/>
          <w:szCs w:val="18"/>
        </w:rPr>
        <w:t xml:space="preserve">, vol. 517, pp. 182–202, Springer, &lt;https://doi.org/10.1007/978-3-031-66044-3_13&gt;.</w:t>
      </w:r>
    </w:p>
    <w:p>
      <w:pPr>
        <w:spacing w:after="80" w:line="240"/>
        <w:ind w:left="560" w:hanging="560"/>
        <w:jc w:val="left"/>
      </w:pPr>
      <w:r>
        <w:rPr>
          <w:rFonts w:ascii="Times New Roman" w:cs="Times New Roman" w:eastAsia="Times New Roman" w:hAnsi="Times New Roman"/>
          <w:sz w:val="18"/>
          <w:szCs w:val="18"/>
        </w:rPr>
        <w:t xml:space="preserve">Punia, A., Gulia, P., Gill, N.S., Kaushik, D., Alduaiji, N., Shukla, P.K. et al. 2025, 'An access control system for cloud-based healthcare systems driven by blockchain', </w:t>
      </w:r>
      <w:r>
        <w:rPr>
          <w:rFonts w:ascii="Times New Roman" w:cs="Times New Roman" w:eastAsia="Times New Roman" w:hAnsi="Times New Roman"/>
          <w:i/>
          <w:iCs/>
          <w:sz w:val="18"/>
          <w:szCs w:val="18"/>
        </w:rPr>
        <w:t xml:space="preserve">Journal of Cloud Computing</w:t>
      </w:r>
      <w:r>
        <w:rPr>
          <w:rFonts w:ascii="Times New Roman" w:cs="Times New Roman" w:eastAsia="Times New Roman" w:hAnsi="Times New Roman"/>
          <w:sz w:val="18"/>
          <w:szCs w:val="18"/>
        </w:rPr>
        <w:t xml:space="preserve">, vol. 14, no. 1, p. 78, &lt;https://doi.org/10.1186/s13677-025-00831-z&gt;.</w:t>
      </w:r>
    </w:p>
    <w:p>
      <w:pPr>
        <w:spacing w:after="80" w:line="240"/>
        <w:ind w:left="560" w:hanging="560"/>
        <w:jc w:val="left"/>
      </w:pPr>
      <w:r>
        <w:rPr>
          <w:rFonts w:ascii="Times New Roman" w:cs="Times New Roman" w:eastAsia="Times New Roman" w:hAnsi="Times New Roman"/>
          <w:sz w:val="18"/>
          <w:szCs w:val="18"/>
        </w:rPr>
        <w:t xml:space="preserve">Román-Martínez, I., Calvillo-Arbizu, J., Mayor-Gallego, V.J., Madinabeitia-Luque, G., Estepa-Alonso, A.J. &amp; Estepa-Alonso, R.M. 2023, 'Blockchain-based service-oriented architecture for consent management, access control, and auditing',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11, pp. 12727–12741, &lt;https://doi.org/10.1109/ACCESS.2023.3242605&gt;.</w:t>
      </w:r>
    </w:p>
    <w:p>
      <w:pPr>
        <w:spacing w:after="80" w:line="240"/>
        <w:ind w:left="560" w:hanging="560"/>
        <w:jc w:val="left"/>
      </w:pPr>
      <w:r>
        <w:rPr>
          <w:rFonts w:ascii="Times New Roman" w:cs="Times New Roman" w:eastAsia="Times New Roman" w:hAnsi="Times New Roman"/>
          <w:sz w:val="18"/>
          <w:szCs w:val="18"/>
        </w:rPr>
        <w:t xml:space="preserve">Sawant, N.M. &amp; Gomes, J. 2026, 'A decentralized solution for smarter and safer healthcare systems with FabricMedChain', </w:t>
      </w:r>
      <w:r>
        <w:rPr>
          <w:rFonts w:ascii="Times New Roman" w:cs="Times New Roman" w:eastAsia="Times New Roman" w:hAnsi="Times New Roman"/>
          <w:i/>
          <w:iCs/>
          <w:sz w:val="18"/>
          <w:szCs w:val="18"/>
        </w:rPr>
        <w:t xml:space="preserve">Iranian Journal of Science and Technology, Transactions of Electrical Engineering</w:t>
      </w:r>
      <w:r>
        <w:rPr>
          <w:rFonts w:ascii="Times New Roman" w:cs="Times New Roman" w:eastAsia="Times New Roman" w:hAnsi="Times New Roman"/>
          <w:sz w:val="18"/>
          <w:szCs w:val="18"/>
        </w:rPr>
        <w:t xml:space="preserve">, vol. 50, pp. 2843–2869, &lt;https://doi.org/10.1007/s40998-025-00994-0&gt;.</w:t>
      </w:r>
    </w:p>
    <w:p>
      <w:pPr>
        <w:spacing w:after="80" w:line="240"/>
        <w:ind w:left="560" w:hanging="560"/>
        <w:jc w:val="left"/>
      </w:pPr>
      <w:r>
        <w:rPr>
          <w:rFonts w:ascii="Times New Roman" w:cs="Times New Roman" w:eastAsia="Times New Roman" w:hAnsi="Times New Roman"/>
          <w:sz w:val="18"/>
          <w:szCs w:val="18"/>
        </w:rPr>
        <w:t xml:space="preserve">Shanmugham, M. &amp; Senthilkumar, C. 2026, 'Blockchain enabled self-sovereign identity and consent framework for secure healthcare data access', </w:t>
      </w:r>
      <w:r>
        <w:rPr>
          <w:rFonts w:ascii="Times New Roman" w:cs="Times New Roman" w:eastAsia="Times New Roman" w:hAnsi="Times New Roman"/>
          <w:i/>
          <w:iCs/>
          <w:sz w:val="18"/>
          <w:szCs w:val="18"/>
        </w:rPr>
        <w:t xml:space="preserve">2026 3rd International Conference on Emerging Trends in Engineering and Medical Sciences (ICETEMS)</w:t>
      </w:r>
      <w:r>
        <w:rPr>
          <w:rFonts w:ascii="Times New Roman" w:cs="Times New Roman" w:eastAsia="Times New Roman" w:hAnsi="Times New Roman"/>
          <w:sz w:val="18"/>
          <w:szCs w:val="18"/>
        </w:rPr>
        <w:t xml:space="preserve">, pp. 1–6, &lt;https://doi.org/10.1109/ICETEMS66917.2026.11469586&gt;.</w:t>
      </w:r>
    </w:p>
    <w:p>
      <w:pPr>
        <w:spacing w:after="80" w:line="240"/>
        <w:ind w:left="560" w:hanging="560"/>
        <w:jc w:val="left"/>
      </w:pPr>
      <w:r>
        <w:rPr>
          <w:rFonts w:ascii="Times New Roman" w:cs="Times New Roman" w:eastAsia="Times New Roman" w:hAnsi="Times New Roman"/>
          <w:sz w:val="18"/>
          <w:szCs w:val="18"/>
        </w:rPr>
        <w:t xml:space="preserve">SooHoo, S.L., Keller, M.S., Chen, Y., Hu, D., Huang, S.-C., Kuo, T.-T. et al. 2026, 'Development of the authentication and authorization processes for the iAgree portal, a platform for patient-controlled data sharing across health systems', </w:t>
      </w:r>
      <w:r>
        <w:rPr>
          <w:rFonts w:ascii="Times New Roman" w:cs="Times New Roman" w:eastAsia="Times New Roman" w:hAnsi="Times New Roman"/>
          <w:i/>
          <w:iCs/>
          <w:sz w:val="18"/>
          <w:szCs w:val="18"/>
        </w:rPr>
        <w:t xml:space="preserve">JAMIA Open</w:t>
      </w:r>
      <w:r>
        <w:rPr>
          <w:rFonts w:ascii="Times New Roman" w:cs="Times New Roman" w:eastAsia="Times New Roman" w:hAnsi="Times New Roman"/>
          <w:sz w:val="18"/>
          <w:szCs w:val="18"/>
        </w:rPr>
        <w:t xml:space="preserve">, vol. 9, no. 3, p. ooag111, &lt;https://doi.org/10.1093/jamiaopen/ooag111&gt;.</w:t>
      </w:r>
    </w:p>
    <w:p>
      <w:pPr>
        <w:spacing w:after="80" w:line="240"/>
        <w:ind w:left="560" w:hanging="560"/>
        <w:jc w:val="left"/>
      </w:pPr>
      <w:r>
        <w:rPr>
          <w:rFonts w:ascii="Times New Roman" w:cs="Times New Roman" w:eastAsia="Times New Roman" w:hAnsi="Times New Roman"/>
          <w:sz w:val="18"/>
          <w:szCs w:val="18"/>
        </w:rPr>
        <w:t xml:space="preserve">Tan, K.-L., Chi, C.-H. &amp; Lam, K.-Y. 2024, 'Secure and privacy-preserving sharing of personal health records with multi-party pre-authorization verification', </w:t>
      </w:r>
      <w:r>
        <w:rPr>
          <w:rFonts w:ascii="Times New Roman" w:cs="Times New Roman" w:eastAsia="Times New Roman" w:hAnsi="Times New Roman"/>
          <w:i/>
          <w:iCs/>
          <w:sz w:val="18"/>
          <w:szCs w:val="18"/>
        </w:rPr>
        <w:t xml:space="preserve">Wireless Networks</w:t>
      </w:r>
      <w:r>
        <w:rPr>
          <w:rFonts w:ascii="Times New Roman" w:cs="Times New Roman" w:eastAsia="Times New Roman" w:hAnsi="Times New Roman"/>
          <w:sz w:val="18"/>
          <w:szCs w:val="18"/>
        </w:rPr>
        <w:t xml:space="preserve">, vol. 30, no. 4, pp. 4773–4795, &lt;https://doi.org/10.1007/s11276-022-03114-6&gt;.</w:t>
      </w:r>
    </w:p>
    <w:p>
      <w:pPr>
        <w:spacing w:after="80" w:line="240"/>
        <w:ind w:left="560" w:hanging="560"/>
        <w:jc w:val="left"/>
      </w:pPr>
      <w:r>
        <w:rPr>
          <w:rFonts w:ascii="Times New Roman" w:cs="Times New Roman" w:eastAsia="Times New Roman" w:hAnsi="Times New Roman"/>
          <w:sz w:val="18"/>
          <w:szCs w:val="18"/>
        </w:rPr>
        <w:t xml:space="preserve">Tawfik, A.M., Al-Ahwal, A., Tag Eldien, A.S. &amp; Zayed, H.H. 2025, 'Blockchain-based access control and privacy preservation in healthcare: A comprehensive survey', </w:t>
      </w:r>
      <w:r>
        <w:rPr>
          <w:rFonts w:ascii="Times New Roman" w:cs="Times New Roman" w:eastAsia="Times New Roman" w:hAnsi="Times New Roman"/>
          <w:i/>
          <w:iCs/>
          <w:sz w:val="18"/>
          <w:szCs w:val="18"/>
        </w:rPr>
        <w:t xml:space="preserve">Cluster Computing</w:t>
      </w:r>
      <w:r>
        <w:rPr>
          <w:rFonts w:ascii="Times New Roman" w:cs="Times New Roman" w:eastAsia="Times New Roman" w:hAnsi="Times New Roman"/>
          <w:sz w:val="18"/>
          <w:szCs w:val="18"/>
        </w:rPr>
        <w:t xml:space="preserve">, vol. 28, p. 529, &lt;https://doi.org/10.1007/s10586-025-05308-x&gt;.</w:t>
      </w:r>
    </w:p>
    <w:p>
      <w:pPr>
        <w:spacing w:after="80" w:line="240"/>
        <w:ind w:left="560" w:hanging="560"/>
        <w:jc w:val="left"/>
      </w:pPr>
      <w:r>
        <w:rPr>
          <w:rFonts w:ascii="Times New Roman" w:cs="Times New Roman" w:eastAsia="Times New Roman" w:hAnsi="Times New Roman"/>
          <w:sz w:val="18"/>
          <w:szCs w:val="18"/>
        </w:rPr>
        <w:t xml:space="preserve">Teeda, A. &amp; Subba Rao, Y.V. 2026, 'A patient-centric blockchain based electronic health records for data privacy and confidentiality', </w:t>
      </w:r>
      <w:r>
        <w:rPr>
          <w:rFonts w:ascii="Times New Roman" w:cs="Times New Roman" w:eastAsia="Times New Roman" w:hAnsi="Times New Roman"/>
          <w:i/>
          <w:iCs/>
          <w:sz w:val="18"/>
          <w:szCs w:val="18"/>
        </w:rPr>
        <w:t xml:space="preserve">International Conference on Smart Computing and Informatics, LNNS</w:t>
      </w:r>
      <w:r>
        <w:rPr>
          <w:rFonts w:ascii="Times New Roman" w:cs="Times New Roman" w:eastAsia="Times New Roman" w:hAnsi="Times New Roman"/>
          <w:sz w:val="18"/>
          <w:szCs w:val="18"/>
        </w:rPr>
        <w:t xml:space="preserve">, vol. 1684, pp. 179–192, Springer, &lt;https://doi.org/10.1007/978-3-032-08246-6_15&gt;.</w:t>
      </w:r>
    </w:p>
    <w:p>
      <w:pPr>
        <w:spacing w:after="80" w:line="240"/>
        <w:ind w:left="560" w:hanging="560"/>
        <w:jc w:val="left"/>
      </w:pPr>
      <w:r>
        <w:rPr>
          <w:rFonts w:ascii="Times New Roman" w:cs="Times New Roman" w:eastAsia="Times New Roman" w:hAnsi="Times New Roman"/>
          <w:sz w:val="18"/>
          <w:szCs w:val="18"/>
        </w:rPr>
        <w:t xml:space="preserve">Theodorakopoulos, L., Theodoropoulou, A. &amp; Halkiopoulos, C. 2024, 'Enhancing decentralized decision-making with big data and blockchain technology: A comprehensive review', </w:t>
      </w:r>
      <w:r>
        <w:rPr>
          <w:rFonts w:ascii="Times New Roman" w:cs="Times New Roman" w:eastAsia="Times New Roman" w:hAnsi="Times New Roman"/>
          <w:i/>
          <w:iCs/>
          <w:sz w:val="18"/>
          <w:szCs w:val="18"/>
        </w:rPr>
        <w:t xml:space="preserve">Applied Sciences</w:t>
      </w:r>
      <w:r>
        <w:rPr>
          <w:rFonts w:ascii="Times New Roman" w:cs="Times New Roman" w:eastAsia="Times New Roman" w:hAnsi="Times New Roman"/>
          <w:sz w:val="18"/>
          <w:szCs w:val="18"/>
        </w:rPr>
        <w:t xml:space="preserve">, vol. 14, no. 16, p. 7007, &lt;https://doi.org/10.3390/app14167007&gt;.</w:t>
      </w:r>
    </w:p>
    <w:p>
      <w:pPr>
        <w:spacing w:after="80" w:line="240"/>
        <w:ind w:left="560" w:hanging="560"/>
        <w:jc w:val="left"/>
      </w:pPr>
      <w:r>
        <w:rPr>
          <w:rFonts w:ascii="Times New Roman" w:cs="Times New Roman" w:eastAsia="Times New Roman" w:hAnsi="Times New Roman"/>
          <w:sz w:val="18"/>
          <w:szCs w:val="18"/>
        </w:rPr>
        <w:t xml:space="preserve">Tith, D., Lee, J.-S., Suzuki, H., Wijesundara, W.M.A.B., Taira, N., Obi, T. et al. 2020, 'Patient consent management by a purpose-based consent model for electronic health record based on blockchain technology', </w:t>
      </w:r>
      <w:r>
        <w:rPr>
          <w:rFonts w:ascii="Times New Roman" w:cs="Times New Roman" w:eastAsia="Times New Roman" w:hAnsi="Times New Roman"/>
          <w:i/>
          <w:iCs/>
          <w:sz w:val="18"/>
          <w:szCs w:val="18"/>
        </w:rPr>
        <w:t xml:space="preserve">Healthcare Informatics Research</w:t>
      </w:r>
      <w:r>
        <w:rPr>
          <w:rFonts w:ascii="Times New Roman" w:cs="Times New Roman" w:eastAsia="Times New Roman" w:hAnsi="Times New Roman"/>
          <w:sz w:val="18"/>
          <w:szCs w:val="18"/>
        </w:rPr>
        <w:t xml:space="preserve">, vol. 26, no. 4, pp. 265–273, &lt;https://doi.org/10.4258/hir.2020.26.4.265&gt;.</w:t>
      </w:r>
    </w:p>
    <w:p>
      <w:pPr>
        <w:spacing w:after="80" w:line="240"/>
        <w:ind w:left="560" w:hanging="560"/>
        <w:jc w:val="left"/>
      </w:pPr>
      <w:r>
        <w:rPr>
          <w:rFonts w:ascii="Times New Roman" w:cs="Times New Roman" w:eastAsia="Times New Roman" w:hAnsi="Times New Roman"/>
          <w:sz w:val="18"/>
          <w:szCs w:val="18"/>
        </w:rPr>
        <w:t xml:space="preserve">Tremper, G., Brenner, T., Ben Amor, M., Kussel, T. &amp; Lablans, M. 2026, 'Mainzelliste: Ten years of pseudonymization, record linkage, and informed consent management', </w:t>
      </w:r>
      <w:r>
        <w:rPr>
          <w:rFonts w:ascii="Times New Roman" w:cs="Times New Roman" w:eastAsia="Times New Roman" w:hAnsi="Times New Roman"/>
          <w:i/>
          <w:iCs/>
          <w:sz w:val="18"/>
          <w:szCs w:val="18"/>
        </w:rPr>
        <w:t xml:space="preserve">Patterns</w:t>
      </w:r>
      <w:r>
        <w:rPr>
          <w:rFonts w:ascii="Times New Roman" w:cs="Times New Roman" w:eastAsia="Times New Roman" w:hAnsi="Times New Roman"/>
          <w:sz w:val="18"/>
          <w:szCs w:val="18"/>
        </w:rPr>
        <w:t xml:space="preserve">, vol. 7, no. 1, p. 101432, &lt;https://doi.org/10.1016/j.patter.2025.101432&gt;.</w:t>
      </w:r>
    </w:p>
    <w:p>
      <w:pPr>
        <w:spacing w:after="80" w:line="240"/>
        <w:ind w:left="560" w:hanging="560"/>
        <w:jc w:val="left"/>
      </w:pPr>
      <w:r>
        <w:rPr>
          <w:rFonts w:ascii="Times New Roman" w:cs="Times New Roman" w:eastAsia="Times New Roman" w:hAnsi="Times New Roman"/>
          <w:sz w:val="18"/>
          <w:szCs w:val="18"/>
        </w:rPr>
        <w:t xml:space="preserve">Tseng, C.-H., Hsieh, Y.-H., Lin, H.-Y. &amp; Yuan, S.-M. 2025, 'EMR-Chain: Decentralized electronic medical record exchange system', </w:t>
      </w:r>
      <w:r>
        <w:rPr>
          <w:rFonts w:ascii="Times New Roman" w:cs="Times New Roman" w:eastAsia="Times New Roman" w:hAnsi="Times New Roman"/>
          <w:i/>
          <w:iCs/>
          <w:sz w:val="18"/>
          <w:szCs w:val="18"/>
        </w:rPr>
        <w:t xml:space="preserve">Technologies</w:t>
      </w:r>
      <w:r>
        <w:rPr>
          <w:rFonts w:ascii="Times New Roman" w:cs="Times New Roman" w:eastAsia="Times New Roman" w:hAnsi="Times New Roman"/>
          <w:sz w:val="18"/>
          <w:szCs w:val="18"/>
        </w:rPr>
        <w:t xml:space="preserve">, vol. 13, no. 10, p. 446, &lt;https://doi.org/10.3390/technologies13100446&gt;.</w:t>
      </w:r>
    </w:p>
    <w:p>
      <w:pPr>
        <w:spacing w:after="80" w:line="240"/>
        <w:ind w:left="560" w:hanging="560"/>
        <w:jc w:val="left"/>
      </w:pPr>
      <w:r>
        <w:rPr>
          <w:rFonts w:ascii="Times New Roman" w:cs="Times New Roman" w:eastAsia="Times New Roman" w:hAnsi="Times New Roman"/>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rFonts w:ascii="Times New Roman" w:cs="Times New Roman" w:eastAsia="Times New Roman" w:hAnsi="Times New Roman"/>
          <w:i/>
          <w:iCs/>
          <w:sz w:val="18"/>
          <w:szCs w:val="18"/>
        </w:rPr>
        <w:t xml:space="preserve">Nata Palemahan: Journal of Environmental Engineering Innovations</w:t>
      </w:r>
      <w:r>
        <w:rPr>
          <w:rFonts w:ascii="Times New Roman" w:cs="Times New Roman" w:eastAsia="Times New Roman" w:hAnsi="Times New Roman"/>
          <w:sz w:val="18"/>
          <w:szCs w:val="18"/>
        </w:rPr>
        <w:t xml:space="preserve">, vol. 2, no. 2, pp. 70–79, &lt;https://doi.org/10.38043/natapalemahan.v2i2.6996&gt;.</w:t>
      </w:r>
    </w:p>
    <w:p>
      <w:pPr>
        <w:spacing w:after="80" w:line="240"/>
        <w:ind w:left="560" w:hanging="560"/>
        <w:jc w:val="left"/>
      </w:pPr>
      <w:r>
        <w:rPr>
          <w:rFonts w:ascii="Times New Roman" w:cs="Times New Roman" w:eastAsia="Times New Roman" w:hAnsi="Times New Roman"/>
          <w:sz w:val="18"/>
          <w:szCs w:val="18"/>
        </w:rPr>
        <w:t xml:space="preserve">Walonoski, J., Kramer, M., Nichols, J., Quina, A., Moesel, C., Hall, D. et al. 2018, 'Synthea: An approach, method, and software mechanism for generating synthetic patients and the synthetic electronic health care record', </w:t>
      </w:r>
      <w:r>
        <w:rPr>
          <w:rFonts w:ascii="Times New Roman" w:cs="Times New Roman" w:eastAsia="Times New Roman" w:hAnsi="Times New Roman"/>
          <w:i/>
          <w:iCs/>
          <w:sz w:val="18"/>
          <w:szCs w:val="18"/>
        </w:rPr>
        <w:t xml:space="preserve">Journal of the American Medical Informatics Association</w:t>
      </w:r>
      <w:r>
        <w:rPr>
          <w:rFonts w:ascii="Times New Roman" w:cs="Times New Roman" w:eastAsia="Times New Roman" w:hAnsi="Times New Roman"/>
          <w:sz w:val="18"/>
          <w:szCs w:val="18"/>
        </w:rPr>
        <w:t xml:space="preserve">, vol. 25, no. 3, pp. 230–238, &lt;https://doi.org/10.1093/jamia/ocx079&gt;.</w:t>
      </w:r>
    </w:p>
    <w:p>
      <w:pPr>
        <w:spacing w:after="80" w:line="240"/>
        <w:ind w:left="560" w:hanging="560"/>
        <w:jc w:val="left"/>
      </w:pPr>
      <w:r>
        <w:rPr>
          <w:rFonts w:ascii="Times New Roman" w:cs="Times New Roman" w:eastAsia="Times New Roman" w:hAnsi="Times New Roman"/>
          <w:sz w:val="18"/>
          <w:szCs w:val="18"/>
        </w:rPr>
        <w:t xml:space="preserve">Webber, E.C., Brick, D., Scibilia, J.P., Dehnel, P., Council on Clinical Information Technology et al. 2019, 'Electronic communication of the health record and information with pediatric patients and their guardians', </w:t>
      </w:r>
      <w:r>
        <w:rPr>
          <w:rFonts w:ascii="Times New Roman" w:cs="Times New Roman" w:eastAsia="Times New Roman" w:hAnsi="Times New Roman"/>
          <w:i/>
          <w:iCs/>
          <w:sz w:val="18"/>
          <w:szCs w:val="18"/>
        </w:rPr>
        <w:t xml:space="preserve">Pediatrics</w:t>
      </w:r>
      <w:r>
        <w:rPr>
          <w:rFonts w:ascii="Times New Roman" w:cs="Times New Roman" w:eastAsia="Times New Roman" w:hAnsi="Times New Roman"/>
          <w:sz w:val="18"/>
          <w:szCs w:val="18"/>
        </w:rPr>
        <w:t xml:space="preserve">, vol. 144, no. 1, p. e20191359, &lt;https://doi.org/10.1542/peds.2019-1359&gt;.</w:t>
      </w:r>
    </w:p>
    <w:p>
      <w:pPr>
        <w:spacing w:after="80" w:line="240"/>
        <w:ind w:left="560" w:hanging="560"/>
        <w:jc w:val="left"/>
      </w:pPr>
      <w:r>
        <w:rPr>
          <w:rFonts w:ascii="Times New Roman" w:cs="Times New Roman" w:eastAsia="Times New Roman" w:hAnsi="Times New Roman"/>
          <w:sz w:val="18"/>
          <w:szCs w:val="18"/>
        </w:rPr>
        <w:t xml:space="preserve">Welzel, C., Ostermann, M., Smith, H.L., Minssen, T., Kirsten, T. &amp; Gilbert, S. 2025, 'Enabling secure and self determined health data sharing and consent management', </w:t>
      </w:r>
      <w:r>
        <w:rPr>
          <w:rFonts w:ascii="Times New Roman" w:cs="Times New Roman" w:eastAsia="Times New Roman" w:hAnsi="Times New Roman"/>
          <w:i/>
          <w:iCs/>
          <w:sz w:val="18"/>
          <w:szCs w:val="18"/>
        </w:rPr>
        <w:t xml:space="preserve">npj Digital Medicine</w:t>
      </w:r>
      <w:r>
        <w:rPr>
          <w:rFonts w:ascii="Times New Roman" w:cs="Times New Roman" w:eastAsia="Times New Roman" w:hAnsi="Times New Roman"/>
          <w:sz w:val="18"/>
          <w:szCs w:val="18"/>
        </w:rPr>
        <w:t xml:space="preserve">, vol. 8, no. 1, p. 560, &lt;https://doi.org/10.1038/s41746-025-01945-z&gt;.</w:t>
      </w:r>
    </w:p>
    <w:p>
      <w:pPr>
        <w:spacing w:after="80" w:line="240"/>
        <w:ind w:left="560" w:hanging="560"/>
        <w:jc w:val="left"/>
      </w:pPr>
      <w:r>
        <w:rPr>
          <w:rFonts w:ascii="Times New Roman" w:cs="Times New Roman" w:eastAsia="Times New Roman" w:hAnsi="Times New Roman"/>
          <w:sz w:val="18"/>
          <w:szCs w:val="18"/>
        </w:rPr>
        <w:t xml:space="preserve">Wood, G. 2014, </w:t>
      </w:r>
      <w:r>
        <w:rPr>
          <w:rFonts w:ascii="Times New Roman" w:cs="Times New Roman" w:eastAsia="Times New Roman" w:hAnsi="Times New Roman"/>
          <w:i/>
          <w:iCs/>
          <w:sz w:val="18"/>
          <w:szCs w:val="18"/>
        </w:rPr>
        <w:t xml:space="preserve">Ethereum: A secure decentralised generalised transaction ledger</w:t>
      </w:r>
      <w:r>
        <w:rPr>
          <w:rFonts w:ascii="Times New Roman" w:cs="Times New Roman" w:eastAsia="Times New Roman" w:hAnsi="Times New Roman"/>
          <w:sz w:val="18"/>
          <w:szCs w:val="18"/>
        </w:rPr>
        <w:t xml:space="preserve">, Ethereum Project Yellow Paper.</w:t>
      </w:r>
    </w:p>
    <w:p>
      <w:pPr>
        <w:spacing w:after="80" w:line="240"/>
        <w:ind w:left="560" w:hanging="560"/>
        <w:jc w:val="left"/>
      </w:pPr>
      <w:r>
        <w:rPr>
          <w:rFonts w:ascii="Times New Roman" w:cs="Times New Roman" w:eastAsia="Times New Roman" w:hAnsi="Times New Roman"/>
          <w:sz w:val="18"/>
          <w:szCs w:val="18"/>
        </w:rPr>
        <w:t xml:space="preserve">Wu, Y., Liu, C., Sebald, L., Nguyen, P. &amp; Yesha, Y. 2022, 'Apply trust computing and privacy preserving smart contracts to manage, share, and analyze multi-site clinical trial data', </w:t>
      </w:r>
      <w:r>
        <w:rPr>
          <w:rFonts w:ascii="Times New Roman" w:cs="Times New Roman" w:eastAsia="Times New Roman" w:hAnsi="Times New Roman"/>
          <w:i/>
          <w:iCs/>
          <w:sz w:val="18"/>
          <w:szCs w:val="18"/>
        </w:rPr>
        <w:t xml:space="preserve">Proceedings of the International Conference on Deep Learning, Big Data and Blockchain (DBB 2022), LNNS</w:t>
      </w:r>
      <w:r>
        <w:rPr>
          <w:rFonts w:ascii="Times New Roman" w:cs="Times New Roman" w:eastAsia="Times New Roman" w:hAnsi="Times New Roman"/>
          <w:sz w:val="18"/>
          <w:szCs w:val="18"/>
        </w:rPr>
        <w:t xml:space="preserve">, vol. 541, pp. 3–14, Springer, &lt;https://doi.org/10.1007/978-3-031-16035-6_1&gt;.</w:t>
      </w:r>
    </w:p>
    <w:p>
      <w:pPr>
        <w:spacing w:after="80" w:line="240"/>
        <w:ind w:left="560" w:hanging="560"/>
        <w:jc w:val="left"/>
      </w:pPr>
      <w:r>
        <w:rPr>
          <w:rFonts w:ascii="Times New Roman" w:cs="Times New Roman" w:eastAsia="Times New Roman" w:hAnsi="Times New Roman"/>
          <w:sz w:val="18"/>
          <w:szCs w:val="18"/>
        </w:rPr>
        <w:t xml:space="preserve">Wu, Z. &amp; Zhang, D. 2025, 'HealthDID: An efficient and authorizable multi-party privacy-preserving EMR sharing system based on DID', </w:t>
      </w:r>
      <w:r>
        <w:rPr>
          <w:rFonts w:ascii="Times New Roman" w:cs="Times New Roman" w:eastAsia="Times New Roman" w:hAnsi="Times New Roman"/>
          <w:i/>
          <w:iCs/>
          <w:sz w:val="18"/>
          <w:szCs w:val="18"/>
        </w:rPr>
        <w:t xml:space="preserve">Computer Standards &amp; Interfaces</w:t>
      </w:r>
      <w:r>
        <w:rPr>
          <w:rFonts w:ascii="Times New Roman" w:cs="Times New Roman" w:eastAsia="Times New Roman" w:hAnsi="Times New Roman"/>
          <w:sz w:val="18"/>
          <w:szCs w:val="18"/>
        </w:rPr>
        <w:t xml:space="preserve">, vol. 93, p. 103967, &lt;https://doi.org/10.1016/j.csi.2024.103967&gt;.</w:t>
      </w:r>
    </w:p>
    <w:p>
      <w:pPr>
        <w:spacing w:after="80" w:line="240"/>
        <w:ind w:left="560" w:hanging="560"/>
        <w:jc w:val="left"/>
      </w:pPr>
      <w:r>
        <w:rPr>
          <w:rFonts w:ascii="Times New Roman" w:cs="Times New Roman" w:eastAsia="Times New Roman" w:hAnsi="Times New Roman"/>
          <w:sz w:val="18"/>
          <w:szCs w:val="18"/>
        </w:rPr>
        <w:t xml:space="preserve">Yin, H., Zhao, Y., Zhang, L., Qiao, B., Chen, W. &amp; Wang, H. 2024, 'Attribute-based searchable encryption with decentralized key management for healthcare data sharing', </w:t>
      </w:r>
      <w:r>
        <w:rPr>
          <w:rFonts w:ascii="Times New Roman" w:cs="Times New Roman" w:eastAsia="Times New Roman" w:hAnsi="Times New Roman"/>
          <w:i/>
          <w:iCs/>
          <w:sz w:val="18"/>
          <w:szCs w:val="18"/>
        </w:rPr>
        <w:t xml:space="preserve">Journal of Systems Architecture</w:t>
      </w:r>
      <w:r>
        <w:rPr>
          <w:rFonts w:ascii="Times New Roman" w:cs="Times New Roman" w:eastAsia="Times New Roman" w:hAnsi="Times New Roman"/>
          <w:sz w:val="18"/>
          <w:szCs w:val="18"/>
        </w:rPr>
        <w:t xml:space="preserve">, vol. 148, p. 103081, &lt;https://doi.org/10.1016/j.sysarc.2024.103081&gt;.</w:t>
      </w:r>
    </w:p>
    <w:p>
      <w:pPr>
        <w:spacing w:after="80" w:line="240"/>
        <w:ind w:left="560" w:hanging="560"/>
        <w:jc w:val="left"/>
      </w:pPr>
      <w:r>
        <w:rPr>
          <w:rFonts w:ascii="Times New Roman" w:cs="Times New Roman" w:eastAsia="Times New Roman" w:hAnsi="Times New Roman"/>
          <w:sz w:val="18"/>
          <w:szCs w:val="18"/>
        </w:rPr>
        <w:t xml:space="preserve">Yin, J., Xiao, Y., Chen, Q., Lim, Y.Z., Liu, X., Pei, Q. et al. 2025, 'DP-DID: A dynamic and proactive decentralized identity system', </w:t>
      </w:r>
      <w:r>
        <w:rPr>
          <w:rFonts w:ascii="Times New Roman" w:cs="Times New Roman" w:eastAsia="Times New Roman" w:hAnsi="Times New Roman"/>
          <w:i/>
          <w:iCs/>
          <w:sz w:val="18"/>
          <w:szCs w:val="18"/>
        </w:rPr>
        <w:t xml:space="preserve">IEEE Transactions on Information Forensics and Security</w:t>
      </w:r>
      <w:r>
        <w:rPr>
          <w:rFonts w:ascii="Times New Roman" w:cs="Times New Roman" w:eastAsia="Times New Roman" w:hAnsi="Times New Roman"/>
          <w:sz w:val="18"/>
          <w:szCs w:val="18"/>
        </w:rPr>
        <w:t xml:space="preserve">, vol. 20, pp. 4999–5014, &lt;https://doi.org/10.1109/TIFS.2025.3561662&gt;.</w:t>
      </w:r>
    </w:p>
    <w:p>
      <w:pPr>
        <w:spacing w:after="80" w:line="240"/>
        <w:ind w:left="560" w:hanging="560"/>
        <w:jc w:val="left"/>
      </w:pPr>
      <w:r>
        <w:rPr>
          <w:rFonts w:ascii="Times New Roman" w:cs="Times New Roman" w:eastAsia="Times New Roman" w:hAnsi="Times New Roman"/>
          <w:sz w:val="18"/>
          <w:szCs w:val="18"/>
        </w:rPr>
        <w:t xml:space="preserve">Zhang, L., Kan, H. &amp; Huang, H. 2022, 'Patient-centered cross-enterprise document sharing and dynamic consent framework using consortium blockchain and ciphertext-policy attribute-based encryption', </w:t>
      </w:r>
      <w:r>
        <w:rPr>
          <w:rFonts w:ascii="Times New Roman" w:cs="Times New Roman" w:eastAsia="Times New Roman" w:hAnsi="Times New Roman"/>
          <w:i/>
          <w:iCs/>
          <w:sz w:val="18"/>
          <w:szCs w:val="18"/>
        </w:rPr>
        <w:t xml:space="preserve">Proceedings of the 19th ACM International Conference on Computing Frontiers (CF ’22)</w:t>
      </w:r>
      <w:r>
        <w:rPr>
          <w:rFonts w:ascii="Times New Roman" w:cs="Times New Roman" w:eastAsia="Times New Roman" w:hAnsi="Times New Roman"/>
          <w:sz w:val="18"/>
          <w:szCs w:val="18"/>
        </w:rPr>
        <w:t xml:space="preserve">, pp. 58–66, &lt;https://doi.org/10.1145/3528416.3530228&gt;.</w:t>
      </w:r>
    </w:p>
    <w:p>
      <w:pPr>
        <w:spacing w:after="80" w:line="240"/>
        <w:ind w:left="560" w:hanging="560"/>
        <w:jc w:val="left"/>
      </w:pPr>
      <w:r>
        <w:rPr>
          <w:rFonts w:ascii="Times New Roman" w:cs="Times New Roman" w:eastAsia="Times New Roman" w:hAnsi="Times New Roman"/>
          <w:sz w:val="18"/>
          <w:szCs w:val="18"/>
        </w:rPr>
        <w:t xml:space="preserve">Zhao, J. &amp; Su, Q. 2024, 'A threshold traceable delegation authorization scheme for data sharing in healthcare', </w:t>
      </w:r>
      <w:r>
        <w:rPr>
          <w:rFonts w:ascii="Times New Roman" w:cs="Times New Roman" w:eastAsia="Times New Roman" w:hAnsi="Times New Roman"/>
          <w:i/>
          <w:iCs/>
          <w:sz w:val="18"/>
          <w:szCs w:val="18"/>
        </w:rPr>
        <w:t xml:space="preserve">Computers &amp; Security</w:t>
      </w:r>
      <w:r>
        <w:rPr>
          <w:rFonts w:ascii="Times New Roman" w:cs="Times New Roman" w:eastAsia="Times New Roman" w:hAnsi="Times New Roman"/>
          <w:sz w:val="18"/>
          <w:szCs w:val="18"/>
        </w:rPr>
        <w:t xml:space="preserve">, vol. 139, p. 103686, &lt;https://doi.org/10.1016/j.cose.2023.103686&gt;.</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13e368c9dad0544d3c7961bdb693a1f1fcac25d0.png"/><Relationship Id="rId13" Type="http://schemas.openxmlformats.org/officeDocument/2006/relationships/image" Target="media/02ec6b71342c7cbb65a5819a55b29b0ad7d8bd11.png"/><Relationship Id="rId14" Type="http://schemas.openxmlformats.org/officeDocument/2006/relationships/image" Target="media/f5bdc53204d3b216ef8c53808cc02dbdf91460a7.png"/><Relationship Id="rId15" Type="http://schemas.openxmlformats.org/officeDocument/2006/relationships/image" Target="media/86b8a1f466d92e497dab36c77f4f2b7f13737b14.png"/><Relationship Id="rId16" Type="http://schemas.openxmlformats.org/officeDocument/2006/relationships/image" Target="media/939b693dd50d175247d7a3ec87e22966428d2f14.png"/><Relationship Id="rId17" Type="http://schemas.openxmlformats.org/officeDocument/2006/relationships/image" Target="media/11081a2422bebced6d030d22f0ebf13798832173.png"/><Relationship Id="rId18" Type="http://schemas.openxmlformats.org/officeDocument/2006/relationships/image" Target="media/fc5a6be7647fd964b300798307c832eee656672b.png"/><Relationship Id="rId19" Type="http://schemas.openxmlformats.org/officeDocument/2006/relationships/image" Target="media/d4093bf96631d297dbe1b92195fb5ae7117de337.png"/><Relationship Id="rId20" Type="http://schemas.openxmlformats.org/officeDocument/2006/relationships/image" Target="media/f1f163df8a47e4df987495706c8e057d78128af6.png"/><Relationship Id="rId21" Type="http://schemas.openxmlformats.org/officeDocument/2006/relationships/image" Target="media/3f71846d42f224996eb357c7ac4f2281babf68df.png"/><Relationship Id="rId22" Type="http://schemas.openxmlformats.org/officeDocument/2006/relationships/image" Target="media/2bdcc233d9d5ad41e4df5ec32cccb0f936be6fdd.png"/><Relationship Id="rId23" Type="http://schemas.openxmlformats.org/officeDocument/2006/relationships/image" Target="media/3b43f208c34e619a9b1fcd7a8da9990014f117c8.png"/><Relationship Id="rId24" Type="http://schemas.openxmlformats.org/officeDocument/2006/relationships/image" Target="media/00d6986401b6325763b2855292d411f63286ea76.png"/><Relationship Id="rId25" Type="http://schemas.openxmlformats.org/officeDocument/2006/relationships/image" Target="media/e59b5686af22a06dff9cd4bfae93b397759ea42a.png"/><Relationship Id="rId26" Type="http://schemas.openxmlformats.org/officeDocument/2006/relationships/image" Target="media/551744d4db41183fe0c9b4d913479007233462c1.png"/><Relationship Id="rId27" Type="http://schemas.openxmlformats.org/officeDocument/2006/relationships/image" Target="media/379af060121c595b8dab938b017503bf01d94543.png"/><Relationship Id="rId28" Type="http://schemas.openxmlformats.org/officeDocument/2006/relationships/image" Target="media/8b0dede8cf949138f1ca18f2a0be3b9f91a5a8b2.png"/><Relationship Id="rId29" Type="http://schemas.openxmlformats.org/officeDocument/2006/relationships/image" Target="media/f0af766d9de14575067307b6f7dccaf71ca25b88.png"/><Relationship Id="rId30" Type="http://schemas.openxmlformats.org/officeDocument/2006/relationships/image" Target="media/32a920cb8d148805391dcda55782af93c6edfd51.png"/><Relationship Id="rId31" Type="http://schemas.openxmlformats.org/officeDocument/2006/relationships/image" Target="media/06dd8d4f71199a2b46751bf3ced20974c9f60efc.png"/><Relationship Id="rId32" Type="http://schemas.openxmlformats.org/officeDocument/2006/relationships/image" Target="media/003f3cc9e9c04c506887e27abc0699ec48e9486f.png"/><Relationship Id="rId33" Type="http://schemas.openxmlformats.org/officeDocument/2006/relationships/image" Target="media/b893ea07e7a42364ae781659ff3cff507e859f93.png"/><Relationship Id="rId34" Type="http://schemas.openxmlformats.org/officeDocument/2006/relationships/image" Target="media/1cde75c3ba6eefdc88f22c3d35398d022b2cb385.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2026-10-09T15:44:02.006Z</dcterms:created>
  <dcterms:modified xsi:type="dcterms:W3CDTF">2026-10-09T15:44:02.007Z</dcterms:modified>
</cp:coreProperties>
</file>

<file path=docProps/custom.xml><?xml version="1.0" encoding="utf-8"?>
<Properties xmlns="http://schemas.openxmlformats.org/officeDocument/2006/custom-properties" xmlns:vt="http://schemas.openxmlformats.org/officeDocument/2006/docPropsVTypes"/>
</file>