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3</w:t>
            </w:r>
          </w:p>
        </w:tc>
      </w:tr>
    </w:tbl>
    <w:p>
      <w:pPr>
        <w:pStyle w:val="1"/>
        <w:keepNext/>
        <w:spacing w:before="360"/>
      </w:pPr>
      <w:r/>
      <w:r>
        <w:rPr>
          <w:color w:val="FFFFFF"/>
          <w:sz w:val="2"/>
        </w:rPr>
        <w:t xml:space="preserve">3. </w:t>
      </w:r>
      <w:r>
        <w:rPr>
          <w:smallCaps/>
        </w:rPr>
        <w:t>Research Questions and Objectives</w:t>
      </w:r>
    </w:p>
    <w:p>
      <w:pPr>
        <w:pStyle w:val="2"/>
        <w:keepNext/>
      </w:pPr>
      <w:r>
        <w:rPr>
          <w:color w:val="FF0000"/>
        </w:rPr>
        <w:t>3.1 Introduction</w:t>
      </w:r>
    </w:p>
    <w:p>
      <w:pPr/>
      <w:r>
        <w:rPr>
          <w:color w:val="FF0000"/>
        </w:rPr>
        <w:t>Chapter 2 reviewed the literature on multi-party consent and trustworthy data sharing in healthcare and found that the conditions for a trustworthy access decision exist in the literature but are never joined in one decision that is evaluated at every request, and that where they are joined the decision is neither proved nor tested. This chapter turns that finding into the research problem of the thesis. Section 3.2 states the research gap, first as a whole and then as six requirement-level gaps. Section 3.3 defines the terms used in the rest of the thesis: the patient, the guardian set, the threshold, the requester and the consent object. Section 3.4 states the main research question and the six sub-research questions, and shows that they form one integrated problem rather than six separate ones. Section 3.5 states the six research objectives and the relationship between each objective and its question. Section 3.6 concludes the chapter.</w:t>
      </w:r>
    </w:p>
    <w:p>
      <w:pPr>
        <w:pStyle w:val="2"/>
        <w:keepNext/>
      </w:pPr>
      <w:r>
        <w:t>3.2 Gaps in the Literature</w:t>
      </w:r>
    </w:p>
    <w:p>
      <w:pPr/>
      <w:r>
        <w:rPr>
          <w:color w:val="FF0000"/>
        </w:rPr>
        <w:t>From a thorough review of the existing literature documented in Chapter 2, we have identified the following six gaps:</w:t>
      </w:r>
    </w:p>
    <w:p>
      <w:pPr>
        <w:tabs>
          <w:tab w:pos="624" w:val="left"/>
        </w:tabs>
        <w:spacing w:after="120"/>
        <w:ind w:left="624" w:hanging="397"/>
      </w:pPr>
      <w:r>
        <w:rPr>
          <w:color w:val="FF0000"/>
        </w:rPr>
        <w:t>1.</w:t>
        <w:tab/>
        <w:t>There is no existing representation of patient consent that carries the identity, authority, threshold, policy, temporal and lifecycle conditions of access as one evaluable object. Consent is recorded as a permission, and the evaluable objects that exist carry only a subset of the conditions and are issued by a single party.</w:t>
      </w:r>
    </w:p>
    <w:p>
      <w:pPr>
        <w:tabs>
          <w:tab w:pos="624" w:val="left"/>
        </w:tabs>
        <w:spacing w:after="120"/>
        <w:ind w:left="624" w:hanging="397"/>
      </w:pPr>
      <w:r>
        <w:rPr>
          <w:color w:val="FF0000"/>
        </w:rPr>
        <w:t>2.</w:t>
        <w:tab/>
        <w:t>There is no method that verifies the authority of a participant separately from the authentication of that participant within the same access decision, so a valid identity is taken as permission.</w:t>
      </w:r>
    </w:p>
    <w:p>
      <w:pPr>
        <w:tabs>
          <w:tab w:pos="624" w:val="left"/>
        </w:tabs>
        <w:spacing w:after="120"/>
        <w:ind w:left="624" w:hanging="397"/>
      </w:pPr>
      <w:r>
        <w:rPr>
          <w:color w:val="FF0000"/>
        </w:rPr>
        <w:t>3.</w:t>
        <w:tab/>
        <w:t>There is no mechanism by which multi-party approval, with the approving set defined by the patient, is a standing condition of every access decision rather than a contingency path, an admission gate or a registration-time co-consent.</w:t>
      </w:r>
    </w:p>
    <w:p>
      <w:pPr>
        <w:tabs>
          <w:tab w:pos="624" w:val="left"/>
        </w:tabs>
        <w:spacing w:after="120"/>
        <w:ind w:left="624" w:hanging="397"/>
      </w:pPr>
      <w:r>
        <w:rPr>
          <w:color w:val="FF0000"/>
        </w:rPr>
        <w:t>4.</w:t>
        <w:tab/>
        <w:t>There is no enforcement that binds the purpose and the data scope of a request to the same decision as identity, authority and collective approval.</w:t>
      </w:r>
    </w:p>
    <w:p>
      <w:pPr>
        <w:tabs>
          <w:tab w:pos="624" w:val="left"/>
        </w:tabs>
        <w:spacing w:after="120"/>
        <w:ind w:left="624" w:hanging="397"/>
      </w:pPr>
      <w:r>
        <w:rPr>
          <w:color w:val="FF0000"/>
        </w:rPr>
        <w:t>5.</w:t>
        <w:tab/>
        <w:t>There is no evaluation of temporal validity, lifecycle state and revocation at the moment of each access request; where they exist, they are enforced on a credential or at registration.</w:t>
      </w:r>
    </w:p>
    <w:p>
      <w:pPr>
        <w:tabs>
          <w:tab w:pos="624" w:val="left"/>
        </w:tabs>
        <w:spacing w:after="120"/>
        <w:ind w:left="624" w:hanging="397"/>
      </w:pPr>
      <w:r>
        <w:rPr>
          <w:color w:val="FF0000"/>
        </w:rPr>
        <w:t>6.</w:t>
        <w:tab/>
        <w:t>There is no formal definition or systematic testing of the complete authorisation decision under valid, invalid and adversarial conditions; any proof covers only a fragment of it.</w:t>
      </w:r>
    </w:p>
    <w:p>
      <w:pPr>
        <w:pStyle w:val="2"/>
        <w:keepNext/>
      </w:pPr>
      <w:r>
        <w:t>3.3 Key Definitions</w:t>
      </w:r>
    </w:p>
    <w:p w14:paraId="108018B1" w14:textId="77777777" w:rsidR="009262C4" w:rsidRDefault="00000000">
      <w:pPr>
        <w:spacing w:after="110" w:line="264" w:lineRule="auto"/>
        <w:jc w:val="both"/>
      </w:pPr>
      <w:r>
        <w:t>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Depending on the consent configuration, G may contain healthcare professionals, guardians, institutional representatives, or other authorised parties. In the current prototype, the members of G are guardians. Each member of G is checked to determine whether the individual or entity possesses the required authority to participate in consent-related decisions. The threshold N is the number of valid approvals from members of G needed for activation. If the number of valid approvals is below the required threshold N, the consent cannot produce an effective authorisation decision. The authorised doctor D is the requester whose access request R is evaluated against the consent object C.</w:t>
      </w:r>
    </w:p>
    <w:p w14:paraId="4EF9B0E8" w14:textId="77777777" w:rsidR="009262C4" w:rsidRDefault="00000000">
      <w:pPr>
        <w:spacing w:after="110" w:line="264" w:lineRule="auto"/>
        <w:jc w:val="both"/>
      </w:pPr>
      <w: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and L represents the current state of the consent object and its permissible transitions, including whether the consent remains active or has been revoked. This formulation changes the role of consent from a passive record into an evaluable authorisation object.</w:t>
      </w:r>
    </w:p>
    <w:p w14:paraId="5C049E2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(3.1)</w:t>
      </w:r>
    </w:p>
    <w:p>
      <w:pPr>
        <w:pStyle w:val="2"/>
        <w:keepNext/>
      </w:pPr>
      <w:r>
        <w:t>3.4 Research Questions</w:t>
      </w:r>
    </w:p>
    <w:p>
      <w:pPr/>
      <w:r>
        <w:rPr>
          <w:color w:val="FF0000"/>
        </w:rPr>
        <w:t>From the systematic literature review documented in Chapter 2, and the shortcomings outlined in Section 2.4.7, it is clear that there are several gaps in the existing literature on trustworthy multi-party consent authorisation for healthcare data sharing.</w:t>
      </w:r>
    </w:p>
    <w:p w14:paraId="390E7242" w14:textId="77777777" w:rsidR="009262C4" w:rsidRDefault="00000000">
      <w:pPr>
        <w:spacing w:after="110" w:line="264" w:lineRule="auto"/>
        <w:jc w:val="both"/>
      </w:pPr>
      <w:r>
        <w:t xml:space="preserve">Based on the identified research gap, the overarching research question is formulated as follows: </w:t>
      </w:r>
      <w:r>
        <w:rPr>
          <w:b/>
          <w:bCs/>
        </w:rPr>
        <w:t>"How can a trust-oriented computing framework establish and enforce trustworthy multi-party consent for decentralised healthcare data sharing under identity, authority, and policy constraints?"</w:t>
      </w:r>
      <w: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14:paraId="575A4A75" w14:textId="77777777" w:rsidR="009262C4" w:rsidRDefault="00000000">
      <w:pPr>
        <w:spacing w:after="110" w:line="264" w:lineRule="auto"/>
        <w:jc w:val="both"/>
      </w:pPr>
      <w:r>
        <w:t xml:space="preserve">The research objectives are operationalised through six corresponding sub-research questions. Each sub-research question addresses a distinct dimension of the proposed trust-oriented healthcare authorisation framework. For brevity, SRQ1 to SRQ6 are referred to as RQ1 to RQ6 </w:t>
      </w:r>
      <w:r>
        <w:rPr>
          <w:color w:val="FF0000"/>
        </w:rPr>
        <w:t>throughout this thesis</w:t>
      </w:r>
      <w:r>
        <w:t>.</w:t>
      </w:r>
    </w:p>
    <w:p w14:paraId="3DE7599F" w14:textId="77777777" w:rsidR="009262C4" w:rsidRDefault="00000000">
      <w:pPr>
        <w:pStyle w:val="a4"/>
        <w:numPr>
          <w:ilvl w:val="0"/>
          <w:numId w:val="1"/>
        </w:numPr>
        <w:spacing w:after="80" w:line="288" w:lineRule="auto"/>
        <w:jc w:val="both"/>
      </w:pPr>
      <w:r>
        <w:rPr>
          <w:b/>
          <w:bCs/>
        </w:rPr>
        <w:t>SRQ1 (Trust-Centric Consent Modelling):</w:t>
      </w:r>
      <w:r>
        <w:t xml:space="preserve"> How can patient consent be modelled as a trust-aware authorisation object that explicitly represents identity, authority requirements, policy constraints, and authorisation evidence?</w:t>
      </w:r>
    </w:p>
    <w:p w14:paraId="6F6610E9" w14:textId="77777777" w:rsidR="009262C4" w:rsidRDefault="00000000">
      <w:pPr>
        <w:pStyle w:val="a4"/>
        <w:numPr>
          <w:ilvl w:val="0"/>
          <w:numId w:val="1"/>
        </w:numPr>
        <w:spacing w:after="80" w:line="288" w:lineRule="auto"/>
        <w:jc w:val="both"/>
      </w:pPr>
      <w:r>
        <w:rPr>
          <w:b/>
          <w:bCs/>
        </w:rPr>
        <w:t>SRQ2 (Decentralised Identity and Authority Trust):</w:t>
      </w:r>
      <w:r>
        <w:t xml:space="preserve"> How can decentralised identities and verifiable credentials establish trustworthy participants while explicitly separating identity authentication from authorisation authority?</w:t>
      </w:r>
    </w:p>
    <w:p w14:paraId="39A3A6EB" w14:textId="77777777" w:rsidR="009262C4" w:rsidRDefault="00000000">
      <w:pPr>
        <w:pStyle w:val="a4"/>
        <w:numPr>
          <w:ilvl w:val="0"/>
          <w:numId w:val="1"/>
        </w:numPr>
        <w:spacing w:after="80" w:line="288" w:lineRule="auto"/>
        <w:jc w:val="both"/>
      </w:pPr>
      <w:r>
        <w:rPr>
          <w:b/>
          <w:bCs/>
        </w:rPr>
        <w:t>SRQ3 (Trustworthy Multi-Party Authorisation):</w:t>
      </w:r>
      <w:r>
        <w:t xml:space="preserve"> How can multiple independently verified participants jointly establish a trustworthy consent decision without allowing a single participant to unilaterally authorise sensitive healthcare data access?</w:t>
      </w:r>
    </w:p>
    <w:p w14:paraId="56474AFA" w14:textId="77777777" w:rsidR="009262C4" w:rsidRDefault="00000000">
      <w:pPr>
        <w:pStyle w:val="a4"/>
        <w:numPr>
          <w:ilvl w:val="0"/>
          <w:numId w:val="1"/>
        </w:numPr>
        <w:spacing w:after="80" w:line="288" w:lineRule="auto"/>
        <w:jc w:val="both"/>
      </w:pPr>
      <w:r>
        <w:rPr>
          <w:b/>
          <w:bCs/>
        </w:rPr>
        <w:t>SRQ4 (Policy- and Context-Aware Access Control):</w:t>
      </w:r>
      <w:r>
        <w:t xml:space="preserve"> How can policy, purpose, and data-scope constraints be incorporated into authorisation decisions so that valid identities and sufficient approvals cannot be used to obtain unauthorised healthcare data?</w:t>
      </w:r>
    </w:p>
    <w:p w14:paraId="08144F36" w14:textId="77777777" w:rsidR="009262C4" w:rsidRDefault="00000000">
      <w:pPr>
        <w:pStyle w:val="a4"/>
        <w:numPr>
          <w:ilvl w:val="0"/>
          <w:numId w:val="1"/>
        </w:numPr>
        <w:spacing w:after="80" w:line="288" w:lineRule="auto"/>
        <w:jc w:val="both"/>
      </w:pPr>
      <w:r>
        <w:rPr>
          <w:b/>
          <w:bCs/>
        </w:rPr>
        <w:t>SRQ5 (Temporal and Lifecycle Trust):</w:t>
      </w:r>
      <w:r>
        <w:t xml:space="preserve"> How can temporal validity and consent lifecycle controls ensure that an authorisation remains valid only within its permitted time interval and lifecycle state, and is rejected after expiration, revocation, or an unauthorised state transition?</w:t>
      </w:r>
    </w:p>
    <w:p w14:paraId="0E2F7DCC" w14:textId="77777777" w:rsidR="009262C4" w:rsidRDefault="00000000">
      <w:pPr>
        <w:pStyle w:val="a4"/>
        <w:numPr>
          <w:ilvl w:val="0"/>
          <w:numId w:val="1"/>
        </w:numPr>
        <w:spacing w:after="80" w:line="288" w:lineRule="auto"/>
        <w:jc w:val="both"/>
      </w:pPr>
      <w:r>
        <w:rPr>
          <w:b/>
          <w:bCs/>
        </w:rPr>
        <w:t>SRQ6 (Formal Security Assurance and Empirical Validation):</w:t>
      </w:r>
      <w: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pStyle w:val="3"/>
        <w:keepNext/>
      </w:pPr>
      <w:r>
        <w:rPr>
          <w:highlight w:val="green"/>
        </w:rPr>
        <w:t>3.4.1 Research Questions as an Integrated Problem</w:t>
      </w:r>
    </w:p>
    <w:p w14:paraId="45528AD1" w14:textId="77777777" w:rsidR="009262C4" w:rsidRDefault="00000000">
      <w:pPr>
        <w:spacing w:after="110" w:line="264" w:lineRule="auto"/>
        <w:jc w:val="both"/>
      </w:pPr>
      <w:r>
        <w:t>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vertAlign w:val="subscript"/>
        </w:rPr>
        <w:t>I</w:t>
      </w:r>
      <w:r>
        <w:t xml:space="preserve"> represents identity and authority validity, V</w:t>
      </w:r>
      <w:r>
        <w:rPr>
          <w:vertAlign w:val="subscript"/>
        </w:rPr>
        <w:t>A</w:t>
      </w:r>
      <w:r>
        <w:t xml:space="preserve"> collective authorisation validity, V</w:t>
      </w:r>
      <w:r>
        <w:rPr>
          <w:vertAlign w:val="subscript"/>
        </w:rPr>
        <w:t>P</w:t>
      </w:r>
      <w:r>
        <w:t xml:space="preserve"> policy and contextual compliance, V</w:t>
      </w:r>
      <w:r>
        <w:rPr>
          <w:vertAlign w:val="subscript"/>
        </w:rPr>
        <w:t>T</w:t>
      </w:r>
      <w:r>
        <w:t xml:space="preserve"> temporal validity, and V</w:t>
      </w:r>
      <w:r>
        <w:rPr>
          <w:vertAlign w:val="subscript"/>
        </w:rPr>
        <w:t>L</w:t>
      </w:r>
      <w:r>
        <w:t xml:space="preserve"> consent lifecycle validity.</w:t>
      </w:r>
    </w:p>
    <w:p w14:paraId="0AA4459A"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 xml:space="preserve">(C)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 xml:space="preserve">(C,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(3.2)</w:t>
      </w:r>
    </w:p>
    <w:p w14:paraId="5B0ED7F8" w14:textId="77777777" w:rsidR="009262C4" w:rsidRDefault="00000000">
      <w:pPr>
        <w:spacing w:after="110" w:line="264" w:lineRule="auto"/>
        <w:jc w:val="both"/>
      </w:pPr>
      <w:r>
        <w:t xml:space="preserve">A valid authorisation decision requires the simultaneous satisfaction of all relevant trust conditions. Consequently, failure of any individual condition results in denial. In the prototype, an ALLOW decision additionally </w:t>
      </w:r>
      <w:r>
        <w:rPr>
          <w:color w:val="FF0000"/>
        </w:rPr>
        <w:t>requires the Groth16 ZK proof (Groth 2016) to verify, so a request that satisfies the five predicates is still denied when the proof fails, as in attack A9 (Chapter 10).</w:t>
      </w:r>
      <w:r>
        <w:t xml:space="preserve">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2"/>
        <w:keepNext/>
      </w:pPr>
      <w:r>
        <w:t>3.5 Research Objectives</w:t>
      </w:r>
    </w:p>
    <w:p w14:paraId="4931BA54" w14:textId="77777777" w:rsidR="009262C4" w:rsidRDefault="00000000">
      <w:pPr>
        <w:spacing w:after="110" w:line="264" w:lineRule="auto"/>
        <w:jc w:val="both"/>
      </w:pPr>
      <w:r>
        <w:t>The research objectives turn the research gap into concrete research and development activities. The complete research programme consists of six research objectives, corresponding to six research questions.</w:t>
      </w:r>
    </w:p>
    <w:p>
      <w:pPr>
        <w:pStyle w:val="3"/>
        <w:keepNext/>
      </w:pPr>
      <w:r>
        <w:t>3.5.1 RO1: Trust-Centric Consent Model</w:t>
      </w:r>
    </w:p>
    <w:p w14:paraId="2C4166A8" w14:textId="77777777" w:rsidR="009262C4" w:rsidRDefault="00000000">
      <w:pPr>
        <w:spacing w:after="110" w:line="264" w:lineRule="auto"/>
        <w:jc w:val="both"/>
      </w:pPr>
      <w:r>
        <w:t>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3"/>
        <w:keepNext/>
      </w:pPr>
      <w:r>
        <w:t>3.5.2 RO2: Decentralised Identity and Authority Trust</w:t>
      </w:r>
    </w:p>
    <w:p w14:paraId="3DBD69DE" w14:textId="77777777" w:rsidR="009262C4" w:rsidRDefault="00000000">
      <w:pPr>
        <w:spacing w:after="110" w:line="264" w:lineRule="auto"/>
        <w:jc w:val="both"/>
      </w:pPr>
      <w:r>
        <w:t>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3"/>
        <w:keepNext/>
      </w:pPr>
      <w:r>
        <w:t>3.5.3 RO3: Trustworthy Multi-Party Authorisation</w:t>
      </w:r>
    </w:p>
    <w:p w14:paraId="785A9D8E" w14:textId="77777777" w:rsidR="009262C4" w:rsidRDefault="00000000">
      <w:pPr>
        <w:spacing w:after="110" w:line="264" w:lineRule="auto"/>
        <w:jc w:val="both"/>
      </w:pPr>
      <w:r>
        <w:t>The third research objective is to develop a threshold-based multi-party authorisation mechanism through which multiple independently verified participants and guardians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In the current prototype,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3"/>
        <w:keepNext/>
      </w:pPr>
      <w:r>
        <w:t>3.5.4 RO4: Policy- and Context-Aware Access Control</w:t>
      </w:r>
    </w:p>
    <w:p w14:paraId="16147D19" w14:textId="77777777" w:rsidR="009262C4" w:rsidRDefault="00000000">
      <w:pPr>
        <w:spacing w:after="110" w:line="264" w:lineRule="auto"/>
        <w:jc w:val="both"/>
      </w:pPr>
      <w: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3"/>
        <w:keepNext/>
      </w:pPr>
      <w:r>
        <w:t>3.5.5 RO5: Temporal and Lifecycle Trust</w:t>
      </w:r>
    </w:p>
    <w:p w14:paraId="1E85BF29" w14:textId="77777777" w:rsidR="009262C4" w:rsidRDefault="00000000">
      <w:pPr>
        <w:spacing w:after="110" w:line="264" w:lineRule="auto"/>
        <w:jc w:val="both"/>
      </w:pPr>
      <w: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vertAlign w:val="subscript"/>
        </w:rPr>
        <w:t>T</w:t>
      </w:r>
      <w:r>
        <w:t>, implements end-to-end revocation, including an on-chain revoke transaction, and manages the consent through an explicit lifecycle state machine. Access can be granted only in the ACTIVE state, and V</w:t>
      </w:r>
      <w:r>
        <w:rPr>
          <w:vertAlign w:val="subscript"/>
        </w:rPr>
        <w:t>L</w:t>
      </w:r>
      <w:r>
        <w:t xml:space="preserve"> checks this state at every access decision. A consent that has expired or been revoked must not remain usable merely because its original approval threshold was satisfied. The remaining work concerns the SUSPENDED state, the lifecycle transition check, a formal lifecycle model, and hardening these controls and extending them to consent modification, delegation, and guardian-set changes.</w:t>
      </w:r>
    </w:p>
    <w:p>
      <w:pPr>
        <w:pStyle w:val="3"/>
        <w:keepNext/>
      </w:pPr>
      <w:r>
        <w:t>3.5.6 RO6: Formal Security Assurance and Empirical Validation</w:t>
      </w:r>
    </w:p>
    <w:p w14:paraId="764837CE" w14:textId="77777777" w:rsidR="009262C4" w:rsidRDefault="00000000">
      <w:pPr>
        <w:spacing w:after="110" w:line="264" w:lineRule="auto"/>
        <w:jc w:val="both"/>
      </w:pPr>
      <w:r>
        <w:t>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prototype must execute valid consent workflows, and it must also behave correctly when one or more trust conditions are violated. RO6 is partially completed through the implementation and initial scenario-based validation of the HALAH prototype. In particular, 46 automated tests cover signature rejection, proof tampering, credential checks, and twelve attack scenarios, A1 to A12, against the components of C and the contract. All twelve attacks are refused. Preliminary measurements of on-chain cost, confirmation latency, and processing time have been obtained</w:t>
      </w:r>
      <w:r>
        <w:rPr>
          <w:color w:val="FF0000"/>
        </w:rPr>
        <w:t>.</w:t>
      </w:r>
      <w:r>
        <w:t xml:space="preserve">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and a larger evaluation under load will be conducted as part of next stage works.</w:t>
      </w:r>
    </w:p>
    <w:p>
      <w:pPr>
        <w:pStyle w:val="3"/>
        <w:keepNext/>
      </w:pPr>
      <w:r>
        <w:t>3.5.7 Relationship Between Research Questions and Objectives</w:t>
      </w:r>
    </w:p>
    <w:p w14:paraId="35132735" w14:textId="77777777" w:rsidR="009262C4" w:rsidRDefault="00000000">
      <w:pPr>
        <w:spacing w:after="110" w:line="264" w:lineRule="auto"/>
        <w:jc w:val="both"/>
      </w:pPr>
      <w:r>
        <w:t xml:space="preserve">The relationship between the six research questions and the six research objectives, with the status of each objective, is summarised in </w:t>
      </w:r>
      <w:r>
        <w:rPr>
          <w:color w:val="FF0000"/>
        </w:rPr>
        <w:t>Table 3.1</w:t>
      </w:r>
      <w:r>
        <w:t xml:space="preserve">. The mapping follows the structure of the research programme and maintains a direct correspondence between each research question and its associated objective. RO1 to RO6 are realised in </w:t>
      </w:r>
      <w:r>
        <w:rPr>
          <w:color w:val="FF0000"/>
        </w:rPr>
        <w:t>Chapter 5 to Chapter 10</w:t>
      </w:r>
      <w:r>
        <w:t xml:space="preserve"> respectively, each in the section presenting the solution for the corresponding research question. Because each research question corresponds to one </w:t>
      </w:r>
      <w:r>
        <w:rPr>
          <w:color w:val="FF0000"/>
        </w:rPr>
        <w:t>gap identified in Chapter 2</w:t>
      </w:r>
      <w:r>
        <w:t xml:space="preserve">, each objective addresses the gap of the same number, so that RO1 addresses Gap 1 and RO6 addresses Gap 6. Each research question therefore has one research activity, and each objective contributes to the framework. RO1 to RO4 are delivered in this stage, together with their validation and evaluation through the implemented prototype, whereas, </w:t>
      </w:r>
      <w:r>
        <w:rPr>
          <w:color w:val="FF0000"/>
        </w:rPr>
        <w:t>as stated in Chapter 1</w:t>
      </w:r>
      <w:r>
        <w:t xml:space="preserve">, RO5 is in progress and RO6 is partially completed. Their remaining work is detailed in </w:t>
      </w:r>
      <w:r>
        <w:rPr>
          <w:color w:val="FF0000"/>
        </w:rPr>
        <w:t>Chapter 9 and Chapter 10</w:t>
      </w:r>
      <w:r>
        <w:t xml:space="preserve">, and its schedule is </w:t>
      </w:r>
      <w:r>
        <w:rPr>
          <w:color w:val="FF0000"/>
        </w:rPr>
        <w:t>presented in Chapter 11</w:t>
      </w:r>
      <w:r>
        <w:t>. The distinction between current stage and next stage is therefore based on research scope and maturity rather than on a different set of research questions or objectives.</w:t>
      </w:r>
    </w:p>
    <w:p w14:paraId="3AD3E1A3" w14:textId="77777777" w:rsidR="009262C4" w:rsidRDefault="00000000">
      <w:pPr>
        <w:keepNext/>
        <w:spacing w:before="160" w:after="160"/>
        <w:jc w:val="center"/>
      </w:pPr>
      <w:r>
        <w:rPr>
          <w:b/>
          <w:bCs/>
          <w:color w:val="FF0000"/>
          <w:sz w:val="20"/>
          <w:szCs w:val="18"/>
        </w:rPr>
        <w:t>Table 3.1</w:t>
      </w:r>
      <w:r>
        <w:rPr>
          <w:b/>
          <w:bCs/>
          <w:sz w:val="20"/>
          <w:szCs w:val="18"/>
        </w:rPr>
        <w:t xml:space="preserve">: </w:t>
      </w:r>
      <w:r>
        <w:rPr>
          <w:sz w:val="20"/>
          <w:szCs w:val="18"/>
        </w:rPr>
        <w:t>Research questions, research objectives, and the status of each objective</w:t>
      </w:r>
    </w:p>
    <w:tbl>
      <w:tblPr>
        <w:tblW w:w="9128" w:type="dxa"/>
        <w:jc w:val="center"/>
        <w:tblBorders>
          <w:top w:val="single" w:sz="12" w:color="000000" w:space="0"/>
          <w:left w:val="nil"/>
          <w:bottom w:val="single" w:sz="12" w:color="000000" w:space="0"/>
          <w:right w:val="nil"/>
          <w:insideH w:val="nil"/>
          <w:insideV w:val="nil"/>
        </w:tblBorders>
        <w:tblCellMar>
          <w:top w:w="50" w:type="dxa"/>
          <w:left w:w="70" w:type="dxa"/>
          <w:bottom w:w="50" w:type="dxa"/>
          <w:right w:w="70" w:type="dxa"/>
        </w:tblCellMar>
        <w:tblLook w:val="0000" w:firstRow="0" w:lastRow="0" w:firstColumn="0" w:lastColumn="0" w:noHBand="0" w:noVBand="0"/>
      </w:tblPr>
      <w:tblGrid>
        <w:gridCol w:w="682"/>
        <w:gridCol w:w="2340"/>
        <w:gridCol w:w="4544"/>
        <w:gridCol w:w="1562"/>
      </w:tblGrid>
      <w:tr w:rsidR="009262C4" w14:paraId="2395EFA3" w14:textId="77777777">
        <w:trPr>
          <w:cantSplit/>
          <w:tblHeader/>
        </w:trPr>
        <w:tc>
          <w:tcPr>
            <w:tcW w:w="682"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6D840BB2"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RQ</w:t>
            </w:r>
          </w:p>
        </w:tc>
        <w:tc>
          <w:tcPr>
            <w:tcW w:w="234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7DC19190"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Research objective</w:t>
            </w:r>
          </w:p>
        </w:tc>
        <w:tc>
          <w:tcPr>
            <w:tcW w:w="4544"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05FA42B8"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Description</w:t>
            </w:r>
          </w:p>
        </w:tc>
        <w:tc>
          <w:tcPr>
            <w:tcW w:w="1562"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6CDE34A1"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Status</w:t>
            </w:r>
          </w:p>
        </w:tc>
      </w:tr>
      <w:tr w:rsidR="009262C4" w14:paraId="310366C5" w14:textId="77777777">
        <w:trPr>
          <w:cantSplit/>
        </w:trPr>
        <w:tc>
          <w:tcPr>
            <w:tcW w:w="68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A171076" w14:textId="77777777" w:rsidR="009262C4" w:rsidRDefault="00000000">
            <w:pPr>
              <w:keepNext/>
              <w:spacing w:before="40" w:after="40" w:line="240" w:lineRule="auto"/>
              <w:jc w:val="left"/>
            </w:pPr>
            <w:r>
              <w:rPr>
                <w:rFonts w:ascii="Palatino Linotype" w:hAnsi="Palatino Linotype" w:cs="Palatino Linotype"/>
                <w:color w:val="000000"/>
                <w:sz w:val="20"/>
                <w:szCs w:val="17"/>
              </w:rPr>
              <w:t>RQ1</w:t>
            </w:r>
          </w:p>
        </w:tc>
        <w:tc>
          <w:tcPr>
            <w:tcW w:w="234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1DF6D4F" w14:textId="77777777" w:rsidR="009262C4" w:rsidRDefault="00000000">
            <w:pPr>
              <w:keepNext/>
              <w:spacing w:before="40" w:after="40" w:line="240" w:lineRule="auto"/>
              <w:jc w:val="left"/>
            </w:pPr>
            <w:r>
              <w:rPr>
                <w:rFonts w:ascii="Palatino Linotype" w:hAnsi="Palatino Linotype" w:cs="Palatino Linotype"/>
                <w:color w:val="000000"/>
                <w:sz w:val="20"/>
                <w:szCs w:val="17"/>
              </w:rPr>
              <w:t>RO1: Trust-Centric Consent Model</w:t>
            </w:r>
          </w:p>
        </w:tc>
        <w:tc>
          <w:tcPr>
            <w:tcW w:w="4544"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37165DD" w14:textId="77777777" w:rsidR="009262C4" w:rsidRDefault="00000000">
            <w:pPr>
              <w:keepNext/>
              <w:spacing w:before="40" w:after="40" w:line="240" w:lineRule="auto"/>
              <w:jc w:val="left"/>
            </w:pPr>
            <w:r>
              <w:rPr>
                <w:rFonts w:ascii="Palatino Linotype" w:hAnsi="Palatino Linotype" w:cs="Palatino Linotype"/>
                <w:color w:val="000000"/>
                <w:sz w:val="20"/>
                <w:szCs w:val="17"/>
              </w:rPr>
              <w:t>To develop a trust-aware consent model that represents patient consent as a structured and evaluable authorisation object.</w:t>
            </w:r>
          </w:p>
        </w:tc>
        <w:tc>
          <w:tcPr>
            <w:tcW w:w="156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05D93FE" w14:textId="77777777" w:rsidR="009262C4" w:rsidRDefault="00000000">
            <w:pPr>
              <w:keepNext/>
              <w:spacing w:before="40" w:after="40" w:line="240" w:lineRule="auto"/>
              <w:jc w:val="left"/>
            </w:pPr>
            <w:r>
              <w:rPr>
                <w:rFonts w:ascii="Palatino Linotype" w:hAnsi="Palatino Linotype" w:cs="Palatino Linotype"/>
                <w:color w:val="000000"/>
                <w:sz w:val="20"/>
                <w:szCs w:val="17"/>
              </w:rPr>
              <w:t>Done</w:t>
            </w:r>
          </w:p>
        </w:tc>
      </w:tr>
      <w:tr w:rsidR="009262C4" w14:paraId="6726E0D0" w14:textId="77777777">
        <w:trPr>
          <w:cantSplit/>
        </w:trPr>
        <w:tc>
          <w:tcPr>
            <w:tcW w:w="68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A8A51D4" w14:textId="77777777" w:rsidR="009262C4" w:rsidRDefault="00000000">
            <w:pPr>
              <w:keepNext/>
              <w:spacing w:before="40" w:after="40" w:line="240" w:lineRule="auto"/>
              <w:jc w:val="left"/>
            </w:pPr>
            <w:r>
              <w:rPr>
                <w:rFonts w:ascii="Palatino Linotype" w:hAnsi="Palatino Linotype" w:cs="Palatino Linotype"/>
                <w:color w:val="000000"/>
                <w:sz w:val="20"/>
                <w:szCs w:val="17"/>
              </w:rPr>
              <w:t>RQ2</w:t>
            </w:r>
          </w:p>
        </w:tc>
        <w:tc>
          <w:tcPr>
            <w:tcW w:w="234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772300B" w14:textId="77777777" w:rsidR="009262C4" w:rsidRDefault="00000000">
            <w:pPr>
              <w:keepNext/>
              <w:spacing w:before="40" w:after="40" w:line="240" w:lineRule="auto"/>
              <w:jc w:val="left"/>
            </w:pPr>
            <w:r>
              <w:rPr>
                <w:rFonts w:ascii="Palatino Linotype" w:hAnsi="Palatino Linotype" w:cs="Palatino Linotype"/>
                <w:color w:val="000000"/>
                <w:sz w:val="20"/>
                <w:szCs w:val="17"/>
              </w:rPr>
              <w:t>RO2: Decentralised Identity and Authority Trust</w:t>
            </w:r>
          </w:p>
        </w:tc>
        <w:tc>
          <w:tcPr>
            <w:tcW w:w="4544"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2AA03C4" w14:textId="77777777" w:rsidR="009262C4" w:rsidRDefault="00000000">
            <w:pPr>
              <w:keepNext/>
              <w:spacing w:before="40" w:after="40" w:line="240" w:lineRule="auto"/>
              <w:jc w:val="left"/>
            </w:pPr>
            <w:r>
              <w:rPr>
                <w:rFonts w:ascii="Palatino Linotype" w:hAnsi="Palatino Linotype" w:cs="Palatino Linotype"/>
                <w:color w:val="000000"/>
                <w:sz w:val="20"/>
                <w:szCs w:val="17"/>
              </w:rPr>
              <w:t>To develop a decentralised identity and authority verification mechanism using decentralised identifiers and verifiable credentials.</w:t>
            </w:r>
          </w:p>
        </w:tc>
        <w:tc>
          <w:tcPr>
            <w:tcW w:w="156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F5F5403" w14:textId="77777777" w:rsidR="009262C4" w:rsidRDefault="00000000">
            <w:pPr>
              <w:keepNext/>
              <w:spacing w:before="40" w:after="40" w:line="240" w:lineRule="auto"/>
              <w:jc w:val="left"/>
            </w:pPr>
            <w:r>
              <w:rPr>
                <w:rFonts w:ascii="Palatino Linotype" w:hAnsi="Palatino Linotype" w:cs="Palatino Linotype"/>
                <w:color w:val="000000"/>
                <w:sz w:val="20"/>
                <w:szCs w:val="17"/>
              </w:rPr>
              <w:t>Done</w:t>
            </w:r>
          </w:p>
        </w:tc>
      </w:tr>
      <w:tr w:rsidR="009262C4" w14:paraId="422D9182" w14:textId="77777777">
        <w:trPr>
          <w:cantSplit/>
        </w:trPr>
        <w:tc>
          <w:tcPr>
            <w:tcW w:w="68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98B70B7" w14:textId="77777777" w:rsidR="009262C4" w:rsidRDefault="00000000">
            <w:pPr>
              <w:keepNext/>
              <w:spacing w:before="40" w:after="40" w:line="240" w:lineRule="auto"/>
              <w:jc w:val="left"/>
            </w:pPr>
            <w:r>
              <w:rPr>
                <w:rFonts w:ascii="Palatino Linotype" w:hAnsi="Palatino Linotype" w:cs="Palatino Linotype"/>
                <w:color w:val="000000"/>
                <w:sz w:val="20"/>
                <w:szCs w:val="17"/>
              </w:rPr>
              <w:t>RQ3</w:t>
            </w:r>
          </w:p>
        </w:tc>
        <w:tc>
          <w:tcPr>
            <w:tcW w:w="234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56FFE90" w14:textId="77777777" w:rsidR="009262C4" w:rsidRDefault="00000000">
            <w:pPr>
              <w:keepNext/>
              <w:spacing w:before="40" w:after="40" w:line="240" w:lineRule="auto"/>
              <w:jc w:val="left"/>
            </w:pPr>
            <w:r>
              <w:rPr>
                <w:rFonts w:ascii="Palatino Linotype" w:hAnsi="Palatino Linotype" w:cs="Palatino Linotype"/>
                <w:color w:val="000000"/>
                <w:sz w:val="20"/>
                <w:szCs w:val="17"/>
              </w:rPr>
              <w:t>RO3: Trustworthy Multi-Party Authorisation</w:t>
            </w:r>
          </w:p>
        </w:tc>
        <w:tc>
          <w:tcPr>
            <w:tcW w:w="4544"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485AB3C" w14:textId="77777777" w:rsidR="009262C4" w:rsidRDefault="00000000">
            <w:pPr>
              <w:keepNext/>
              <w:spacing w:before="40" w:after="40" w:line="240" w:lineRule="auto"/>
              <w:jc w:val="left"/>
            </w:pPr>
            <w:r>
              <w:rPr>
                <w:rFonts w:ascii="Palatino Linotype" w:hAnsi="Palatino Linotype" w:cs="Palatino Linotype"/>
                <w:color w:val="000000"/>
                <w:sz w:val="20"/>
                <w:szCs w:val="17"/>
              </w:rPr>
              <w:t>To develop a threshold-based multi-party authorisation mechanism through which multiple independently verified participants and guardians can jointly establish a trustworthy consent decision.</w:t>
            </w:r>
          </w:p>
        </w:tc>
        <w:tc>
          <w:tcPr>
            <w:tcW w:w="156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706FD3A" w14:textId="77777777" w:rsidR="009262C4" w:rsidRDefault="00000000">
            <w:pPr>
              <w:keepNext/>
              <w:spacing w:before="40" w:after="40" w:line="240" w:lineRule="auto"/>
              <w:jc w:val="left"/>
            </w:pPr>
            <w:r>
              <w:rPr>
                <w:rFonts w:ascii="Palatino Linotype" w:hAnsi="Palatino Linotype" w:cs="Palatino Linotype"/>
                <w:color w:val="000000"/>
                <w:sz w:val="20"/>
                <w:szCs w:val="17"/>
              </w:rPr>
              <w:t>Done</w:t>
            </w:r>
          </w:p>
        </w:tc>
      </w:tr>
      <w:tr w:rsidR="009262C4" w14:paraId="29B69BC2" w14:textId="77777777">
        <w:trPr>
          <w:cantSplit/>
        </w:trPr>
        <w:tc>
          <w:tcPr>
            <w:tcW w:w="68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933F03B" w14:textId="77777777" w:rsidR="009262C4" w:rsidRDefault="00000000">
            <w:pPr>
              <w:keepNext/>
              <w:spacing w:before="40" w:after="40" w:line="240" w:lineRule="auto"/>
              <w:jc w:val="left"/>
            </w:pPr>
            <w:r>
              <w:rPr>
                <w:rFonts w:ascii="Palatino Linotype" w:hAnsi="Palatino Linotype" w:cs="Palatino Linotype"/>
                <w:color w:val="000000"/>
                <w:sz w:val="20"/>
                <w:szCs w:val="17"/>
              </w:rPr>
              <w:t>RQ4</w:t>
            </w:r>
          </w:p>
        </w:tc>
        <w:tc>
          <w:tcPr>
            <w:tcW w:w="234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893F6A2" w14:textId="77777777" w:rsidR="009262C4" w:rsidRDefault="00000000">
            <w:pPr>
              <w:keepNext/>
              <w:spacing w:before="40" w:after="40" w:line="240" w:lineRule="auto"/>
              <w:jc w:val="left"/>
            </w:pPr>
            <w:r>
              <w:rPr>
                <w:rFonts w:ascii="Palatino Linotype" w:hAnsi="Palatino Linotype" w:cs="Palatino Linotype"/>
                <w:color w:val="000000"/>
                <w:sz w:val="20"/>
                <w:szCs w:val="17"/>
              </w:rPr>
              <w:t>RO4: Policy- and Context-Aware Access Control</w:t>
            </w:r>
          </w:p>
        </w:tc>
        <w:tc>
          <w:tcPr>
            <w:tcW w:w="4544"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F69473F" w14:textId="77777777" w:rsidR="009262C4" w:rsidRDefault="00000000">
            <w:pPr>
              <w:keepNext/>
              <w:spacing w:before="40" w:after="40" w:line="240" w:lineRule="auto"/>
              <w:jc w:val="left"/>
            </w:pPr>
            <w:r>
              <w:rPr>
                <w:rFonts w:ascii="Palatino Linotype" w:hAnsi="Palatino Linotype" w:cs="Palatino Linotype"/>
                <w:color w:val="000000"/>
                <w:sz w:val="20"/>
                <w:szCs w:val="17"/>
              </w:rPr>
              <w:t>To develop a policy-aware authorisation mechanism that evaluates the purpose and data scope of a requested operation against the constraints defined by the consent.</w:t>
            </w:r>
          </w:p>
        </w:tc>
        <w:tc>
          <w:tcPr>
            <w:tcW w:w="156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4DEFDAC" w14:textId="77777777" w:rsidR="009262C4" w:rsidRDefault="00000000">
            <w:pPr>
              <w:keepNext/>
              <w:spacing w:before="40" w:after="40" w:line="240" w:lineRule="auto"/>
              <w:jc w:val="left"/>
            </w:pPr>
            <w:r>
              <w:rPr>
                <w:rFonts w:ascii="Palatino Linotype" w:hAnsi="Palatino Linotype" w:cs="Palatino Linotype"/>
                <w:color w:val="000000"/>
                <w:sz w:val="20"/>
                <w:szCs w:val="17"/>
              </w:rPr>
              <w:t>Done</w:t>
            </w:r>
          </w:p>
        </w:tc>
      </w:tr>
      <w:tr w:rsidR="009262C4" w14:paraId="0A812D5A" w14:textId="77777777">
        <w:trPr>
          <w:cantSplit/>
        </w:trPr>
        <w:tc>
          <w:tcPr>
            <w:tcW w:w="68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D822715" w14:textId="77777777" w:rsidR="009262C4" w:rsidRDefault="00000000">
            <w:pPr>
              <w:keepNext/>
              <w:spacing w:before="40" w:after="40" w:line="240" w:lineRule="auto"/>
              <w:jc w:val="left"/>
            </w:pPr>
            <w:r>
              <w:rPr>
                <w:rFonts w:ascii="Palatino Linotype" w:hAnsi="Palatino Linotype" w:cs="Palatino Linotype"/>
                <w:color w:val="000000"/>
                <w:sz w:val="20"/>
                <w:szCs w:val="17"/>
              </w:rPr>
              <w:t>RQ5</w:t>
            </w:r>
          </w:p>
        </w:tc>
        <w:tc>
          <w:tcPr>
            <w:tcW w:w="234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5224703" w14:textId="77777777" w:rsidR="009262C4" w:rsidRDefault="00000000">
            <w:pPr>
              <w:keepNext/>
              <w:spacing w:before="40" w:after="40" w:line="240" w:lineRule="auto"/>
              <w:jc w:val="left"/>
            </w:pPr>
            <w:r>
              <w:rPr>
                <w:rFonts w:ascii="Palatino Linotype" w:hAnsi="Palatino Linotype" w:cs="Palatino Linotype"/>
                <w:color w:val="000000"/>
                <w:sz w:val="20"/>
                <w:szCs w:val="17"/>
              </w:rPr>
              <w:t>RO5: Temporal and Lifecycle Trust</w:t>
            </w:r>
          </w:p>
        </w:tc>
        <w:tc>
          <w:tcPr>
            <w:tcW w:w="4544"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F0B3DFD" w14:textId="77777777" w:rsidR="009262C4" w:rsidRDefault="00000000">
            <w:pPr>
              <w:keepNext/>
              <w:spacing w:before="40" w:after="40" w:line="240" w:lineRule="auto"/>
              <w:jc w:val="left"/>
            </w:pPr>
            <w:r>
              <w:rPr>
                <w:rFonts w:ascii="Palatino Linotype" w:hAnsi="Palatino Linotype" w:cs="Palatino Linotype"/>
                <w:color w:val="000000"/>
                <w:sz w:val="20"/>
                <w:szCs w:val="17"/>
              </w:rPr>
              <w:t>To extend the trust-oriented framework with temporal validity and consent lifecycle controls.</w:t>
            </w:r>
          </w:p>
        </w:tc>
        <w:tc>
          <w:tcPr>
            <w:tcW w:w="156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D561570" w14:textId="77777777" w:rsidR="009262C4" w:rsidRDefault="00000000">
            <w:pPr>
              <w:keepNext/>
              <w:spacing w:before="40" w:after="40" w:line="240" w:lineRule="auto"/>
              <w:jc w:val="left"/>
            </w:pPr>
            <w:r>
              <w:rPr>
                <w:rFonts w:ascii="Palatino Linotype" w:hAnsi="Palatino Linotype" w:cs="Palatino Linotype"/>
                <w:color w:val="000000"/>
                <w:sz w:val="20"/>
                <w:szCs w:val="17"/>
              </w:rPr>
              <w:t>In Progress</w:t>
            </w:r>
          </w:p>
        </w:tc>
      </w:tr>
      <w:tr w:rsidR="009262C4" w14:paraId="7B2340AD"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vAlign w:val="top"/>
          </w:tcPr>
          <w:p w14:paraId="18B589FF" w14:textId="77777777" w:rsidR="009262C4" w:rsidRDefault="00000000">
            <w:pPr>
              <w:spacing w:before="40" w:after="40" w:line="240" w:lineRule="auto"/>
              <w:jc w:val="left"/>
            </w:pPr>
            <w:r>
              <w:rPr>
                <w:rFonts w:ascii="Palatino Linotype" w:hAnsi="Palatino Linotype" w:cs="Palatino Linotype"/>
                <w:color w:val="000000"/>
                <w:sz w:val="20"/>
                <w:szCs w:val="17"/>
              </w:rPr>
              <w:t>RQ6</w:t>
            </w:r>
          </w:p>
        </w:tc>
        <w:tc>
          <w:tcPr>
            <w:tcW w:w="2340" w:type="dxa"/>
            <w:tcBorders>
              <w:top w:val="nil"/>
              <w:left w:val="nil"/>
              <w:bottom w:val="nil"/>
              <w:right w:val="nil"/>
              <w:insideH w:val="nil"/>
              <w:insideV w:val="nil"/>
            </w:tcBorders>
            <w:tcMar>
              <w:top w:w="40" w:type="dxa"/>
              <w:left w:w="80" w:type="dxa"/>
              <w:bottom w:w="40" w:type="dxa"/>
              <w:right w:w="80" w:type="dxa"/>
            </w:tcMar>
            <w:vAlign w:val="top"/>
          </w:tcPr>
          <w:p w14:paraId="077BCD3D" w14:textId="77777777" w:rsidR="009262C4" w:rsidRDefault="00000000">
            <w:pPr>
              <w:spacing w:before="40" w:after="40" w:line="240" w:lineRule="auto"/>
              <w:jc w:val="left"/>
            </w:pPr>
            <w:r>
              <w:rPr>
                <w:rFonts w:ascii="Palatino Linotype" w:hAnsi="Palatino Linotype" w:cs="Palatino Linotype"/>
                <w:color w:val="000000"/>
                <w:sz w:val="20"/>
                <w:szCs w:val="17"/>
              </w:rPr>
              <w:t>RO6: Formal Security Assurance and Empirical Validation</w:t>
            </w:r>
          </w:p>
        </w:tc>
        <w:tc>
          <w:tcPr>
            <w:tcW w:w="4544" w:type="dxa"/>
            <w:tcBorders>
              <w:top w:val="nil"/>
              <w:left w:val="nil"/>
              <w:bottom w:val="nil"/>
              <w:right w:val="nil"/>
              <w:insideH w:val="nil"/>
              <w:insideV w:val="nil"/>
            </w:tcBorders>
            <w:tcMar>
              <w:top w:w="40" w:type="dxa"/>
              <w:left w:w="80" w:type="dxa"/>
              <w:bottom w:w="40" w:type="dxa"/>
              <w:right w:w="80" w:type="dxa"/>
            </w:tcMar>
            <w:vAlign w:val="top"/>
          </w:tcPr>
          <w:p w14:paraId="337D4938" w14:textId="77777777" w:rsidR="009262C4" w:rsidRDefault="00000000">
            <w:pPr>
              <w:spacing w:before="40" w:after="40" w:line="240" w:lineRule="auto"/>
              <w:jc w:val="left"/>
            </w:pPr>
            <w:r>
              <w:rPr>
                <w:rFonts w:ascii="Palatino Linotype" w:hAnsi="Palatino Linotype" w:cs="Palatino Linotype"/>
                <w:color w:val="000000"/>
                <w:sz w:val="20"/>
                <w:szCs w:val="17"/>
              </w:rPr>
              <w:t>To formally analyse and empirically evaluate whether the implemented framework satisfies its defined trust and authorisation properties under representative healthcare data-sharing scenarios.</w:t>
            </w:r>
          </w:p>
        </w:tc>
        <w:tc>
          <w:tcPr>
            <w:tcW w:w="1562" w:type="dxa"/>
            <w:tcBorders>
              <w:top w:val="nil"/>
              <w:left w:val="nil"/>
              <w:bottom w:val="nil"/>
              <w:right w:val="nil"/>
              <w:insideH w:val="nil"/>
              <w:insideV w:val="nil"/>
            </w:tcBorders>
            <w:tcMar>
              <w:top w:w="40" w:type="dxa"/>
              <w:left w:w="80" w:type="dxa"/>
              <w:bottom w:w="40" w:type="dxa"/>
              <w:right w:w="80" w:type="dxa"/>
            </w:tcMar>
            <w:vAlign w:val="top"/>
          </w:tcPr>
          <w:p w14:paraId="686EBBB0" w14:textId="77777777" w:rsidR="009262C4" w:rsidRDefault="00000000">
            <w:pPr>
              <w:spacing w:before="40" w:after="40" w:line="240" w:lineRule="auto"/>
              <w:jc w:val="left"/>
            </w:pPr>
            <w:r>
              <w:rPr>
                <w:rFonts w:ascii="Palatino Linotype" w:hAnsi="Palatino Linotype" w:cs="Palatino Linotype"/>
                <w:color w:val="000000"/>
                <w:sz w:val="20"/>
                <w:szCs w:val="17"/>
              </w:rPr>
              <w:t>Partially completed</w:t>
            </w:r>
          </w:p>
        </w:tc>
      </w:tr>
    </w:tbl>
    <w:p w14:paraId="127522B7" w14:textId="77777777" w:rsidR="009262C4" w:rsidRDefault="009262C4">
      <w:pPr>
        <w:spacing w:after="160"/>
      </w:pPr>
    </w:p>
    <w:p>
      <w:pPr>
        <w:pStyle w:val="2"/>
        <w:keepNext/>
      </w:pPr>
      <w:r>
        <w:rPr>
          <w:color w:val="FF0000"/>
        </w:rPr>
        <w:t>3.6 Conclusion</w:t>
      </w:r>
    </w:p>
    <w:p>
      <w:pPr/>
      <w:r>
        <w:rPr>
          <w:color w:val="FF0000"/>
        </w:rPr>
        <w:t>This chapter stated the research problem. The gap found in Chapter 2 is the absence of an integrated model in which identity, authority, multi-party approval, policy, temporal validity and lifecycle state are evaluated together at every access request, with an approving set defined by the patient, and in which that joint decision is formally and empirically assured. The first five requirement-level gaps form the conjunction gap and the sixth forms the assurance gap.</w:t>
      </w:r>
    </w:p>
    <w:p>
      <w:pPr/>
      <w:r>
        <w:rPr>
          <w:color w:val="FF0000"/>
        </w:rPr>
        <w:t>From this gap, one main research question was stated: how a trust-oriented computing framework can establish and enforce trustworthy multi-party consent for decentralised healthcare data sharing under identity, authority and policy constraints. The question was divided into six sub-research questions, one per gap, and each sub-research question was matched with one research objective. The six questions are not independent: the first defines the consent object, the second and third establish who may take part and how they decide together, the fourth and fifth decide whether a particular request is allowed now, and the sixth assures the whole. The next chapter presents the research methodology and an overview of the solution proposed for each question.</w:t>
      </w:r>
    </w:p>
    <w:sectPr w:rsidR="009262C4">
      <w:headerReference w:type="default" r:id="rId37"/>
      <w:headerReference w:type="even" r:id="rId38"/>
      <w:footerReference w:type="default" r:id="rId34"/>
      <w:footerReference w:type="even" r:id="rId39"/>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36" Type="http://schemas.openxmlformats.org/officeDocument/2006/relationships/theme" Target="theme/theme1.xml"/><Relationship Id="rId4" Type="http://schemas.openxmlformats.org/officeDocument/2006/relationships/webSettings" Target="webSettings.xml"/><Relationship Id="rId35" Type="http://schemas.openxmlformats.org/officeDocument/2006/relationships/fontTable" Target="fontTable.xml"/><Relationship Id="rId37" Type="http://schemas.openxmlformats.org/officeDocument/2006/relationships/header" Target="header1.xml"/><Relationship Id="rId38" Type="http://schemas.openxmlformats.org/officeDocument/2006/relationships/header" Target="header2.xml"/><Relationship Id="rId3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2026-10-23T07:08:29Z</dcterms:created>
  <dcterms:modified xsi:type="dcterms:W3CDTF">2026-10-23T07:08:29Z</dcterms:modified>
</cp:coreProperties>
</file>