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ran on 24 and 25 August 2026, and the ACM Digital Library on 5 September 2026 as a late arm, a declared limitation.</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determines whether the recorded jurisdictional constraint of the consent is satisfied.</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sz w:val="22"/>
          <w:szCs w:val="22"/>
        </w:rPr>
        <w:t xml:space="preserve"> The identity verification condition can be expressed as Equation (7), where u is the requesting participant.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title="RO4 workflow for policy- and context-aware access control (in the current prototype, a refusal for a consent that is not ACTIVE is reported in the doctor interface and is not written to the audit ledger, whereas every decision on an ACTIVE consent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incompatible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sz w:val="22"/>
          <w:szCs w:val="22"/>
        </w:rPr>
        <w:t xml:space="preserve"> A request is permitted only when the purpose is compatible with the consent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2026-10-03T07:55:30.709Z</dcterms:created>
  <dcterms:modified xsi:type="dcterms:W3CDTF">2026-10-03T07:55:30.709Z</dcterms:modified>
</cp:coreProperties>
</file>

<file path=docProps/custom.xml><?xml version="1.0" encoding="utf-8"?>
<Properties xmlns="http://schemas.openxmlformats.org/officeDocument/2006/custom-properties" xmlns:vt="http://schemas.openxmlformats.org/officeDocument/2006/docPropsVTypes"/>
</file>