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Authorization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pPr>
        <w:spacing w:before="400"/>
        <w:jc w:val="center"/>
      </w:pPr>
      <w:r>
        <w:rPr>
          <w:rFonts w:ascii="Cambria" w:cs="Cambria" w:eastAsia="Cambria" w:hAnsi="Cambria"/>
          <w:i/>
          <w:iCs/>
          <w:color w:val="C00000"/>
          <w:sz w:val="20"/>
          <w:szCs w:val="20"/>
        </w:rPr>
        <w:t xml:space="preserve">Working copy: all corrections aligning this report with the implemented HALAH v1.2 system (companion document: HALAH Implementation v1.3) are inserted in RED at their locations; superseded wording is struck through in grey.</w:t>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5</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5</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8</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2.2 Systematic Literature Review Methodology</w:t>
      </w:r>
      <w:r>
        <w:rPr>
          <w:rFonts w:ascii="Cambria" w:cs="Cambria" w:eastAsia="Cambria" w:hAnsi="Cambria"/>
          <w:sz w:val="22"/>
          <w:szCs w:val="22"/>
        </w:rPr>
        <w:t xml:space="preserve">	13</w:t>
      </w:r>
    </w:p>
    <w:p>
      <w:pPr>
        <w:tabs>
          <w:tab w:val="right" w:pos="9360" w:leader="dot"/>
        </w:tabs>
        <w:spacing w:after="60"/>
        <w:ind w:left="720"/>
      </w:pPr>
      <w:r>
        <w:rPr>
          <w:rFonts w:ascii="Cambria" w:cs="Cambria" w:eastAsia="Cambria" w:hAnsi="Cambria"/>
          <w:b w:val="false"/>
          <w:bCs w:val="false"/>
          <w:sz w:val="20"/>
          <w:szCs w:val="20"/>
        </w:rPr>
        <w:t xml:space="preserve">2.2.1 Review Design and Reporting Framework</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2.2.2 Questions for Review</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2.2.3 Search Databases and Search Strategy</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2.2.4 Search Period and Search Execution</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2.2.5 Eligibility Criteria</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2.2.6 Screening and Study Selection</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2.2.7 Data Extraction and Synthesis</w:t>
      </w:r>
      <w:r>
        <w:rPr>
          <w:rFonts w:ascii="Cambria" w:cs="Cambria" w:eastAsia="Cambria" w:hAnsi="Cambria"/>
          <w:sz w:val="20"/>
          <w:szCs w:val="20"/>
        </w:rPr>
        <w:t xml:space="preserve">	18</w:t>
      </w:r>
    </w:p>
    <w:p>
      <w:pPr>
        <w:tabs>
          <w:tab w:val="right" w:pos="9360" w:leader="dot"/>
        </w:tabs>
        <w:spacing w:after="60"/>
        <w:ind w:left="360"/>
      </w:pPr>
      <w:r>
        <w:rPr>
          <w:rFonts w:ascii="Cambria" w:cs="Cambria" w:eastAsia="Cambria" w:hAnsi="Cambria"/>
          <w:b w:val="false"/>
          <w:bCs w:val="false"/>
          <w:sz w:val="22"/>
          <w:szCs w:val="22"/>
        </w:rPr>
        <w:t xml:space="preserve">2.3 Review</w:t>
      </w:r>
      <w:r>
        <w:rPr>
          <w:rFonts w:ascii="Cambria" w:cs="Cambria" w:eastAsia="Cambria" w:hAnsi="Cambria"/>
          <w:sz w:val="22"/>
          <w:szCs w:val="22"/>
        </w:rPr>
        <w:t xml:space="preserve">	19</w:t>
      </w:r>
    </w:p>
    <w:p>
      <w:pPr>
        <w:tabs>
          <w:tab w:val="right" w:pos="9360" w:leader="dot"/>
        </w:tabs>
        <w:spacing w:after="60"/>
        <w:ind w:left="720"/>
      </w:pPr>
      <w:r>
        <w:rPr>
          <w:rFonts w:ascii="Cambria" w:cs="Cambria" w:eastAsia="Cambria" w:hAnsi="Cambria"/>
          <w:b w:val="false"/>
          <w:bCs w:val="false"/>
          <w:sz w:val="20"/>
          <w:szCs w:val="20"/>
        </w:rPr>
        <w:t xml:space="preserve">2.3.1 Healthcare Consent and Decentralised Data Governance</w:t>
      </w:r>
      <w:r>
        <w:rPr>
          <w:rFonts w:ascii="Cambria" w:cs="Cambria" w:eastAsia="Cambria" w:hAnsi="Cambria"/>
          <w:sz w:val="20"/>
          <w:szCs w:val="20"/>
        </w:rPr>
        <w:t xml:space="preserve">	20</w:t>
      </w:r>
    </w:p>
    <w:p>
      <w:pPr>
        <w:tabs>
          <w:tab w:val="right" w:pos="9360" w:leader="dot"/>
        </w:tabs>
        <w:spacing w:after="60"/>
        <w:ind w:left="720"/>
      </w:pPr>
      <w:r>
        <w:rPr>
          <w:rFonts w:ascii="Cambria" w:cs="Cambria" w:eastAsia="Cambria" w:hAnsi="Cambria"/>
          <w:b w:val="false"/>
          <w:bCs w:val="false"/>
          <w:sz w:val="20"/>
          <w:szCs w:val="20"/>
        </w:rPr>
        <w:t xml:space="preserve">2.3.2 Blockchain-Based Consent and Data Governance</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2.3.3 Decentralised Identity and Verifiable Credentials</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2.3.4 Multi-Party Authorisation and Collaborative Consent</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2.3.5 Policy-Based and Context-Aware Access Control</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2.3.6 Trusted Computing, Secure Execution, and Security Assurance</w:t>
      </w:r>
      <w:r>
        <w:rPr>
          <w:rFonts w:ascii="Cambria" w:cs="Cambria" w:eastAsia="Cambria" w:hAnsi="Cambria"/>
          <w:sz w:val="20"/>
          <w:szCs w:val="20"/>
        </w:rPr>
        <w:t xml:space="preserve">	25</w:t>
      </w:r>
    </w:p>
    <w:p>
      <w:pPr>
        <w:tabs>
          <w:tab w:val="right" w:pos="9360" w:leader="dot"/>
        </w:tabs>
        <w:spacing w:after="60"/>
        <w:ind w:left="720"/>
      </w:pPr>
      <w:r>
        <w:rPr>
          <w:rFonts w:ascii="Cambria" w:cs="Cambria" w:eastAsia="Cambria" w:hAnsi="Cambria"/>
          <w:b w:val="false"/>
          <w:bCs w:val="false"/>
          <w:sz w:val="20"/>
          <w:szCs w:val="20"/>
        </w:rPr>
        <w:t xml:space="preserve">2.3.7 Comparative Analysis of Existing Approaches</w:t>
      </w:r>
      <w:r>
        <w:rPr>
          <w:rFonts w:ascii="Cambria" w:cs="Cambria" w:eastAsia="Cambria" w:hAnsi="Cambria"/>
          <w:sz w:val="20"/>
          <w:szCs w:val="20"/>
        </w:rPr>
        <w:t xml:space="preserve">	26</w:t>
      </w:r>
    </w:p>
    <w:p>
      <w:pPr>
        <w:tabs>
          <w:tab w:val="right" w:pos="9360" w:leader="dot"/>
        </w:tabs>
        <w:spacing w:after="60"/>
        <w:ind w:left="360"/>
      </w:pPr>
      <w:r>
        <w:rPr>
          <w:rFonts w:ascii="Cambria" w:cs="Cambria" w:eastAsia="Cambria" w:hAnsi="Cambria"/>
          <w:b w:val="false"/>
          <w:bCs w:val="false"/>
          <w:sz w:val="22"/>
          <w:szCs w:val="22"/>
        </w:rPr>
        <w:t xml:space="preserve">2.4 Synthesis and Research Gap</w:t>
      </w:r>
      <w:r>
        <w:rPr>
          <w:rFonts w:ascii="Cambria" w:cs="Cambria" w:eastAsia="Cambria" w:hAnsi="Cambria"/>
          <w:sz w:val="22"/>
          <w:szCs w:val="22"/>
        </w:rPr>
        <w:t xml:space="preserve">	27</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30</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30</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31</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32</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32</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33</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34</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34</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36</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37</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40</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40</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40</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41</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41</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41</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43</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47</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47</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49</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51</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53</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Authorization Workflow</w:t>
      </w:r>
      <w:r>
        <w:rPr>
          <w:rFonts w:ascii="Cambria" w:cs="Cambria" w:eastAsia="Cambria" w:hAnsi="Cambria"/>
          <w:sz w:val="22"/>
          <w:szCs w:val="22"/>
        </w:rPr>
        <w:t xml:space="preserve">	54</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57</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61</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61</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62</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63</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63</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67</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67</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67</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69</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71</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71</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72</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72</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75</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76</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76</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76</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79</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81</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81</w:t>
      </w:r>
    </w:p>
    <w:p>
      <w:pPr>
        <w:tabs>
          <w:tab w:val="right" w:pos="9360" w:leader="dot"/>
        </w:tabs>
        <w:spacing w:after="60"/>
        <w:ind w:left="720"/>
      </w:pPr>
      <w:r>
        <w:rPr>
          <w:rFonts w:ascii="Cambria" w:cs="Cambria" w:eastAsia="Cambria" w:hAnsi="Cambria"/>
          <w:b w:val="false"/>
          <w:bCs w:val="false"/>
          <w:sz w:val="20"/>
          <w:szCs w:val="20"/>
        </w:rPr>
        <w:t xml:space="preserve">6.4.2 Procedure for Temporal and Lifecycle Validation</w:t>
      </w:r>
      <w:r>
        <w:rPr>
          <w:rFonts w:ascii="Cambria" w:cs="Cambria" w:eastAsia="Cambria" w:hAnsi="Cambria"/>
          <w:sz w:val="20"/>
          <w:szCs w:val="20"/>
        </w:rPr>
        <w:t xml:space="preserve">	83</w:t>
      </w:r>
    </w:p>
    <w:p>
      <w:pPr>
        <w:tabs>
          <w:tab w:val="right" w:pos="9360" w:leader="dot"/>
        </w:tabs>
        <w:spacing w:after="60"/>
        <w:ind w:left="720"/>
      </w:pPr>
      <w:r>
        <w:rPr>
          <w:rFonts w:ascii="Cambria" w:cs="Cambria" w:eastAsia="Cambria" w:hAnsi="Cambria"/>
          <w:b w:val="false"/>
          <w:bCs w:val="false"/>
          <w:sz w:val="20"/>
          <w:szCs w:val="20"/>
        </w:rPr>
        <w:t xml:space="preserve">6.4.3 Algorithm 4: Policy-Aware Access Decision</w:t>
      </w:r>
      <w:r>
        <w:rPr>
          <w:rFonts w:ascii="Cambria" w:cs="Cambria" w:eastAsia="Cambria" w:hAnsi="Cambria"/>
          <w:sz w:val="20"/>
          <w:szCs w:val="20"/>
        </w:rPr>
        <w:t xml:space="preserve">	85</w:t>
      </w:r>
    </w:p>
    <w:p>
      <w:pPr>
        <w:tabs>
          <w:tab w:val="right" w:pos="9360" w:leader="dot"/>
        </w:tabs>
        <w:spacing w:after="60"/>
        <w:ind w:left="720"/>
      </w:pPr>
      <w:r>
        <w:rPr>
          <w:rFonts w:ascii="Cambria" w:cs="Cambria" w:eastAsia="Cambria" w:hAnsi="Cambria"/>
          <w:b w:val="false"/>
          <w:bCs w:val="false"/>
          <w:sz w:val="20"/>
          <w:szCs w:val="20"/>
        </w:rPr>
        <w:t xml:space="preserve">6.4.4 Procedure for Policy-Aware Access Decision</w:t>
      </w:r>
      <w:r>
        <w:rPr>
          <w:rFonts w:ascii="Cambria" w:cs="Cambria" w:eastAsia="Cambria" w:hAnsi="Cambria"/>
          <w:sz w:val="20"/>
          <w:szCs w:val="20"/>
        </w:rPr>
        <w:t xml:space="preserve">	86</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89</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90</w:t>
      </w:r>
    </w:p>
    <w:p>
      <w:pPr>
        <w:tabs>
          <w:tab w:val="right" w:pos="9360" w:leader="dot"/>
        </w:tabs>
        <w:spacing w:after="60"/>
        <w:ind w:left="720"/>
      </w:pPr>
      <w:r>
        <w:rPr>
          <w:rFonts w:ascii="Cambria" w:cs="Cambria" w:eastAsia="Cambria" w:hAnsi="Cambria"/>
          <w:b w:val="false"/>
          <w:bCs w:val="false"/>
          <w:sz w:val="20"/>
          <w:szCs w:val="20"/>
        </w:rPr>
        <w:t xml:space="preserve">6.5.2 Algorithm 5: Temporal and Lifecycle Validation</w:t>
      </w:r>
      <w:r>
        <w:rPr>
          <w:rFonts w:ascii="Cambria" w:cs="Cambria" w:eastAsia="Cambria" w:hAnsi="Cambria"/>
          <w:sz w:val="20"/>
          <w:szCs w:val="20"/>
        </w:rPr>
        <w:t xml:space="preserve">	90</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92</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92</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93</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98</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98</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101</w:t>
      </w:r>
    </w:p>
    <w:p>
      <w:pPr>
        <w:tabs>
          <w:tab w:val="right" w:pos="9360" w:leader="dot"/>
        </w:tabs>
        <w:spacing w:after="60"/>
        <w:ind w:left="360"/>
      </w:pPr>
      <w:r>
        <w:rPr>
          <w:rFonts w:ascii="Cambria" w:cs="Cambria" w:eastAsia="Cambria" w:hAnsi="Cambria"/>
          <w:b w:val="false"/>
          <w:bCs w:val="false"/>
          <w:sz w:val="22"/>
          <w:szCs w:val="22"/>
        </w:rPr>
        <w:t xml:space="preserve">7.4 Progress of RO4: Policy-Aware Access Control</w:t>
      </w:r>
      <w:r>
        <w:rPr>
          <w:rFonts w:ascii="Cambria" w:cs="Cambria" w:eastAsia="Cambria" w:hAnsi="Cambria"/>
          <w:sz w:val="22"/>
          <w:szCs w:val="22"/>
        </w:rPr>
        <w:t xml:space="preserve">	101</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102</w:t>
      </w:r>
    </w:p>
    <w:p>
      <w:pPr>
        <w:tabs>
          <w:tab w:val="right" w:pos="9360" w:leader="dot"/>
        </w:tabs>
        <w:spacing w:after="60"/>
        <w:ind w:left="360"/>
      </w:pPr>
      <w:r>
        <w:rPr>
          <w:rFonts w:ascii="Cambria" w:cs="Cambria" w:eastAsia="Cambria" w:hAnsi="Cambria"/>
          <w:b w:val="false"/>
          <w:bCs w:val="false"/>
          <w:sz w:val="22"/>
          <w:szCs w:val="22"/>
        </w:rPr>
        <w:t xml:space="preserve">7.6 Progress of RO6: Security Assurance and Validation</w:t>
      </w:r>
      <w:r>
        <w:rPr>
          <w:rFonts w:ascii="Cambria" w:cs="Cambria" w:eastAsia="Cambria" w:hAnsi="Cambria"/>
          <w:sz w:val="22"/>
          <w:szCs w:val="22"/>
        </w:rPr>
        <w:t xml:space="preserve">	103</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105</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106</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106</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106</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111</w:t>
      </w:r>
    </w:p>
    <w:p>
      <w:pPr>
        <w:pStyle w:val="Heading1"/>
        <w:pageBreakBefore/>
        <w:spacing w:after="160" w:before="400"/>
      </w:pPr>
      <w:r>
        <w:t xml:space="preserve">1  Introduction</w:t>
      </w:r>
    </w:p>
    <w:p>
      <w:pPr>
        <w:pStyle w:val="Heading2"/>
        <w:spacing w:after="160" w:before="280"/>
      </w:pPr>
      <w: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w:t>
      </w:r>
      <w:r>
        <w:rPr>
          <w:rFonts w:ascii="Cambria" w:cs="Cambria" w:eastAsia="Cambria" w:hAnsi="Cambria"/>
          <w:b/>
          <w:bCs/>
          <w:color w:val="007A00"/>
          <w:sz w:val="24"/>
          <w:szCs w:val="24"/>
        </w:rPr>
        <w:t xml:space="preserve">[31, 14]</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Heading2"/>
        <w:spacing w:after="160" w:before="280"/>
      </w:pPr>
      <w: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sz w:val="24"/>
          <w:szCs w:val="24"/>
        </w:rP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pStyle w:val="Heading2"/>
        <w:spacing w:after="160" w:before="280"/>
      </w:pPr>
      <w:r>
        <w:t xml:space="preserve">1.3  Research Motivation</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sz w:val="24"/>
          <w:szCs w:val="24"/>
        </w:rP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sz w:val="24"/>
          <w:szCs w:val="24"/>
        </w:rPr>
        <w:t xml:space="preserve">The subsequent next stage research will extend this foundation towards dynamic trust management and stronger security assurance. In particular, the framework will be expanded to investigate temporal validity and lifecycle trust, including the effects of validity periods, expiration, revocation, and controlled state transitions on the continuing legitimacy of an authorisation decision. This extension is important because trust cannot be regarded as permanently established at the moment a consent is created. A consent that was valid when initially approved may subsequently become invalid due to expiration, revocation, or a change in its authorised lifecycle state.</w:t>
      </w:r>
    </w:p>
    <w:p>
      <w:pPr>
        <w:spacing w:after="40" w:before="60"/>
      </w:pPr>
      <w:r>
        <w:rPr>
          <w:rFonts w:ascii="Cambria" w:cs="Cambria" w:eastAsia="Cambria" w:hAnsi="Cambria"/>
          <w:b/>
          <w:bCs/>
          <w:color w:val="C00000"/>
          <w:sz w:val="18"/>
          <w:szCs w:val="18"/>
        </w:rPr>
        <w:t xml:space="preserve">[EDIT 3] </w:t>
      </w:r>
    </w:p>
    <w:p>
      <w:pPr>
        <w:spacing w:after="140" w:line="300"/>
        <w:jc w:val="both"/>
      </w:pPr>
      <w:r>
        <w:rPr>
          <w:rFonts w:ascii="Cambria" w:cs="Cambria" w:eastAsia="Cambria" w:hAnsi="Cambria"/>
          <w:color w:val="C00000"/>
          <w:sz w:val="24"/>
          <w:szCs w:val="24"/>
        </w:rPr>
        <w:t xml:space="preserve">The framework has been extended to incorporate temporal validity and lifecycle trust. Validity periods and expiration are enforced at evaluation time and mirrored on-chain, revocation is executed as a verifiable blockchain transaction, and consent progresses through controlled state transitions, reflecting the principle that trust cannot be regarded as permanently established at the moment a consent is created.</w:t>
      </w:r>
    </w:p>
    <w:p>
      <w:pPr>
        <w:spacing w:after="40" w:before="60"/>
      </w:pPr>
      <w:r>
        <w:rPr>
          <w:rFonts w:ascii="Cambria" w:cs="Cambria" w:eastAsia="Cambria" w:hAnsi="Cambria"/>
          <w:b/>
          <w:bCs/>
          <w:color w:val="C00000"/>
          <w:sz w:val="18"/>
          <w:szCs w:val="18"/>
        </w:rPr>
        <w:t xml:space="preserve">[EDIT 8] </w:t>
      </w:r>
    </w:p>
    <w:p>
      <w:pPr>
        <w:spacing w:after="140" w:line="300"/>
        <w:jc w:val="both"/>
      </w:pPr>
      <w:r>
        <w:rPr>
          <w:rFonts w:ascii="Cambria" w:cs="Cambria" w:eastAsia="Cambria" w:hAnsi="Cambria"/>
          <w:color w:val="C00000"/>
          <w:sz w:val="24"/>
          <w:szCs w:val="24"/>
        </w:rPr>
        <w:t xml:space="preserve">The research has since extended this foundation towards dynamic trust management; stronger formal security assurance remains for the subsequent stage.</w:t>
      </w:r>
    </w:p>
    <w:p>
      <w:pPr>
        <w:spacing w:after="140" w:line="300"/>
        <w:jc w:val="both"/>
      </w:pPr>
      <w:r>
        <w:rPr>
          <w:rFonts w:ascii="Cambria" w:cs="Cambria" w:eastAsia="Cambria" w:hAnsi="Cambria"/>
          <w:sz w:val="24"/>
          <w:szCs w:val="24"/>
        </w:rPr>
        <w:t xml:space="preserve">next stage will also investigate formal security assurance and comprehensive empirical validation. 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This will be complemented by adversarial and negative testing, as well as comprehensive empirical evaluation using the HALAH prototype and representative healthcare data-sharing scenarios. The objective is not simply to demonstrate that the prototype can execute successful workflows, but to determine whether the implementation consistently allows access when the required trust conditions are satisfied and rejects access when those conditions are violated. The distinction between the current contribution and the subsequent research is summarised in Table 1.</w:t>
      </w:r>
    </w:p>
    <w:p>
      <w:pPr>
        <w:spacing w:after="40" w:before="60"/>
      </w:pPr>
      <w:r>
        <w:rPr>
          <w:rFonts w:ascii="Cambria" w:cs="Cambria" w:eastAsia="Cambria" w:hAnsi="Cambria"/>
          <w:b/>
          <w:bCs/>
          <w:color w:val="C00000"/>
          <w:sz w:val="18"/>
          <w:szCs w:val="18"/>
        </w:rPr>
        <w:t xml:space="preserve">[EDIT 4] </w:t>
      </w:r>
    </w:p>
    <w:p>
      <w:pPr>
        <w:spacing w:after="140" w:line="300"/>
        <w:jc w:val="both"/>
      </w:pPr>
      <w:r>
        <w:rPr>
          <w:rFonts w:ascii="Cambria" w:cs="Cambria" w:eastAsia="Cambria" w:hAnsi="Cambria"/>
          <w:color w:val="C00000"/>
          <w:sz w:val="24"/>
          <w:szCs w:val="24"/>
        </w:rPr>
        <w:t xml:space="preserve">Adversarial and negative testing has been undertaken using the HALAH prototype, including per-dimension denial scenarios, signature-rejection tests, and zero-knowledge tamper and expiry tests, together with a live negative evaluation on the Sepolia network. Formal security analysis remains the subject of the next research stage.</w:t>
      </w:r>
    </w:p>
    <w:p>
      <w:pPr>
        <w:spacing w:after="40" w:before="60"/>
      </w:pPr>
      <w:r>
        <w:rPr>
          <w:rFonts w:ascii="Cambria" w:cs="Cambria" w:eastAsia="Cambria" w:hAnsi="Cambria"/>
          <w:b/>
          <w:bCs/>
          <w:color w:val="C00000"/>
          <w:sz w:val="18"/>
          <w:szCs w:val="18"/>
        </w:rPr>
        <w:t xml:space="preserve">[EDIT 5] </w:t>
      </w:r>
    </w:p>
    <w:p>
      <w:pPr>
        <w:spacing w:after="140" w:line="300"/>
        <w:jc w:val="both"/>
      </w:pPr>
      <w:r>
        <w:rPr>
          <w:rFonts w:ascii="Cambria" w:cs="Cambria" w:eastAsia="Cambria" w:hAnsi="Cambria"/>
          <w:color w:val="C00000"/>
          <w:sz w:val="24"/>
          <w:szCs w:val="24"/>
        </w:rPr>
        <w:t xml:space="preserve">The next stage will investigate formal security assurance; empirical validation has now been carried out on the implemented prototype.</w:t>
      </w:r>
    </w:p>
    <w:p>
      <w:pPr>
        <w:spacing w:after="40" w:before="60"/>
      </w:pPr>
      <w:r>
        <w:rPr>
          <w:rFonts w:ascii="Cambria" w:cs="Cambria" w:eastAsia="Cambria" w:hAnsi="Cambria"/>
          <w:b/>
          <w:bCs/>
          <w:color w:val="C00000"/>
          <w:sz w:val="18"/>
          <w:szCs w:val="18"/>
        </w:rPr>
        <w:t xml:space="preserve">[EDIT 9] </w:t>
      </w:r>
    </w:p>
    <w:p>
      <w:pPr>
        <w:spacing w:after="140" w:line="300"/>
        <w:jc w:val="both"/>
      </w:pPr>
      <w:r>
        <w:rPr>
          <w:rFonts w:ascii="Cambria" w:cs="Cambria" w:eastAsia="Cambria" w:hAnsi="Cambria"/>
          <w:color w:val="C00000"/>
          <w:sz w:val="24"/>
          <w:szCs w:val="24"/>
        </w:rPr>
        <w:t xml:space="preserve">Table 1 summarises the research dimensions, indicating those realised in the implemented HALAH prototype and the formal-assurance work that remains for subsequent research.</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current research is concerned primarily with establishing the conceptual and technical foundations through which trustworthy multi-party authorisation can be constructed. Next stage will build upon these foundations by investigating how authorisation trust can be maintained dynamically over time, formally reasoned about under defined security assumptions, and comprehensively validated through prototype-based experimentation.</w:t>
      </w:r>
    </w:p>
    <w:p>
      <w:pPr>
        <w:spacing w:after="40" w:before="60"/>
      </w:pPr>
      <w:r>
        <w:rPr>
          <w:rFonts w:ascii="Cambria" w:cs="Cambria" w:eastAsia="Cambria" w:hAnsi="Cambria"/>
          <w:b/>
          <w:bCs/>
          <w:color w:val="C00000"/>
          <w:sz w:val="18"/>
          <w:szCs w:val="18"/>
        </w:rPr>
        <w:t xml:space="preserve">[EDIT 6] </w:t>
      </w:r>
    </w:p>
    <w:p>
      <w:pPr>
        <w:spacing w:after="140" w:line="300"/>
        <w:jc w:val="both"/>
      </w:pPr>
      <w:r>
        <w:rPr>
          <w:rFonts w:ascii="Cambria" w:cs="Cambria" w:eastAsia="Cambria" w:hAnsi="Cambria"/>
          <w:color w:val="C00000"/>
          <w:sz w:val="24"/>
          <w:szCs w:val="24"/>
        </w:rPr>
        <w:t xml:space="preserve">The current research is concerned primarily with establishing the conceptual and technical foundations through which trustworthy multi-party authorisation can be constructed.</w:t>
      </w:r>
    </w:p>
    <w:p>
      <w:pPr>
        <w:spacing w:after="40" w:before="60"/>
      </w:pPr>
      <w:r>
        <w:rPr>
          <w:rFonts w:ascii="Cambria" w:cs="Cambria" w:eastAsia="Cambria" w:hAnsi="Cambria"/>
          <w:b/>
          <w:bCs/>
          <w:color w:val="C00000"/>
          <w:sz w:val="18"/>
          <w:szCs w:val="18"/>
        </w:rPr>
        <w:t xml:space="preserve">[EDIT 7] </w:t>
      </w:r>
    </w:p>
    <w:p>
      <w:pPr>
        <w:spacing w:after="140" w:line="300"/>
        <w:jc w:val="both"/>
      </w:pPr>
      <w:r>
        <w:rPr>
          <w:rFonts w:ascii="Cambria" w:cs="Cambria" w:eastAsia="Cambria" w:hAnsi="Cambria"/>
          <w:color w:val="C00000"/>
          <w:sz w:val="24"/>
          <w:szCs w:val="24"/>
        </w:rPr>
        <w:t xml:space="preserve">The implemented prototype now maintains authorisation trust dynamically over time and has been validated through prototype-based experimentation; the next stage will build upon these foundations by reasoning formally about the model under defined security assumptions.</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Trust Computing framework in which these independently verifiable conditions contribute collectively to a defensible and explainable decision about whether a particular healthcare data-access request should be permitted.</w:t>
      </w:r>
    </w:p>
    <w:p>
      <w:pPr>
        <w:keepNext/>
        <w:spacing w:after="80" w:before="160"/>
        <w:jc w:val="center"/>
      </w:pPr>
      <w:r>
        <w:rPr>
          <w:rFonts w:ascii="Cambria" w:cs="Cambria" w:eastAsia="Cambria" w:hAnsi="Cambria"/>
          <w:b/>
          <w:bCs/>
          <w:sz w:val="21"/>
          <w:szCs w:val="21"/>
        </w:rPr>
        <w:t xml:space="preserve">Table 1: </w:t>
      </w:r>
      <w:r>
        <w:rPr>
          <w:rFonts w:ascii="Cambria" w:cs="Cambria" w:eastAsia="Cambria" w:hAnsi="Cambria"/>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Modelling</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spacing w:after="40" w:before="60"/>
      </w:pPr>
      <w:r>
        <w:rPr>
          <w:rFonts w:ascii="Cambria" w:cs="Cambria" w:eastAsia="Cambria" w:hAnsi="Cambria"/>
          <w:b/>
          <w:bCs/>
          <w:color w:val="C00000"/>
          <w:sz w:val="18"/>
          <w:szCs w:val="18"/>
        </w:rPr>
        <w:t xml:space="preserve">[EDIT 1 — place at: Page 8, Table 1, RO5 row] </w:t>
      </w:r>
    </w:p>
    <w:p>
      <w:pPr>
        <w:spacing w:after="140" w:line="300"/>
        <w:jc w:val="both"/>
      </w:pPr>
      <w:r>
        <w:rPr>
          <w:rFonts w:ascii="Cambria" w:cs="Cambria" w:eastAsia="Cambria" w:hAnsi="Cambria"/>
          <w:color w:val="C00000"/>
          <w:sz w:val="24"/>
          <w:szCs w:val="24"/>
        </w:rPr>
        <w:t xml:space="preserve">Stage: Current. Objective: Extend the authorisation model with validity periods, expiration, revocation, and controlled consent-state transitions. Implemented in the current prototype: temporal windows are enforced locally and mirrored on-chain, and revocation is executed as a verifiable Sepolia transaction.</w:t>
      </w:r>
    </w:p>
    <w:p>
      <w:pPr>
        <w:spacing w:after="40" w:before="60"/>
      </w:pPr>
      <w:r>
        <w:rPr>
          <w:rFonts w:ascii="Cambria" w:cs="Cambria" w:eastAsia="Cambria" w:hAnsi="Cambria"/>
          <w:b/>
          <w:bCs/>
          <w:color w:val="C00000"/>
          <w:sz w:val="18"/>
          <w:szCs w:val="18"/>
        </w:rPr>
        <w:t xml:space="preserve">[EDIT 2 — place at: Page 8, Table 1, RO6 row] </w:t>
      </w:r>
    </w:p>
    <w:p>
      <w:pPr>
        <w:spacing w:after="140" w:line="300"/>
        <w:jc w:val="both"/>
      </w:pPr>
      <w:r>
        <w:rPr>
          <w:rFonts w:ascii="Cambria" w:cs="Cambria" w:eastAsia="Cambria" w:hAnsi="Cambria"/>
          <w:color w:val="C00000"/>
          <w:sz w:val="24"/>
          <w:szCs w:val="24"/>
        </w:rPr>
        <w:t xml:space="preserve">Stage: Current (empirical) / Next (formal). Objective: Empirically evaluate the HALAH implementation using representative, negative, and adversarial scenarios (delivered through automated testing and live on-chain evaluation), and subsequently define and formally analyse the security properties of the framework.</w:t>
      </w:r>
    </w:p>
    <w:p>
      <w:pPr>
        <w:pStyle w:val="Heading1"/>
        <w:pageBreakBefore/>
        <w:spacing w:after="160" w:before="400"/>
      </w:pPr>
      <w:r>
        <w:t xml:space="preserve">2  Systematic Literature Review</w:t>
      </w:r>
    </w:p>
    <w:p>
      <w:pPr>
        <w:pStyle w:val="Heading2"/>
        <w:spacing w:after="160" w:before="280"/>
      </w:pPr>
      <w: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decentralised consent management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Heading2"/>
        <w:spacing w:after="160" w:before="280"/>
      </w:pPr>
      <w:r>
        <w:t xml:space="preserve">2.2  Systematic Literature Review Methodology</w:t>
      </w:r>
    </w:p>
    <w:p>
      <w:pPr>
        <w:spacing w:after="140" w:line="300"/>
        <w:jc w:val="both"/>
      </w:pPr>
      <w:r>
        <w:rPr>
          <w:rFonts w:ascii="Cambria" w:cs="Cambria" w:eastAsia="Cambria" w:hAnsi="Cambria"/>
          <w:b/>
          <w:bCs/>
          <w:color w:val="007A00"/>
          <w:sz w:val="24"/>
          <w:szCs w:val="24"/>
        </w:rPr>
        <w:t xml:space="preserve">The review corpus comprises the 33 studies identified through the search and screening process described in the remainder of this section. The included studies span the years 2022 to 2026 and concentrate on blockchain-based data governance, decentralised identity, verifiable credentials, healthcare access control, and consent management.</w:t>
      </w:r>
    </w:p>
    <w:p>
      <w:pPr>
        <w:spacing w:after="140" w:line="300"/>
        <w:jc w:val="both"/>
      </w:pPr>
      <w:r>
        <w:rPr>
          <w:rFonts w:ascii="Cambria" w:cs="Cambria" w:eastAsia="Cambria" w:hAnsi="Cambria"/>
          <w:b/>
          <w:bCs/>
          <w:color w:val="007A00"/>
          <w:sz w:val="24"/>
          <w:szCs w:val="24"/>
        </w:rPr>
        <w:t xml:space="preserve">Within this corpus, references [1, 2, 3, 7, 9, 11, 12, 13, 14, 21, 22, 24, 28, 31, 32] address the healthcare data sharing, consent, and access-control dimensions of the review, while references [4, 5, 10, 15, 16, 20, 23, 25, 27, 33] address the decentralised identifier, verifiable credential, and trust-architecture dimensions; the remaining studies contribute to multi-party governance and security assurance.</w:t>
      </w:r>
    </w:p>
    <w:p>
      <w:pPr>
        <w:pStyle w:val="Heading3"/>
        <w:spacing w:after="160" w:before="280"/>
      </w:pPr>
      <w:r>
        <w:t xml:space="preserve">2.2.1  Review Design and Reporting Framework</w:t>
      </w:r>
    </w:p>
    <w:p>
      <w:pPr>
        <w:spacing w:after="140" w:line="300"/>
        <w:jc w:val="both"/>
      </w:pPr>
      <w:r>
        <w:rPr>
          <w:rFonts w:ascii="Cambria" w:cs="Cambria" w:eastAsia="Cambria" w:hAnsi="Cambria"/>
          <w:sz w:val="24"/>
          <w:szCs w:val="24"/>
        </w:rPr>
        <w:t xml:space="preserve">A systematic literature review (SLR) was conducted to identify, classify, and critically evaluate existing research on multi-party healthcare data sharing, patient consent management, decentralized identity, privacy-preserving access control, and auditability. The review was designed to establish the conceptual and technical foundations of the research and thus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authorization enforcement, privacy preservation, and auditable data access.</w:t>
      </w:r>
    </w:p>
    <w:p>
      <w:pPr>
        <w:spacing w:after="140" w:line="300"/>
        <w:jc w:val="both"/>
      </w:pPr>
      <w:r>
        <w:rPr>
          <w:rFonts w:ascii="Cambria" w:cs="Cambria" w:eastAsia="Cambria" w:hAnsi="Cambria"/>
          <w:sz w:val="24"/>
          <w:szCs w:val="24"/>
        </w:rP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p>
      <w:pPr>
        <w:pStyle w:val="Heading3"/>
        <w:spacing w:after="160" w:before="280"/>
      </w:pPr>
      <w:r>
        <w:t xml:space="preserve">2.2.2  Questions for Review</w:t>
      </w:r>
    </w:p>
    <w:p>
      <w:pPr>
        <w:spacing w:after="140" w:line="300"/>
        <w:jc w:val="both"/>
      </w:pPr>
      <w:r>
        <w:rPr>
          <w:rFonts w:ascii="Cambria" w:cs="Cambria" w:eastAsia="Cambria" w:hAnsi="Cambria"/>
          <w:sz w:val="24"/>
          <w:szCs w:val="24"/>
        </w:rPr>
        <w:t xml:space="preserve">This systematic literature review (SLR) is guided by the following questions</w:t>
      </w:r>
    </w:p>
    <w:p>
      <w:pPr>
        <w:spacing w:after="140" w:line="300"/>
        <w:jc w:val="both"/>
      </w:pPr>
      <w:r>
        <w:rPr>
          <w:rFonts w:ascii="Cambria" w:cs="Cambria" w:eastAsia="Cambria" w:hAnsi="Cambria"/>
          <w:sz w:val="24"/>
          <w:szCs w:val="24"/>
        </w:rPr>
        <w:t xml:space="preserve">1. What multi-party trust approaches have been proposed for healthcare data sharing and patient consent management?</w:t>
      </w:r>
    </w:p>
    <w:p>
      <w:pPr>
        <w:spacing w:after="140" w:line="300"/>
        <w:jc w:val="both"/>
      </w:pPr>
      <w:r>
        <w:rPr>
          <w:rFonts w:ascii="Cambria" w:cs="Cambria" w:eastAsia="Cambria" w:hAnsi="Cambria"/>
          <w:sz w:val="24"/>
          <w:szCs w:val="24"/>
        </w:rPr>
        <w:t xml:space="preserve">2. How do existing approaches represent, verify, and enforce patient consent and data access permissions?</w:t>
      </w:r>
    </w:p>
    <w:p>
      <w:pPr>
        <w:spacing w:after="140" w:line="300"/>
        <w:jc w:val="both"/>
      </w:pPr>
      <w:r>
        <w:rPr>
          <w:rFonts w:ascii="Cambria" w:cs="Cambria" w:eastAsia="Cambria" w:hAnsi="Cambria"/>
          <w:sz w:val="24"/>
          <w:szCs w:val="24"/>
        </w:rPr>
        <w:t xml:space="preserve">3. What mechanisms are used to support decentralized identity, verifiable credentials, and authentication in healthcare data ecosystems?</w:t>
      </w:r>
    </w:p>
    <w:p>
      <w:pPr>
        <w:spacing w:after="140" w:line="300"/>
        <w:jc w:val="both"/>
      </w:pPr>
      <w:r>
        <w:rPr>
          <w:rFonts w:ascii="Cambria" w:cs="Cambria" w:eastAsia="Cambria" w:hAnsi="Cambria"/>
          <w:sz w:val="24"/>
          <w:szCs w:val="24"/>
        </w:rPr>
        <w:t xml:space="preserve">4. How do existing systems address privacy preservation, selective disclosure, interoperability, and auditability?</w:t>
      </w:r>
    </w:p>
    <w:p>
      <w:pPr>
        <w:spacing w:after="140" w:line="300"/>
        <w:jc w:val="both"/>
      </w:pPr>
      <w:r>
        <w:rPr>
          <w:rFonts w:ascii="Cambria" w:cs="Cambria" w:eastAsia="Cambria" w:hAnsi="Cambria"/>
          <w:sz w:val="24"/>
          <w:szCs w:val="24"/>
        </w:rPr>
        <w:t xml:space="preserve">5. What limitations remain regarding the integration of consent management, identity verification, access control, and auditable healthcare data sharing?</w:t>
      </w:r>
    </w:p>
    <w:p>
      <w:pPr>
        <w:spacing w:after="140" w:line="300"/>
        <w:jc w:val="both"/>
      </w:pPr>
      <w:r>
        <w:rPr>
          <w:rFonts w:ascii="Cambria" w:cs="Cambria" w:eastAsia="Cambria" w:hAnsi="Cambria"/>
          <w:sz w:val="24"/>
          <w:szCs w:val="24"/>
        </w:rP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p>
      <w:pPr>
        <w:pStyle w:val="Heading3"/>
        <w:spacing w:after="160" w:before="280"/>
      </w:pPr>
      <w:r>
        <w:t xml:space="preserve">2.2.3  Search Databases and Search Strategy</w:t>
      </w:r>
    </w:p>
    <w:p>
      <w:pPr>
        <w:spacing w:after="140" w:line="300"/>
        <w:jc w:val="both"/>
      </w:pPr>
      <w:r>
        <w:rPr>
          <w:rFonts w:ascii="Cambria" w:cs="Cambria" w:eastAsia="Cambria" w:hAnsi="Cambria"/>
          <w:sz w:val="24"/>
          <w:szCs w:val="24"/>
        </w:rPr>
        <w:t xml:space="preserve">The literature search was conducted using the following academic databases including 1) IEEE Xplore, 2) ACM Digital Library, 3) ScienceDirect, 4) SpringerLink, 5) PubMed, 6) Scopus; and 7) Web of Science.</w:t>
      </w:r>
    </w:p>
    <w:p>
      <w:pPr>
        <w:spacing w:after="140" w:line="300"/>
        <w:jc w:val="both"/>
      </w:pPr>
      <w:r>
        <w:rPr>
          <w:rFonts w:ascii="Cambria" w:cs="Cambria" w:eastAsia="Cambria" w:hAnsi="Cambria"/>
          <w:sz w:val="24"/>
          <w:szCs w:val="24"/>
        </w:rP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decentralized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spacing w:after="140" w:line="300"/>
        <w:jc w:val="both"/>
      </w:pPr>
      <w:r>
        <w:rPr>
          <w:rFonts w:ascii="Cambria" w:cs="Cambria" w:eastAsia="Cambria" w:hAnsi="Cambria"/>
          <w:sz w:val="24"/>
          <w:szCs w:val="24"/>
        </w:rP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decentralized identity, access control, privacy, and auditability. The general search string was defined as shown in Figure 1.</w:t>
      </w:r>
    </w:p>
    <w:p>
      <w:pPr>
        <w:spacing w:after="140" w:line="300"/>
        <w:jc w:val="both"/>
      </w:pPr>
      <w:r>
        <w:rPr>
          <w:rFonts w:ascii="Cambria" w:cs="Cambria" w:eastAsia="Cambria" w:hAnsi="Cambria"/>
          <w:b/>
          <w:bCs/>
          <w:color w:val="007A00"/>
          <w:sz w:val="24"/>
          <w:szCs w:val="24"/>
        </w:rPr>
        <w:t xml:space="preserve">The supporting-requirements block of the search string additionally captured trusted-execution terminology (trusted computing, trusted execution environment, attestation), which yielded the secure-execution studies reviewed in Section 2.3.6.</w:t>
      </w:r>
    </w:p>
    <w:p>
      <w:pPr>
        <w:keepNext/>
        <w:spacing w:after="60" w:before="140"/>
        <w:jc w:val="center"/>
      </w:pPr>
      <w:r>
        <w:drawing>
          <wp:inline distT="0" distB="0" distL="0" distR="0">
            <wp:extent cx="5715000" cy="3638550"/>
            <wp:effectExtent t="0" r="0" b="0" l="0"/>
            <wp:docPr id="1" name="gfig1.png" descr="Figure 1: SLR Search String Definition" title="Figure 1: SLR Search String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638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w:t>
      </w:r>
    </w:p>
    <w:p>
      <w:pPr>
        <w:pStyle w:val="Heading3"/>
        <w:spacing w:after="160" w:before="280"/>
      </w:pPr>
      <w:r>
        <w:t xml:space="preserve">2.2.4  Search Period and Search Execution</w:t>
      </w:r>
    </w:p>
    <w:p>
      <w:pPr>
        <w:spacing w:after="140" w:line="300"/>
        <w:jc w:val="both"/>
      </w:pPr>
      <w:r>
        <w:rPr>
          <w:rFonts w:ascii="Cambria" w:cs="Cambria" w:eastAsia="Cambria" w:hAnsi="Cambria"/>
          <w:sz w:val="24"/>
          <w:szCs w:val="24"/>
        </w:rPr>
        <w:t xml:space="preserve">The search was restricted to studies published between 2022 and 2026. The search was performed on August 2026. The search period was selected to capture the rapid development of multi-party trust healthcare data management, decentralized identity, and consent-aware access control while maintaining a sufficiently contemporary evidence base. Earlier foundational studies were retained when they provided critical contributions to the technical or conceptual development of the reviewed approaches.</w:t>
      </w:r>
    </w:p>
    <w:p>
      <w:pPr>
        <w:spacing w:after="140" w:line="300"/>
        <w:jc w:val="both"/>
      </w:pPr>
      <w:r>
        <w:rPr>
          <w:rFonts w:ascii="Cambria" w:cs="Cambria" w:eastAsia="Cambria" w:hAnsi="Cambria"/>
          <w:sz w:val="24"/>
          <w:szCs w:val="24"/>
        </w:rP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Heading3"/>
        <w:spacing w:after="160" w:before="280"/>
      </w:pPr>
      <w:r>
        <w:t xml:space="preserve">2.2.5  Eligibility Criteria</w:t>
      </w:r>
    </w:p>
    <w:p>
      <w:pPr>
        <w:spacing w:after="140" w:line="300"/>
        <w:jc w:val="both"/>
      </w:pPr>
      <w:r>
        <w:rPr>
          <w:rFonts w:ascii="Cambria" w:cs="Cambria" w:eastAsia="Cambria" w:hAnsi="Cambria"/>
          <w:sz w:val="24"/>
          <w:szCs w:val="24"/>
        </w:rPr>
        <w:t xml:space="preserve">The eligibility criteria were defined before the screening process to ensure consistency in the selection of studies. The criteria were designed to identify research that was directly relevant to the objectives of the SLR.</w:t>
      </w:r>
    </w:p>
    <w:p>
      <w:pPr>
        <w:spacing w:after="140" w:line="300"/>
        <w:jc w:val="both"/>
      </w:pPr>
      <w:r>
        <w:rPr>
          <w:rFonts w:ascii="Cambria" w:cs="Cambria" w:eastAsia="Cambria" w:hAnsi="Cambria"/>
          <w:sz w:val="24"/>
          <w:szCs w:val="24"/>
        </w:rPr>
        <w:t xml:space="preserve">A study was included if it satisfied the following criteria</w:t>
      </w:r>
    </w:p>
    <w:p>
      <w:pPr>
        <w:spacing w:after="140" w:line="300"/>
        <w:jc w:val="both"/>
      </w:pPr>
      <w:r>
        <w:rPr>
          <w:rFonts w:ascii="Cambria" w:cs="Cambria" w:eastAsia="Cambria" w:hAnsi="Cambria"/>
          <w:sz w:val="24"/>
          <w:szCs w:val="24"/>
        </w:rPr>
        <w:t xml:space="preserve">1. The study was published as a peer-reviewed journal article, conference paper, or systematic review relevant to the research questions.</w:t>
      </w:r>
    </w:p>
    <w:p>
      <w:pPr>
        <w:spacing w:after="140" w:line="300"/>
        <w:jc w:val="both"/>
      </w:pPr>
      <w:r>
        <w:rPr>
          <w:rFonts w:ascii="Cambria" w:cs="Cambria" w:eastAsia="Cambria" w:hAnsi="Cambria"/>
          <w:sz w:val="24"/>
          <w:szCs w:val="24"/>
        </w:rPr>
        <w:t xml:space="preserve">2. The study addressed healthcare data sharing, electronic health records, patient consent, healthcare access control, decentralized identity, privacy preservation, or a closely related topic.</w:t>
      </w:r>
    </w:p>
    <w:p>
      <w:pPr>
        <w:spacing w:after="140" w:line="300"/>
        <w:jc w:val="both"/>
      </w:pPr>
      <w:r>
        <w:rPr>
          <w:rFonts w:ascii="Cambria" w:cs="Cambria" w:eastAsia="Cambria" w:hAnsi="Cambria"/>
          <w:sz w:val="24"/>
          <w:szCs w:val="24"/>
        </w:rPr>
        <w:t xml:space="preserve">3. The study proposed, implemented, evaluated, or critically reviewed a technical, architectural, conceptual, or governance-oriented approach relevant to the research questions.</w:t>
      </w:r>
    </w:p>
    <w:p>
      <w:pPr>
        <w:spacing w:after="140" w:line="300"/>
        <w:jc w:val="both"/>
      </w:pPr>
      <w:r>
        <w:rPr>
          <w:rFonts w:ascii="Cambria" w:cs="Cambria" w:eastAsia="Cambria" w:hAnsi="Cambria"/>
          <w:sz w:val="24"/>
          <w:szCs w:val="24"/>
        </w:rPr>
        <w:t xml:space="preserve">4. The study provided sufficient methodological or conceptual information to support the extraction of relevant findings.</w:t>
      </w:r>
    </w:p>
    <w:p>
      <w:pPr>
        <w:spacing w:after="140" w:line="300"/>
        <w:jc w:val="both"/>
      </w:pPr>
      <w:r>
        <w:rPr>
          <w:rFonts w:ascii="Cambria" w:cs="Cambria" w:eastAsia="Cambria" w:hAnsi="Cambria"/>
          <w:sz w:val="24"/>
          <w:szCs w:val="24"/>
        </w:rPr>
        <w:t xml:space="preserve">5. The full text was available for inspection.</w:t>
      </w:r>
    </w:p>
    <w:p>
      <w:pPr>
        <w:spacing w:after="140" w:line="300"/>
        <w:jc w:val="both"/>
      </w:pPr>
      <w:r>
        <w:rPr>
          <w:rFonts w:ascii="Cambria" w:cs="Cambria" w:eastAsia="Cambria" w:hAnsi="Cambria"/>
          <w:sz w:val="24"/>
          <w:szCs w:val="24"/>
        </w:rPr>
        <w:t xml:space="preserve">6. The publication language was English.</w:t>
      </w:r>
    </w:p>
    <w:p>
      <w:pPr>
        <w:spacing w:after="140" w:line="300"/>
        <w:jc w:val="both"/>
      </w:pPr>
      <w:r>
        <w:rPr>
          <w:rFonts w:ascii="Cambria" w:cs="Cambria" w:eastAsia="Cambria" w:hAnsi="Cambria"/>
          <w:sz w:val="24"/>
          <w:szCs w:val="24"/>
        </w:rPr>
        <w:t xml:space="preserve">Studies were excluded if they satisfied one or more of the following conditions</w:t>
      </w:r>
    </w:p>
    <w:p>
      <w:pPr>
        <w:spacing w:after="140" w:line="300"/>
        <w:jc w:val="both"/>
      </w:pPr>
      <w:r>
        <w:rPr>
          <w:rFonts w:ascii="Cambria" w:cs="Cambria" w:eastAsia="Cambria" w:hAnsi="Cambria"/>
          <w:sz w:val="24"/>
          <w:szCs w:val="24"/>
        </w:rPr>
        <w:t xml:space="preserve">1. The study was unrelated to healthcare data sharing, patient consent, identity management, access control, privacy, or auditability.</w:t>
      </w:r>
    </w:p>
    <w:p>
      <w:pPr>
        <w:spacing w:after="140" w:line="300"/>
        <w:jc w:val="both"/>
      </w:pPr>
      <w:r>
        <w:rPr>
          <w:rFonts w:ascii="Cambria" w:cs="Cambria" w:eastAsia="Cambria" w:hAnsi="Cambria"/>
          <w:sz w:val="24"/>
          <w:szCs w:val="24"/>
        </w:rPr>
        <w:t xml:space="preserve">2. The study was a duplicate of another retrieved record.</w:t>
      </w:r>
    </w:p>
    <w:p>
      <w:pPr>
        <w:spacing w:after="140" w:line="300"/>
        <w:jc w:val="both"/>
      </w:pPr>
      <w:r>
        <w:rPr>
          <w:rFonts w:ascii="Cambria" w:cs="Cambria" w:eastAsia="Cambria" w:hAnsi="Cambria"/>
          <w:sz w:val="24"/>
          <w:szCs w:val="24"/>
        </w:rPr>
        <w:t xml:space="preserve">3. The study was a short abstract, editorial, opinion article, thesis, book chapter, or non-peer-reviewed publication without sufficient methodological detail, unless it provided a necessary foundational contribution.</w:t>
      </w:r>
    </w:p>
    <w:p>
      <w:pPr>
        <w:spacing w:after="140" w:line="300"/>
        <w:jc w:val="both"/>
      </w:pPr>
      <w:r>
        <w:rPr>
          <w:rFonts w:ascii="Cambria" w:cs="Cambria" w:eastAsia="Cambria" w:hAnsi="Cambria"/>
          <w:sz w:val="24"/>
          <w:szCs w:val="24"/>
        </w:rPr>
        <w:t xml:space="preserve">4. The study did not provide sufficient information to evaluate its contribution to the research questions.</w:t>
      </w:r>
    </w:p>
    <w:p>
      <w:pPr>
        <w:spacing w:after="140" w:line="300"/>
        <w:jc w:val="both"/>
      </w:pPr>
      <w:r>
        <w:rPr>
          <w:rFonts w:ascii="Cambria" w:cs="Cambria" w:eastAsia="Cambria" w:hAnsi="Cambria"/>
          <w:sz w:val="24"/>
          <w:szCs w:val="24"/>
        </w:rPr>
        <w:t xml:space="preserve">5. The full text was unavailable.</w:t>
      </w:r>
    </w:p>
    <w:p>
      <w:pPr>
        <w:spacing w:after="140" w:line="300"/>
        <w:jc w:val="both"/>
      </w:pPr>
      <w:r>
        <w:rPr>
          <w:rFonts w:ascii="Cambria" w:cs="Cambria" w:eastAsia="Cambria" w:hAnsi="Cambria"/>
          <w:sz w:val="24"/>
          <w:szCs w:val="24"/>
        </w:rPr>
        <w:t xml:space="preserve">6. The study focused exclusively on a technical problem that was outside the scope of healthcare data management and did not provide transferable insights relevant to the review.</w:t>
      </w:r>
    </w:p>
    <w:p>
      <w:pPr>
        <w:spacing w:after="140" w:line="300"/>
        <w:jc w:val="both"/>
      </w:pPr>
      <w:r>
        <w:rPr>
          <w:rFonts w:ascii="Cambria" w:cs="Cambria" w:eastAsia="Cambria" w:hAnsi="Cambria"/>
          <w:sz w:val="24"/>
          <w:szCs w:val="24"/>
        </w:rP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pStyle w:val="Heading3"/>
        <w:spacing w:after="160" w:before="280"/>
      </w:pPr>
      <w:r>
        <w:t xml:space="preserve">2.2.6  Screening and Study Selection</w:t>
      </w:r>
    </w:p>
    <w:p>
      <w:pPr>
        <w:spacing w:after="140" w:line="300"/>
        <w:jc w:val="both"/>
      </w:pPr>
      <w:r>
        <w:rPr>
          <w:rFonts w:ascii="Cambria" w:cs="Cambria" w:eastAsia="Cambria" w:hAnsi="Cambria"/>
          <w:sz w:val="24"/>
          <w:szCs w:val="24"/>
        </w:rPr>
        <w:t xml:space="preserve">The screening process consisted of three sequential stages: title and abstract screening, full-text eligibility assessment, and final inclusion.</w:t>
      </w:r>
    </w:p>
    <w:p>
      <w:pPr>
        <w:spacing w:after="140" w:line="300"/>
        <w:jc w:val="both"/>
      </w:pPr>
      <w:r>
        <w:rPr>
          <w:rFonts w:ascii="Cambria" w:cs="Cambria" w:eastAsia="Cambria" w:hAnsi="Cambria"/>
          <w:sz w:val="24"/>
          <w:szCs w:val="24"/>
        </w:rP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authorization, privacy, and healthcare data sharing.</w:t>
      </w:r>
    </w:p>
    <w:p>
      <w:pPr>
        <w:spacing w:after="140" w:line="300"/>
        <w:jc w:val="both"/>
      </w:pPr>
      <w:r>
        <w:rPr>
          <w:rFonts w:ascii="Cambria" w:cs="Cambria" w:eastAsia="Cambria" w:hAnsi="Cambria"/>
          <w:sz w:val="24"/>
          <w:szCs w:val="24"/>
        </w:rP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keepNext/>
        <w:spacing w:after="60" w:before="140"/>
        <w:jc w:val="center"/>
      </w:pPr>
      <w:r>
        <w:drawing>
          <wp:inline distT="0" distB="0" distL="0" distR="0">
            <wp:extent cx="5715000" cy="3981450"/>
            <wp:effectExtent t="0" r="0" b="0" l="0"/>
            <wp:docPr id="1" name="gfig2.png" descr="Figure 2: PRISMA Study Selection Summary" title="Figure 2: PRISMA Study Selec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81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Study Selection Summary</w:t>
      </w:r>
    </w:p>
    <w:p>
      <w:pPr>
        <w:spacing w:after="140" w:line="300"/>
        <w:jc w:val="both"/>
      </w:pPr>
      <w:r>
        <w:rPr>
          <w:rFonts w:ascii="Cambria" w:cs="Cambria" w:eastAsia="Cambria" w:hAnsi="Cambria"/>
          <w:sz w:val="24"/>
          <w:szCs w:val="24"/>
        </w:rPr>
        <w:t xml:space="preserve">Figure 2 presents the PRISMA flow diagram for this review which summarizes the identification, screening, eligibility, and inclusion stages of the SLR. The final number of included studies was derived after completing the screening and eligibility assessment across the identified literature base.</w:t>
      </w:r>
    </w:p>
    <w:p>
      <w:pPr>
        <w:spacing w:after="140" w:line="300"/>
        <w:jc w:val="both"/>
      </w:pPr>
      <w:r>
        <w:rPr>
          <w:rFonts w:ascii="Cambria" w:cs="Cambria" w:eastAsia="Cambria" w:hAnsi="Cambria"/>
          <w:b/>
          <w:bCs/>
          <w:color w:val="007A00"/>
          <w:sz w:val="24"/>
          <w:szCs w:val="24"/>
        </w:rPr>
        <w:t xml:space="preserve">Seven of the removed records were flagged as ineligible by the automated screening facilities of the reference-management tool (non-English sources and non-peer-reviewed material) and were excluded before the manual title and abstract screening.</w:t>
      </w:r>
    </w:p>
    <w:p>
      <w:pPr>
        <w:pStyle w:val="Heading3"/>
        <w:spacing w:after="160" w:before="280"/>
      </w:pPr>
      <w:r>
        <w:t xml:space="preserve">2.2.7  Data Extraction and Synthesis</w:t>
      </w:r>
    </w:p>
    <w:p>
      <w:pPr>
        <w:spacing w:after="140" w:line="300"/>
        <w:jc w:val="both"/>
      </w:pPr>
      <w:r>
        <w:rPr>
          <w:rFonts w:ascii="Cambria" w:cs="Cambria" w:eastAsia="Cambria" w:hAnsi="Cambria"/>
          <w:sz w:val="24"/>
          <w:szCs w:val="24"/>
        </w:rP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spacing w:after="140" w:line="300"/>
        <w:jc w:val="both"/>
      </w:pPr>
      <w:r>
        <w:rPr>
          <w:rFonts w:ascii="Cambria" w:cs="Cambria" w:eastAsia="Cambria" w:hAnsi="Cambria"/>
          <w:sz w:val="24"/>
          <w:szCs w:val="24"/>
        </w:rPr>
        <w:t xml:space="preserve">The extracted data were organized into thematic categories corresponding to the research questions. These categories included consent specification and management, decentralized identity and credential verification, authorization and access control, privacy preservation, interoperability, auditability, and system evaluation.</w:t>
      </w:r>
    </w:p>
    <w:p>
      <w:pPr>
        <w:spacing w:after="140" w:line="300"/>
        <w:jc w:val="both"/>
      </w:pPr>
      <w:r>
        <w:rPr>
          <w:rFonts w:ascii="Cambria" w:cs="Cambria" w:eastAsia="Cambria" w:hAnsi="Cambria"/>
          <w:sz w:val="24"/>
          <w:szCs w:val="24"/>
        </w:rP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authorization, auditable access records, and mechanisms for preserving patient autonomy.</w:t>
      </w:r>
    </w:p>
    <w:p>
      <w:pPr>
        <w:spacing w:after="140" w:line="300"/>
        <w:jc w:val="both"/>
      </w:pPr>
      <w:r>
        <w:rPr>
          <w:rFonts w:ascii="Cambria" w:cs="Cambria" w:eastAsia="Cambria" w:hAnsi="Cambria"/>
          <w:sz w:val="24"/>
          <w:szCs w:val="24"/>
        </w:rP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pStyle w:val="Heading2"/>
        <w:spacing w:after="160" w:before="280"/>
      </w:pPr>
      <w:r>
        <w:t xml:space="preserve">2.3  Review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blockchain-based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Blockchain research has investigated immutable data governance, distributed auditability, and decentralised trust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Heading3"/>
        <w:spacing w:after="160" w:before="280"/>
      </w:pPr>
      <w:r>
        <w:t xml:space="preserve">2.3.1  Healthcare Consent and Decentralised Data Governance</w:t>
      </w:r>
    </w:p>
    <w:p>
      <w:pPr>
        <w:spacing w:after="140" w:line="300"/>
        <w:jc w:val="both"/>
      </w:pPr>
      <w:r>
        <w:rPr>
          <w:rFonts w:ascii="Cambria" w:cs="Cambria" w:eastAsia="Cambria" w:hAnsi="Cambria"/>
          <w:sz w:val="24"/>
          <w:szCs w:val="24"/>
        </w:rP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spacing w:after="140" w:line="300"/>
        <w:jc w:val="both"/>
      </w:pPr>
      <w:r>
        <w:rPr>
          <w:rFonts w:ascii="Cambria" w:cs="Cambria" w:eastAsia="Cambria" w:hAnsi="Cambria"/>
          <w:sz w:val="24"/>
          <w:szCs w:val="24"/>
        </w:rP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spacing w:after="140" w:line="300"/>
        <w:jc w:val="both"/>
      </w:pPr>
      <w:r>
        <w:rPr>
          <w:rFonts w:ascii="Cambria" w:cs="Cambria" w:eastAsia="Cambria" w:hAnsi="Cambria"/>
          <w:sz w:val="24"/>
          <w:szCs w:val="24"/>
        </w:rP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spacing w:after="140" w:line="300"/>
        <w:jc w:val="both"/>
      </w:pPr>
      <w:r>
        <w:rPr>
          <w:rFonts w:ascii="Cambria" w:cs="Cambria" w:eastAsia="Cambria" w:hAnsi="Cambria"/>
          <w:sz w:val="24"/>
          <w:szCs w:val="24"/>
        </w:rP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spacing w:after="140" w:line="300"/>
        <w:jc w:val="both"/>
      </w:pPr>
      <w:r>
        <w:rPr>
          <w:rFonts w:ascii="Cambria" w:cs="Cambria" w:eastAsia="Cambria" w:hAnsi="Cambria"/>
          <w:sz w:val="24"/>
          <w:szCs w:val="24"/>
        </w:rP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pStyle w:val="Heading3"/>
        <w:spacing w:after="160" w:before="280"/>
      </w:pPr>
      <w:r>
        <w:t xml:space="preserve">2.3.2  Blockchain-Based Consent and Data Governance</w:t>
      </w:r>
    </w:p>
    <w:p>
      <w:pPr>
        <w:spacing w:after="140" w:line="300"/>
        <w:jc w:val="both"/>
      </w:pPr>
      <w:r>
        <w:rPr>
          <w:rFonts w:ascii="Cambria" w:cs="Cambria" w:eastAsia="Cambria" w:hAnsi="Cambria"/>
          <w:sz w:val="24"/>
          <w:szCs w:val="24"/>
        </w:rP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spacing w:after="140" w:line="300"/>
        <w:jc w:val="both"/>
      </w:pPr>
      <w:r>
        <w:rPr>
          <w:rFonts w:ascii="Cambria" w:cs="Cambria" w:eastAsia="Cambria" w:hAnsi="Cambria"/>
          <w:sz w:val="24"/>
          <w:szCs w:val="24"/>
        </w:rP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spacing w:after="140" w:line="300"/>
        <w:jc w:val="both"/>
      </w:pPr>
      <w:r>
        <w:rPr>
          <w:rFonts w:ascii="Cambria" w:cs="Cambria" w:eastAsia="Cambria" w:hAnsi="Cambria"/>
          <w:sz w:val="24"/>
          <w:szCs w:val="24"/>
        </w:rP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spacing w:after="140" w:line="300"/>
        <w:jc w:val="both"/>
      </w:pPr>
      <w:r>
        <w:rPr>
          <w:rFonts w:ascii="Cambria" w:cs="Cambria" w:eastAsia="Cambria" w:hAnsi="Cambria"/>
          <w:sz w:val="24"/>
          <w:szCs w:val="24"/>
        </w:rP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spacing w:after="140" w:line="300"/>
        <w:jc w:val="both"/>
      </w:pPr>
      <w:r>
        <w:rPr>
          <w:rFonts w:ascii="Cambria" w:cs="Cambria" w:eastAsia="Cambria" w:hAnsi="Cambria"/>
          <w:sz w:val="24"/>
          <w:szCs w:val="24"/>
        </w:rP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spacing w:after="140" w:line="300"/>
        <w:jc w:val="both"/>
      </w:pPr>
      <w:r>
        <w:rPr>
          <w:rFonts w:ascii="Cambria" w:cs="Cambria" w:eastAsia="Cambria" w:hAnsi="Cambria"/>
          <w:sz w:val="24"/>
          <w:szCs w:val="24"/>
        </w:rP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Heading3"/>
        <w:spacing w:after="160" w:before="280"/>
      </w:pPr>
      <w:r>
        <w:t xml:space="preserve">2.3.3  Decentralised Identity and Verifiable Credentials</w:t>
      </w:r>
    </w:p>
    <w:p>
      <w:pPr>
        <w:spacing w:after="140" w:line="300"/>
        <w:jc w:val="both"/>
      </w:pPr>
      <w:r>
        <w:rPr>
          <w:rFonts w:ascii="Cambria" w:cs="Cambria" w:eastAsia="Cambria" w:hAnsi="Cambria"/>
          <w:sz w:val="24"/>
          <w:szCs w:val="24"/>
        </w:rP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spacing w:after="140" w:line="300"/>
        <w:jc w:val="both"/>
      </w:pPr>
      <w:r>
        <w:rPr>
          <w:rFonts w:ascii="Cambria" w:cs="Cambria" w:eastAsia="Cambria" w:hAnsi="Cambria"/>
          <w:sz w:val="24"/>
          <w:szCs w:val="24"/>
        </w:rP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spacing w:after="140" w:line="300"/>
        <w:jc w:val="both"/>
      </w:pPr>
      <w:r>
        <w:rPr>
          <w:rFonts w:ascii="Cambria" w:cs="Cambria" w:eastAsia="Cambria" w:hAnsi="Cambria"/>
          <w:sz w:val="24"/>
          <w:szCs w:val="24"/>
        </w:rP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spacing w:after="140" w:line="300"/>
        <w:jc w:val="both"/>
      </w:pPr>
      <w:r>
        <w:rPr>
          <w:rFonts w:ascii="Cambria" w:cs="Cambria" w:eastAsia="Cambria" w:hAnsi="Cambria"/>
          <w:sz w:val="24"/>
          <w:szCs w:val="24"/>
        </w:rP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spacing w:after="140" w:line="300"/>
        <w:jc w:val="both"/>
      </w:pPr>
      <w:r>
        <w:rPr>
          <w:rFonts w:ascii="Cambria" w:cs="Cambria" w:eastAsia="Cambria" w:hAnsi="Cambria"/>
          <w:sz w:val="24"/>
          <w:szCs w:val="24"/>
        </w:rPr>
        <w:t xml:space="preserve">The proposed research therefore extends the role of DID and VC technologies from identity representation and credential verification towards their use as trusted inputs to a broader authorisation process. Under this approach,</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spacing w:after="140" w:line="300"/>
        <w:jc w:val="both"/>
      </w:pPr>
      <w:r>
        <w:rPr>
          <w:rFonts w:ascii="Cambria" w:cs="Cambria" w:eastAsia="Cambria" w:hAnsi="Cambria"/>
          <w:sz w:val="24"/>
          <w:szCs w:val="24"/>
        </w:rP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spacing w:after="140" w:line="300"/>
        <w:jc w:val="both"/>
      </w:pPr>
      <w:r>
        <w:rPr>
          <w:rFonts w:ascii="Cambria" w:cs="Cambria" w:eastAsia="Cambria" w:hAnsi="Cambria"/>
          <w:b/>
          <w:bCs/>
          <w:color w:val="007A00"/>
          <w:sz w:val="24"/>
          <w:szCs w:val="24"/>
        </w:rPr>
        <w:t xml:space="preserve">Recent reviews of blockchain-based identity management further consolidate this stream, surveying identity management, access control and trust mechanisms for connected environments and confirming the maturity of DID- and VC-based designs [15].</w:t>
      </w:r>
    </w:p>
    <w:p>
      <w:pPr>
        <w:pStyle w:val="Heading3"/>
        <w:spacing w:after="160" w:before="280"/>
      </w:pPr>
      <w:r>
        <w:t xml:space="preserve">2.3.4  Multi-Party Authorisation and Collaborative Consent</w:t>
      </w:r>
    </w:p>
    <w:p>
      <w:pPr>
        <w:spacing w:after="140" w:line="300"/>
        <w:jc w:val="both"/>
      </w:pPr>
      <w:r>
        <w:rPr>
          <w:rFonts w:ascii="Cambria" w:cs="Cambria" w:eastAsia="Cambria" w:hAnsi="Cambria"/>
          <w:sz w:val="24"/>
          <w:szCs w:val="24"/>
        </w:rP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p>
    <w:p>
      <w:pPr>
        <w:spacing w:after="140" w:line="300"/>
        <w:jc w:val="both"/>
      </w:pPr>
      <w:r>
        <w:rPr>
          <w:rFonts w:ascii="Cambria" w:cs="Cambria" w:eastAsia="Cambria" w:hAnsi="Cambria"/>
          <w:sz w:val="24"/>
          <w:szCs w:val="24"/>
        </w:rP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spacing w:after="140" w:line="300"/>
        <w:jc w:val="both"/>
      </w:pPr>
      <w:r>
        <w:rPr>
          <w:rFonts w:ascii="Cambria" w:cs="Cambria" w:eastAsia="Cambria" w:hAnsi="Cambria"/>
          <w:sz w:val="24"/>
          <w:szCs w:val="24"/>
        </w:rP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40" w:line="300"/>
        <w:jc w:val="both"/>
      </w:pPr>
      <w:r>
        <w:rPr>
          <w:rFonts w:ascii="Cambria" w:cs="Cambria" w:eastAsia="Cambria" w:hAnsi="Cambria"/>
          <w:sz w:val="24"/>
          <w:szCs w:val="24"/>
        </w:rP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spacing w:after="140" w:line="300"/>
        <w:jc w:val="both"/>
      </w:pPr>
      <w:r>
        <w:rPr>
          <w:rFonts w:ascii="Cambria" w:cs="Cambria" w:eastAsia="Cambria" w:hAnsi="Cambria"/>
          <w:b/>
          <w:bCs/>
          <w:color w:val="007A00"/>
          <w:sz w:val="24"/>
          <w:szCs w:val="24"/>
        </w:rPr>
        <w:t xml:space="preserve">Beyond healthcare, decentralised trust mechanisms have also been applied to empower independent stakeholders in cross-organisational data sharing, demonstrating that multi-party governance generalises across application domains [6].</w:t>
      </w:r>
    </w:p>
    <w:p>
      <w:pPr>
        <w:pStyle w:val="Heading3"/>
        <w:spacing w:after="160" w:before="280"/>
      </w:pPr>
      <w:r>
        <w:t xml:space="preserve">2.3.5  Policy-Based and Context-Aware Access Control</w:t>
      </w:r>
    </w:p>
    <w:p>
      <w:pPr>
        <w:spacing w:after="140" w:line="300"/>
        <w:jc w:val="both"/>
      </w:pPr>
      <w:r>
        <w:rPr>
          <w:rFonts w:ascii="Cambria" w:cs="Cambria" w:eastAsia="Cambria" w:hAnsi="Cambria"/>
          <w:sz w:val="24"/>
          <w:szCs w:val="24"/>
        </w:rP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spacing w:after="140" w:line="300"/>
        <w:jc w:val="both"/>
      </w:pPr>
      <w:r>
        <w:rPr>
          <w:rFonts w:ascii="Cambria" w:cs="Cambria" w:eastAsia="Cambria" w:hAnsi="Cambria"/>
          <w:sz w:val="24"/>
          <w:szCs w:val="24"/>
        </w:rP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spacing w:after="140" w:line="300"/>
        <w:jc w:val="both"/>
      </w:pPr>
      <w:r>
        <w:rPr>
          <w:rFonts w:ascii="Cambria" w:cs="Cambria" w:eastAsia="Cambria" w:hAnsi="Cambria"/>
          <w:sz w:val="24"/>
          <w:szCs w:val="24"/>
        </w:rP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spacing w:after="140" w:line="300"/>
        <w:jc w:val="both"/>
      </w:pPr>
      <w:r>
        <w:rPr>
          <w:rFonts w:ascii="Cambria" w:cs="Cambria" w:eastAsia="Cambria" w:hAnsi="Cambria"/>
          <w:sz w:val="24"/>
          <w:szCs w:val="24"/>
        </w:rPr>
        <w:t xml:space="preserve">The proposed framework consequently treats policy compliance as an explicit authorisation condition. Let C represent the consent object and R represent a requested operation. Policy validity can be represented conceptually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For example, if a consent authorises access to observations and medications,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then a request for observations, medications, and procedures,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should be rejected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pStyle w:val="Heading3"/>
        <w:spacing w:after="160" w:before="280"/>
      </w:pPr>
      <w:r>
        <w:t xml:space="preserve">2.3.6  Trusted Computing, Secure Execution, and Security Assurance</w:t>
      </w:r>
    </w:p>
    <w:p>
      <w:pPr>
        <w:spacing w:after="140" w:line="300"/>
        <w:jc w:val="both"/>
      </w:pPr>
      <w:r>
        <w:rPr>
          <w:rFonts w:ascii="Cambria" w:cs="Cambria" w:eastAsia="Cambria" w:hAnsi="Cambria"/>
          <w:sz w:val="24"/>
          <w:szCs w:val="24"/>
        </w:rP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p>
    <w:p>
      <w:pPr>
        <w:spacing w:after="140" w:line="300"/>
        <w:jc w:val="both"/>
      </w:pPr>
      <w:r>
        <w:rPr>
          <w:rFonts w:ascii="Cambria" w:cs="Cambria" w:eastAsia="Cambria" w:hAnsi="Cambria"/>
          <w:sz w:val="24"/>
          <w:szCs w:val="24"/>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spacing w:after="140" w:line="300"/>
        <w:jc w:val="both"/>
      </w:pPr>
      <w:r>
        <w:rPr>
          <w:rFonts w:ascii="Cambria" w:cs="Cambria" w:eastAsia="Cambria" w:hAnsi="Cambria"/>
          <w:sz w:val="24"/>
          <w:szCs w:val="24"/>
        </w:rP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spacing w:after="140" w:line="300"/>
        <w:jc w:val="both"/>
      </w:pPr>
      <w:r>
        <w:rPr>
          <w:rFonts w:ascii="Cambria" w:cs="Cambria" w:eastAsia="Cambria" w:hAnsi="Cambria"/>
          <w:sz w:val="24"/>
          <w:szCs w:val="24"/>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 This research establishes the conceptual foundation for such integration. Future work can therefore investigate how trusted execution and remote attestation can strengthen the enforcement and verification of decentralised consent decisions.</w:t>
      </w:r>
    </w:p>
    <w:p>
      <w:pPr>
        <w:spacing w:after="40" w:before="60"/>
      </w:pPr>
      <w:r>
        <w:rPr>
          <w:rFonts w:ascii="Cambria" w:cs="Cambria" w:eastAsia="Cambria" w:hAnsi="Cambria"/>
          <w:b/>
          <w:bCs/>
          <w:color w:val="C00000"/>
          <w:sz w:val="18"/>
          <w:szCs w:val="18"/>
        </w:rPr>
        <w:t xml:space="preserve">[EDIT 11] </w:t>
      </w:r>
    </w:p>
    <w:p>
      <w:pPr>
        <w:spacing w:after="140" w:line="300"/>
        <w:jc w:val="both"/>
      </w:pPr>
      <w:r>
        <w:rPr>
          <w:rFonts w:ascii="Cambria" w:cs="Cambria" w:eastAsia="Cambria" w:hAnsi="Cambria"/>
          <w:color w:val="C00000"/>
          <w:sz w:val="24"/>
          <w:szCs w:val="24"/>
        </w:rPr>
        <w:t xml:space="preserve">This research establishes the conceptual foundation for such integration and demonstrates it through an implemented and empirically evaluated prototype. Future work can therefore investigate how trusted execution and remote attestation can strengthen the enforcement and verification of decentralised consent decisions.</w:t>
      </w:r>
    </w:p>
    <w:p>
      <w:pPr>
        <w:spacing w:after="140" w:line="300"/>
        <w:jc w:val="both"/>
      </w:pPr>
      <w:r>
        <w:rPr>
          <w:rFonts w:ascii="Cambria" w:cs="Cambria" w:eastAsia="Cambria" w:hAnsi="Cambria"/>
          <w:sz w:val="24"/>
          <w:szCs w:val="24"/>
        </w:rP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p>
      <w:pPr>
        <w:spacing w:after="40" w:before="60"/>
      </w:pPr>
      <w:r>
        <w:rPr>
          <w:rFonts w:ascii="Cambria" w:cs="Cambria" w:eastAsia="Cambria" w:hAnsi="Cambria"/>
          <w:b/>
          <w:bCs/>
          <w:color w:val="C00000"/>
          <w:sz w:val="18"/>
          <w:szCs w:val="18"/>
        </w:rPr>
        <w:t xml:space="preserve">[EDIT 12] </w:t>
      </w:r>
    </w:p>
    <w:p>
      <w:pPr>
        <w:spacing w:after="140" w:line="300"/>
        <w:jc w:val="both"/>
      </w:pPr>
      <w:r>
        <w:rPr>
          <w:rFonts w:ascii="Cambria" w:cs="Cambria" w:eastAsia="Cambria" w:hAnsi="Cambria"/>
          <w:color w:val="C00000"/>
          <w:sz w:val="24"/>
          <w:szCs w:val="24"/>
        </w:rPr>
        <w:t xml:space="preserve">(Append) The present prototype addresses this concern empirically through adversarial and negative testing across each verification dimension; formal analysis remains necessary to demonstrate these properties under defined assumptions.</w:t>
      </w:r>
    </w:p>
    <w:p>
      <w:pPr>
        <w:spacing w:after="140" w:line="300"/>
        <w:jc w:val="both"/>
      </w:pPr>
      <w:r>
        <w:rPr>
          <w:rFonts w:ascii="Cambria" w:cs="Cambria" w:eastAsia="Cambria" w:hAnsi="Cambria"/>
          <w:b/>
          <w:bCs/>
          <w:color w:val="007A00"/>
          <w:sz w:val="24"/>
          <w:szCs w:val="24"/>
        </w:rPr>
        <w:t xml:space="preserve">Complementary work in this stream applies entropy-based measurement to quantify blockchain immutability and tamper-resilient trust, providing an analytical basis for treating the ledger itself as part of the trusted computing base [18].</w:t>
      </w:r>
    </w:p>
    <w:p>
      <w:pPr>
        <w:pStyle w:val="Heading3"/>
        <w:spacing w:after="160" w:before="280"/>
      </w:pPr>
      <w:r>
        <w:t xml:space="preserve">2.3.7  Comparative Analysis of Existing Approaches</w:t>
      </w:r>
    </w:p>
    <w:p>
      <w:pPr>
        <w:spacing w:after="140" w:line="300"/>
        <w:jc w:val="both"/>
      </w:pPr>
      <w:r>
        <w:rPr>
          <w:rFonts w:ascii="Cambria" w:cs="Cambria" w:eastAsia="Cambria" w:hAnsi="Cambria"/>
          <w:sz w:val="24"/>
          <w:szCs w:val="24"/>
        </w:rP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spacing w:after="140" w:line="300"/>
        <w:jc w:val="both"/>
      </w:pPr>
      <w:r>
        <w:rPr>
          <w:rFonts w:ascii="Cambria" w:cs="Cambria" w:eastAsia="Cambria" w:hAnsi="Cambria"/>
          <w:sz w:val="24"/>
          <w:szCs w:val="24"/>
        </w:rP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spacing w:after="140" w:line="300"/>
        <w:jc w:val="both"/>
      </w:pPr>
      <w:r>
        <w:rPr>
          <w:rFonts w:ascii="Cambria" w:cs="Cambria" w:eastAsia="Cambria" w:hAnsi="Cambria"/>
          <w:sz w:val="24"/>
          <w:szCs w:val="24"/>
        </w:rPr>
        <w:t xml:space="preserve">Table 2 summarises the principal focus and limitations of the major research streams and positions the proposed framework relative to the existing literature.</w:t>
      </w:r>
    </w:p>
    <w:p>
      <w:pPr>
        <w:keepNext/>
        <w:spacing w:after="80" w:before="160"/>
        <w:jc w:val="center"/>
      </w:pPr>
      <w:r>
        <w:rPr>
          <w:rFonts w:ascii="Cambria" w:cs="Cambria" w:eastAsia="Cambria" w:hAnsi="Cambria"/>
          <w:b/>
          <w:bCs/>
          <w:sz w:val="21"/>
          <w:szCs w:val="21"/>
        </w:rPr>
        <w:t xml:space="preserve">Table 2: </w:t>
      </w:r>
      <w:r>
        <w:rPr>
          <w:rFonts w:ascii="Cambria" w:cs="Cambria" w:eastAsia="Cambria" w:hAnsi="Cambria"/>
          <w:sz w:val="21"/>
          <w:szCs w:val="21"/>
        </w:rPr>
        <w:t xml:space="preserve">Comparison of Existing Research Approaches and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Stream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Contribution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Main Limitation for Authorisation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Representative References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Healthcare consent and privacy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Patient autonomy, informed consent, and controlled data sharing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Consent is treated as permission rather than an evaluable authorisation object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[31, 22, 14, 24, 12, 13, 10]</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Blockchain-based data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Tamper-resistant records, distributed auditability, and transparency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Immutable records do not establish participant legitimacy, authority, or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 2, 7, 3, 30, 26, 8, 29]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Decentralised identity and verifiable credentials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Self-controlled identity, verifiable attributes, and authentication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 and credential validity do not independently determine if access is authorised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[20, 33, 4, 16, 27,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and decentralised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Collaborative participation and distributed verification or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Limited integration between collective approval thresholds, consent, and access decisions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[19, 4, 21, 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Policy-based and healthcare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Fine-grained restriction based on attributes, risk, context, and constraints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enforcement is separated from decentralised identity and multi-party consent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[32, 11, 28, 25]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Trusted Computing and secure execution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Hardware-supported isolation, execution integrity, and attestation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Secure execution does not determine whether underlying authorisation conditions are sufficient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[23, 17, 18]</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Proposed Framework</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evaluation of consent, identity, authority, multi-party approval, and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Requires further extension towards lifecycle trust, formal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This research</w:t>
            </w:r>
          </w:p>
        </w:tc>
      </w:tr>
    </w:tbl>
    <w:p>
      <w:pPr>
        <w:spacing w:after="180"/>
      </w:pPr>
    </w:p>
    <w:p>
      <w:pPr>
        <w:spacing w:after="40" w:before="60"/>
      </w:pPr>
      <w:r>
        <w:rPr>
          <w:rFonts w:ascii="Cambria" w:cs="Cambria" w:eastAsia="Cambria" w:hAnsi="Cambria"/>
          <w:b/>
          <w:bCs/>
          <w:color w:val="C00000"/>
          <w:sz w:val="18"/>
          <w:szCs w:val="18"/>
        </w:rPr>
        <w:t xml:space="preserve">[EDIT 10 — place at: Page 20, Table 2, Proposed Framework row] </w:t>
      </w:r>
    </w:p>
    <w:p>
      <w:pPr>
        <w:spacing w:after="140" w:line="300"/>
        <w:jc w:val="both"/>
      </w:pPr>
      <w:r>
        <w:rPr>
          <w:rFonts w:ascii="Cambria" w:cs="Cambria" w:eastAsia="Cambria" w:hAnsi="Cambria"/>
          <w:color w:val="C00000"/>
          <w:sz w:val="24"/>
          <w:szCs w:val="24"/>
        </w:rPr>
        <w:t xml:space="preserve">Lifecycle trust and empirical validation are realised in the implemented prototype; formal security assurance requires further extension.</w:t>
      </w:r>
    </w:p>
    <w:p>
      <w:pPr>
        <w:spacing w:after="140" w:line="300"/>
        <w:jc w:val="both"/>
      </w:pPr>
      <w:r>
        <w:rPr>
          <w:rFonts w:ascii="Cambria" w:cs="Cambria" w:eastAsia="Cambria" w:hAnsi="Cambria"/>
          <w:sz w:val="24"/>
          <w:szCs w:val="24"/>
        </w:rP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p>
      <w:pPr>
        <w:pStyle w:val="Heading2"/>
        <w:spacing w:after="160" w:before="280"/>
      </w:pPr>
      <w:r>
        <w:t xml:space="preserve">2.4  Synthesis and Research Gap</w:t>
      </w:r>
    </w:p>
    <w:p>
      <w:pPr>
        <w:spacing w:after="140" w:line="300"/>
        <w:jc w:val="both"/>
      </w:pPr>
      <w:r>
        <w:rPr>
          <w:rFonts w:ascii="Cambria" w:cs="Cambria" w:eastAsia="Cambria" w:hAnsi="Cambria"/>
          <w:sz w:val="24"/>
          <w:szCs w:val="24"/>
        </w:rP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spacing w:after="140" w:line="300"/>
        <w:jc w:val="both"/>
      </w:pPr>
      <w:r>
        <w:rPr>
          <w:rFonts w:ascii="Cambria" w:cs="Cambria" w:eastAsia="Cambria" w:hAnsi="Cambria"/>
          <w:sz w:val="24"/>
          <w:szCs w:val="24"/>
        </w:rP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spacing w:after="140" w:line="300"/>
        <w:jc w:val="both"/>
      </w:pPr>
      <w:r>
        <w:rPr>
          <w:rFonts w:ascii="Cambria" w:cs="Cambria" w:eastAsia="Cambria" w:hAnsi="Cambria"/>
          <w:sz w:val="24"/>
          <w:szCs w:val="24"/>
        </w:rP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sz w:val="24"/>
          <w:szCs w:val="24"/>
        </w:rP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spacing w:after="40" w:before="60"/>
      </w:pPr>
      <w:r>
        <w:rPr>
          <w:rFonts w:ascii="Cambria" w:cs="Cambria" w:eastAsia="Cambria" w:hAnsi="Cambria"/>
          <w:b/>
          <w:bCs/>
          <w:color w:val="C00000"/>
          <w:sz w:val="18"/>
          <w:szCs w:val="18"/>
        </w:rPr>
        <w:t xml:space="preserve">[EDIT 13] </w:t>
      </w:r>
    </w:p>
    <w:p>
      <w:pPr>
        <w:spacing w:after="140" w:line="300"/>
        <w:jc w:val="both"/>
      </w:pPr>
      <w:r>
        <w:rPr>
          <w:rFonts w:ascii="Cambria" w:cs="Cambria" w:eastAsia="Cambria" w:hAnsi="Cambria"/>
          <w:color w:val="C00000"/>
          <w:sz w:val="24"/>
          <w:szCs w:val="24"/>
        </w:rPr>
        <w:t xml:space="preserve">Decision(C, R, t) = ALLOW ⟺ VI ∧ VA ∧ VP ∧ VT ∧ VL. This is the rule enforced by the implemented Consent Engine: every access request is evaluated over the complete tuple, and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pStyle w:val="Heading1"/>
        <w:pageBreakBefore/>
        <w:spacing w:after="160" w:before="400"/>
      </w:pPr>
      <w:r>
        <w:t xml:space="preserve">3  Research Gaps and Questions</w:t>
      </w:r>
    </w:p>
    <w:p>
      <w:pPr>
        <w:pStyle w:val="Heading2"/>
        <w:spacing w:after="160" w:before="280"/>
      </w:pPr>
      <w:r>
        <w:t xml:space="preserve">3.1  Research Gap</w:t>
      </w:r>
    </w:p>
    <w:p>
      <w:pPr>
        <w:spacing w:after="140" w:line="300"/>
        <w:jc w:val="both"/>
      </w:pPr>
      <w:r>
        <w:rPr>
          <w:rFonts w:ascii="Cambria" w:cs="Cambria" w:eastAsia="Cambria" w:hAnsi="Cambria"/>
          <w:sz w:val="24"/>
          <w:szCs w:val="24"/>
        </w:rP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pStyle w:val="Heading2"/>
        <w:spacing w:after="160" w:before="280"/>
      </w:pPr>
      <w:r>
        <w:t xml:space="preserve">3.2  Main Research Question</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current stage, the investigation is deliberately focused on the foundational conditions required to establish trustworthy authorisation. These conditions are represented through four interconnected research questions concerning consent modelling, identity and authority trust, multi-party authorisation, and policy-aware access control. Temporal and lifecycle trust, formal security assurance, and comprehensive empirical validation form the subsequent research scope and will be developed further in CA3.</w:t>
      </w:r>
    </w:p>
    <w:p>
      <w:pPr>
        <w:spacing w:after="40" w:before="60"/>
      </w:pPr>
      <w:r>
        <w:rPr>
          <w:rFonts w:ascii="Cambria" w:cs="Cambria" w:eastAsia="Cambria" w:hAnsi="Cambria"/>
          <w:b/>
          <w:bCs/>
          <w:color w:val="C00000"/>
          <w:sz w:val="18"/>
          <w:szCs w:val="18"/>
        </w:rPr>
        <w:t xml:space="preserve">[EDIT 16] </w:t>
      </w:r>
    </w:p>
    <w:p>
      <w:pPr>
        <w:spacing w:after="140" w:line="300"/>
        <w:jc w:val="both"/>
      </w:pPr>
      <w:r>
        <w:rPr>
          <w:rFonts w:ascii="Cambria" w:cs="Cambria" w:eastAsia="Cambria" w:hAnsi="Cambria"/>
          <w:color w:val="C00000"/>
          <w:sz w:val="24"/>
          <w:szCs w:val="24"/>
        </w:rPr>
        <w:t xml:space="preserve">Temporal and lifecycle trust has been operationalised in the current prototype, and the empirical validation has been partially completed through automated and live negative testing; formal security assurance forms the subsequent research scope and will be developed in CA3.</w:t>
      </w:r>
    </w:p>
    <w:p>
      <w:pPr>
        <w:pStyle w:val="Heading2"/>
        <w:spacing w:after="160" w:before="280"/>
      </w:pPr>
      <w: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pStyle w:val="Heading3"/>
        <w:spacing w:after="160" w:before="280"/>
      </w:pPr>
      <w: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that</w:t>
      </w:r>
    </w:p>
    <w:p>
      <w:pPr>
        <w:tabs>
          <w:tab w:val="right" w:pos="9360"/>
        </w:tabs>
        <w:spacing w:after="160" w:before="60"/>
        <w:jc w:val="center"/>
      </w:pPr>
      <w:r>
        <w:rPr>
          <w:rFonts w:ascii="Cambria Math" w:cs="Cambria Math" w:eastAsia="Cambria Math" w:hAnsi="Cambria Math"/>
          <w:i/>
          <w:iCs/>
          <w:sz w:val="22"/>
          <w:szCs w:val="22"/>
        </w:rPr>
        <w:t xml:space="preserve">C = (I, A, P, E),</w:t>
      </w:r>
      <w:r>
        <w:rPr>
          <w:rFonts w:ascii="Cambria" w:cs="Cambria" w:eastAsia="Cambria" w:hAnsi="Cambria"/>
          <w:sz w:val="22"/>
          <w:szCs w:val="22"/>
        </w:rPr>
        <w:t xml:space="preserve">	(7)</w:t>
      </w:r>
    </w:p>
    <w:p>
      <w:pPr>
        <w:spacing w:after="140" w:line="300"/>
        <w:jc w:val="both"/>
      </w:pPr>
      <w:r>
        <w:rPr>
          <w:rFonts w:ascii="Cambria" w:cs="Cambria" w:eastAsia="Cambria" w:hAnsi="Cambria"/>
          <w:sz w:val="24"/>
          <w:szCs w:val="24"/>
        </w:rPr>
        <w:t xml:space="preserve">where I represents identity information, A represents authority and authorisation requirements, P represents policy and data-scope constraints, and E represents authorisation evidence.</w:t>
      </w:r>
    </w:p>
    <w:p>
      <w:pPr>
        <w:spacing w:after="40" w:before="60"/>
      </w:pPr>
      <w:r>
        <w:rPr>
          <w:rFonts w:ascii="Cambria" w:cs="Cambria" w:eastAsia="Cambria" w:hAnsi="Cambria"/>
          <w:b/>
          <w:bCs/>
          <w:color w:val="C00000"/>
          <w:sz w:val="18"/>
          <w:szCs w:val="18"/>
        </w:rPr>
        <w:t xml:space="preserve">[EDIT 14] </w:t>
      </w:r>
    </w:p>
    <w:p>
      <w:pPr>
        <w:spacing w:after="140" w:line="300"/>
        <w:jc w:val="both"/>
      </w:pPr>
      <w:r>
        <w:rPr>
          <w:rFonts w:ascii="Cambria" w:cs="Cambria" w:eastAsia="Cambria" w:hAnsi="Cambria"/>
          <w:color w:val="C00000"/>
          <w:sz w:val="24"/>
          <w:szCs w:val="24"/>
        </w:rPr>
        <w:t xml:space="preserve">C = (I, A, P, T, L, E), where I represents the participating identities, A the authority and multi-party authorisation evidence, P the purpose and data-scope constraints, T the temporal validity window, L the jurisdictional constraint, and E the enforcement state recording whether the consent remains active or has been revoked.</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highlight w:val="yellow"/>
        </w:rP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Therefore,Identity ≠ Authorisation. The identity and authority validity condition is represented as</w:t>
      </w:r>
    </w:p>
    <w:p>
      <w:pPr>
        <w:spacing w:after="100" w:before="40"/>
        <w:ind w:left="240"/>
      </w:pPr>
      <w:r>
        <w:rPr>
          <w:rFonts w:ascii="Cambria" w:cs="Cambria" w:eastAsia="Cambria" w:hAnsi="Cambria"/>
          <w:b/>
          <w:bCs/>
          <w:sz w:val="19"/>
          <w:szCs w:val="19"/>
          <w:highlight w:val="yellow"/>
        </w:rPr>
        <w:t xml:space="preserve">⚠ REVIEW: Source typo: missing space after the comma ('Therefore, Identity').</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tabs>
          <w:tab w:val="right" w:pos="9360"/>
        </w:tabs>
        <w:spacing w:after="40" w:before="60"/>
        <w:jc w:val="center"/>
      </w:pPr>
      <w:r>
        <w:rPr>
          <w:rFonts w:ascii="Cambria Math" w:cs="Cambria Math" w:eastAsia="Cambria Math" w:hAnsi="Cambria Math"/>
          <w:i/>
          <w:iCs/>
          <w:strike/>
          <w:color w:val="808080"/>
          <w:sz w:val="22"/>
          <w:szCs w:val="22"/>
        </w:rPr>
        <w:t xml:space="preserve">|A</w:t>
      </w:r>
      <w:r>
        <w:rPr>
          <w:rFonts w:ascii="Cambria Math" w:cs="Cambria Math" w:eastAsia="Cambria Math" w:hAnsi="Cambria Math"/>
          <w:i/>
          <w:iCs/>
          <w:strike/>
          <w:color w:val="808080"/>
          <w:sz w:val="22"/>
          <w:szCs w:val="22"/>
          <w:vertAlign w:val="subscript"/>
        </w:rPr>
        <w:t xml:space="preserve">v</w:t>
      </w:r>
      <w:r>
        <w:rPr>
          <w:rFonts w:ascii="Cambria Math" w:cs="Cambria Math" w:eastAsia="Cambria Math" w:hAnsi="Cambria Math"/>
          <w:i/>
          <w:iCs/>
          <w:strike/>
          <w:color w:val="808080"/>
          <w:sz w:val="22"/>
          <w:szCs w:val="22"/>
        </w:rPr>
        <w:t xml:space="preserve">| &lt; N ⟹ Decision(C, R) = DENY.</w:t>
      </w:r>
      <w:r>
        <w:rPr>
          <w:rFonts w:ascii="Cambria" w:cs="Cambria" w:eastAsia="Cambria" w:hAnsi="Cambria"/>
          <w:color w:val="808080"/>
          <w:sz w:val="22"/>
          <w:szCs w:val="22"/>
        </w:rPr>
        <w:t xml:space="preserve">	(10)</w:t>
      </w:r>
    </w:p>
    <w:p>
      <w:pPr>
        <w:spacing w:after="40" w:before="60"/>
      </w:pPr>
      <w:r>
        <w:rPr>
          <w:rFonts w:ascii="Cambria" w:cs="Cambria" w:eastAsia="Cambria" w:hAnsi="Cambria"/>
          <w:b/>
          <w:bCs/>
          <w:color w:val="C00000"/>
          <w:sz w:val="18"/>
          <w:szCs w:val="18"/>
        </w:rPr>
        <w:t xml:space="preserve">[EDIT 15] </w:t>
      </w:r>
    </w:p>
    <w:p>
      <w:pPr>
        <w:spacing w:after="140" w:line="300"/>
        <w:jc w:val="both"/>
      </w:pPr>
      <w:r>
        <w:rPr>
          <w:rFonts w:ascii="Cambria" w:cs="Cambria" w:eastAsia="Cambria" w:hAnsi="Cambria"/>
          <w:color w:val="C00000"/>
          <w:sz w:val="24"/>
          <w:szCs w:val="24"/>
        </w:rPr>
        <w:t xml:space="preserve">(Append) In the implemented framework N is instantiated as |G|, the number of designated guardians, so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cannot necessarily be assumed to remain valid indefinitely.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sz w:val="22"/>
          <w:szCs w:val="22"/>
        </w:rPr>
        <w:t xml:space="preserve">Decision(C, R) =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Synthetic healthcare records derived from the Synthea dataset are used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consent lifecycle validity.</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creates a continuous logical pipeline that seamlessly connects user-facing trust with back-end system security.</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current stage, while the final two objectives extend and evaluate these mechanisms as part of the next research programme.</w:t>
      </w:r>
    </w:p>
    <w:p>
      <w:pPr>
        <w:spacing w:after="40" w:before="60"/>
      </w:pPr>
      <w:r>
        <w:rPr>
          <w:rFonts w:ascii="Cambria" w:cs="Cambria" w:eastAsia="Cambria" w:hAnsi="Cambria"/>
          <w:b/>
          <w:bCs/>
          <w:color w:val="C00000"/>
          <w:sz w:val="18"/>
          <w:szCs w:val="18"/>
        </w:rPr>
        <w:t xml:space="preserve">[EDIT 17] </w:t>
      </w:r>
    </w:p>
    <w:p>
      <w:pPr>
        <w:spacing w:after="140" w:line="300"/>
        <w:jc w:val="both"/>
      </w:pPr>
      <w:r>
        <w:rPr>
          <w:rFonts w:ascii="Cambria" w:cs="Cambria" w:eastAsia="Cambria" w:hAnsi="Cambria"/>
          <w:color w:val="C00000"/>
          <w:sz w:val="24"/>
          <w:szCs w:val="24"/>
        </w:rPr>
        <w:t xml:space="preserve">…while the fifth objective is realised operationally in the current prototype and the sixth is addressed empirically now, with its formal component reserved for the next research programme.</w:t>
      </w:r>
    </w:p>
    <w:p>
      <w:pPr>
        <w:pStyle w:val="Heading2"/>
        <w:spacing w:after="160" w:before="280"/>
      </w:pPr>
      <w: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t xml:space="preserve">4.3  RO3 - Trustworthy Multi-Party Authorisation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 The mechanism will define the required authorisation participants, verify their approval evidence, and determine whether the predefined threshold has been satisfied.</w:t>
      </w:r>
    </w:p>
    <w:p>
      <w:pPr>
        <w:spacing w:after="40" w:before="60"/>
      </w:pPr>
      <w:r>
        <w:rPr>
          <w:rFonts w:ascii="Cambria" w:cs="Cambria" w:eastAsia="Cambria" w:hAnsi="Cambria"/>
          <w:b/>
          <w:bCs/>
          <w:color w:val="C00000"/>
          <w:sz w:val="18"/>
          <w:szCs w:val="18"/>
        </w:rPr>
        <w:t xml:space="preserve">[EDIT 18] </w:t>
      </w:r>
    </w:p>
    <w:p>
      <w:pPr>
        <w:spacing w:after="140" w:line="300"/>
        <w:jc w:val="both"/>
      </w:pPr>
      <w:r>
        <w:rPr>
          <w:rFonts w:ascii="Cambria" w:cs="Cambria" w:eastAsia="Cambria" w:hAnsi="Cambria"/>
          <w:color w:val="C00000"/>
          <w:sz w:val="24"/>
          <w:szCs w:val="24"/>
        </w:rPr>
        <w:t xml:space="preserve">The implemented mechanism defines the designated guardians at consent creation, verifies each EIP-712 approval by signature recovery, and requires a valid signature from every listed guardian: the threshold equals |G|, an N-of-N condition demonstrated as 2-of-2.</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t xml:space="preserve">4.4  RO4 - Policy- and Context-Aware Access Control</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 Accordingly, the mechanism will evaluate whether the requested purpose is consistent with the consent and whether the requested data scope is contained within the permitted scope.</w:t>
      </w:r>
    </w:p>
    <w:p>
      <w:pPr>
        <w:spacing w:after="40" w:before="60"/>
      </w:pPr>
      <w:r>
        <w:rPr>
          <w:rFonts w:ascii="Cambria" w:cs="Cambria" w:eastAsia="Cambria" w:hAnsi="Cambria"/>
          <w:b/>
          <w:bCs/>
          <w:color w:val="C00000"/>
          <w:sz w:val="18"/>
          <w:szCs w:val="18"/>
        </w:rPr>
        <w:t xml:space="preserve">[EDIT 19] </w:t>
      </w:r>
    </w:p>
    <w:p>
      <w:pPr>
        <w:spacing w:after="140" w:line="300"/>
        <w:jc w:val="both"/>
      </w:pPr>
      <w:r>
        <w:rPr>
          <w:rFonts w:ascii="Cambria" w:cs="Cambria" w:eastAsia="Cambria" w:hAnsi="Cambria"/>
          <w:color w:val="C00000"/>
          <w:sz w:val="24"/>
          <w:szCs w:val="24"/>
        </w:rPr>
        <w:t xml:space="preserve">Accordingly, the implemented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current stage. Together, RO1–RO4 establish the representation, verification, collective authorisation, and policy-enforcement mechanisms required for a trust-oriented healthcare data-sharing decision.</w:t>
      </w:r>
    </w:p>
    <w:p>
      <w:pPr>
        <w:pStyle w:val="Heading2"/>
        <w:spacing w:after="160" w:before="280"/>
      </w:pPr>
      <w:r>
        <w:t xml:space="preserve">4.5  RO5 - Temporal and Lifecycle Trust</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spacing w:after="140" w:line="300"/>
        <w:jc w:val="both"/>
      </w:pPr>
      <w:r>
        <w:rPr>
          <w:rFonts w:ascii="Cambria" w:cs="Cambria" w:eastAsia="Cambria" w:hAnsi="Cambria"/>
          <w:sz w:val="24"/>
          <w:szCs w:val="24"/>
          <w:highlight w:val="yellow"/>
        </w:rPr>
        <w:t xml:space="preserve">This objective constitutes a principal component of the next stageresearch programme. It will investigate how temporal and lifecycle conditions can be incorporated into the authorisation decision without weakening the trust relationships established by the current stage mechanisms.</w:t>
      </w:r>
    </w:p>
    <w:p>
      <w:pPr>
        <w:spacing w:after="100" w:before="40"/>
        <w:ind w:left="240"/>
      </w:pPr>
      <w:r>
        <w:rPr>
          <w:rFonts w:ascii="Cambria" w:cs="Cambria" w:eastAsia="Cambria" w:hAnsi="Cambria"/>
          <w:b/>
          <w:bCs/>
          <w:sz w:val="19"/>
          <w:szCs w:val="19"/>
          <w:highlight w:val="yellow"/>
        </w:rPr>
        <w:t xml:space="preserve">⚠ REVIEW: Source typo: 'stageresearch' should read 'stage research'.</w:t>
      </w:r>
    </w:p>
    <w:p>
      <w:pPr>
        <w:spacing w:after="40" w:before="60"/>
      </w:pPr>
      <w:r>
        <w:rPr>
          <w:rFonts w:ascii="Cambria" w:cs="Cambria" w:eastAsia="Cambria" w:hAnsi="Cambria"/>
          <w:b/>
          <w:bCs/>
          <w:color w:val="C00000"/>
          <w:sz w:val="18"/>
          <w:szCs w:val="18"/>
        </w:rPr>
        <w:t xml:space="preserve">[EDIT 20] </w:t>
      </w:r>
    </w:p>
    <w:p>
      <w:pPr>
        <w:spacing w:after="140" w:line="300"/>
        <w:jc w:val="both"/>
      </w:pPr>
      <w:r>
        <w:rPr>
          <w:rFonts w:ascii="Cambria" w:cs="Cambria" w:eastAsia="Cambria" w:hAnsi="Cambria"/>
          <w:color w:val="C00000"/>
          <w:sz w:val="24"/>
          <w:szCs w:val="24"/>
        </w:rPr>
        <w:t xml:space="preserve">This objective has been substantially realised in the current implementation. The prototype enforces the temporal validity window at every access decision (VT), records notBefore and expiry on-chain within the consent token, implements end-to-end revocation including an on-chain revoke transaction, and manages the consent through an explicit lifecycle state machine. The remaining work concerns hardening these controls rather than introducing them.</w:t>
      </w:r>
    </w:p>
    <w:p>
      <w:pPr>
        <w:pStyle w:val="Heading2"/>
        <w:spacing w:after="160" w:before="280"/>
      </w:pPr>
      <w:r>
        <w:t xml:space="preserve">4.6  RO6 - Formal Security Assurance and Empirical Validation</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 Although preliminary implementation and scenario-based testing may support the current stage findings, the complete formal analysis and comprehensive empirical validation will be conducted as part of next stage works.</w:t>
      </w:r>
    </w:p>
    <w:p>
      <w:pPr>
        <w:spacing w:after="40" w:before="60"/>
      </w:pPr>
      <w:r>
        <w:rPr>
          <w:rFonts w:ascii="Cambria" w:cs="Cambria" w:eastAsia="Cambria" w:hAnsi="Cambria"/>
          <w:b/>
          <w:bCs/>
          <w:color w:val="C00000"/>
          <w:sz w:val="18"/>
          <w:szCs w:val="18"/>
        </w:rPr>
        <w:t xml:space="preserve">[EDIT 21] </w:t>
      </w:r>
    </w:p>
    <w:p>
      <w:pPr>
        <w:spacing w:after="140" w:line="300"/>
        <w:jc w:val="both"/>
      </w:pPr>
      <w:r>
        <w:rPr>
          <w:rFonts w:ascii="Cambria" w:cs="Cambria" w:eastAsia="Cambria" w:hAnsi="Cambria"/>
          <w:color w:val="C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The complete formal analysis — proofs or model checking of the stated properties — remains next stage work.</w:t>
      </w:r>
    </w:p>
    <w:p>
      <w:pPr>
        <w:pStyle w:val="Heading2"/>
        <w:spacing w:after="160" w:before="280"/>
      </w:pPr>
      <w:r>
        <w:t xml:space="preserve">4.7  Relationship Between Research Questions and Objectives</w:t>
      </w:r>
    </w:p>
    <w:p>
      <w:pPr>
        <w:spacing w:after="140" w:line="300"/>
        <w:jc w:val="both"/>
      </w:pPr>
      <w:r>
        <w:rPr>
          <w:rFonts w:ascii="Cambria" w:cs="Cambria" w:eastAsia="Cambria" w:hAnsi="Cambria"/>
          <w:sz w:val="24"/>
          <w:szCs w:val="24"/>
        </w:rPr>
        <w:t xml:space="preserve">The relationship between the six research questions and the six research objectives is summarised in Table 3 and Table 3. The mapping follows the structure of the research programme and maintains a direct correspondence between each research question and its associated objective. This correspondence ensures that every research question is addressed by a clearly defined research activity and that each objective contributes to the overall development of the proposed trust-oriented authorisation framework.</w:t>
      </w:r>
    </w:p>
    <w:p>
      <w:pPr>
        <w:spacing w:after="40" w:before="60"/>
      </w:pPr>
      <w:r>
        <w:rPr>
          <w:rFonts w:ascii="Cambria" w:cs="Cambria" w:eastAsia="Cambria" w:hAnsi="Cambria"/>
          <w:b/>
          <w:bCs/>
          <w:color w:val="C00000"/>
          <w:sz w:val="18"/>
          <w:szCs w:val="18"/>
        </w:rPr>
        <w:t xml:space="preserve">[EDIT 23] </w:t>
      </w:r>
    </w:p>
    <w:p>
      <w:pPr>
        <w:spacing w:after="140" w:line="300"/>
        <w:jc w:val="both"/>
      </w:pPr>
      <w:r>
        <w:rPr>
          <w:rFonts w:ascii="Cambria" w:cs="Cambria" w:eastAsia="Cambria" w:hAnsi="Cambria"/>
          <w:color w:val="C00000"/>
          <w:sz w:val="24"/>
          <w:szCs w:val="24"/>
        </w:rPr>
        <w:t xml:space="preserve">summarised in Table 3 and Table 4.</w:t>
      </w:r>
    </w:p>
    <w:p>
      <w:pPr>
        <w:spacing w:after="140" w:line="300"/>
        <w:jc w:val="both"/>
      </w:pPr>
      <w:r>
        <w:rPr>
          <w:rFonts w:ascii="Cambria" w:cs="Cambria" w:eastAsia="Cambria" w:hAnsi="Cambria"/>
          <w:sz w:val="24"/>
          <w:szCs w:val="24"/>
        </w:rPr>
        <w:t xml:space="preserve">The current stage research consequently concentrates on RO1–RO4, which establish the foundational trust-oriented authorisation model. These objectives investigate how consent can be represented as an evaluable authorisation object, how participant identity and authority can be verified, how multiple participants can jointly establish authorisation, and how policy constraints can be enforced before healthcare data are released.</w:t>
      </w:r>
    </w:p>
    <w:p>
      <w:pPr>
        <w:spacing w:after="40" w:before="60"/>
      </w:pPr>
      <w:r>
        <w:rPr>
          <w:rFonts w:ascii="Cambria" w:cs="Cambria" w:eastAsia="Cambria" w:hAnsi="Cambria"/>
          <w:b/>
          <w:bCs/>
          <w:color w:val="C00000"/>
          <w:sz w:val="18"/>
          <w:szCs w:val="18"/>
        </w:rPr>
        <w:t xml:space="preserve">[EDIT 22] </w:t>
      </w:r>
    </w:p>
    <w:p>
      <w:pPr>
        <w:spacing w:after="140" w:line="300"/>
        <w:jc w:val="both"/>
      </w:pPr>
      <w:r>
        <w:rPr>
          <w:rFonts w:ascii="Cambria" w:cs="Cambria" w:eastAsia="Cambria" w:hAnsi="Cambria"/>
          <w:color w:val="C00000"/>
          <w:sz w:val="24"/>
          <w:szCs w:val="24"/>
        </w:rPr>
        <w:t xml:space="preserve">The current stage delivers RO1–RO5 in operational form and the empirical component of RO6, including negative and adversarial testing. The principal remaining agenda for CA3 is the formal component of RO6 — formal specification and analysis of the security properties — together with the identified prototype hardening.</w:t>
      </w:r>
    </w:p>
    <w:p>
      <w:pPr>
        <w:spacing w:after="140" w:line="300"/>
        <w:jc w:val="both"/>
      </w:pPr>
      <w:r>
        <w:rPr>
          <w:rFonts w:ascii="Cambria" w:cs="Cambria" w:eastAsia="Cambria" w:hAnsi="Cambria"/>
          <w:sz w:val="24"/>
          <w:szCs w:val="24"/>
          <w:highlight w:val="yellow"/>
        </w:rP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w:t>
      </w:r>
    </w:p>
    <w:p>
      <w:pPr>
        <w:spacing w:after="100" w:before="40"/>
        <w:ind w:left="240"/>
      </w:pPr>
      <w:r>
        <w:rPr>
          <w:rFonts w:ascii="Cambria" w:cs="Cambria" w:eastAsia="Cambria" w:hAnsi="Cambria"/>
          <w:b/>
          <w:bCs/>
          <w:sz w:val="19"/>
          <w:szCs w:val="19"/>
          <w:highlight w:val="yellow"/>
        </w:rPr>
        <w:t xml:space="preserve">⚠ REVIEW: Source defect: this sentence is truncated in the original PDF (end of section 4.7, page 31) - complete it in the final version.</w:t>
      </w:r>
    </w:p>
    <w:p>
      <w:pPr>
        <w:keepNext/>
        <w:spacing w:after="80" w:before="160"/>
        <w:jc w:val="center"/>
      </w:pPr>
      <w:r>
        <w:rPr>
          <w:rFonts w:ascii="Cambria" w:cs="Cambria" w:eastAsia="Cambria" w:hAnsi="Cambria"/>
          <w:b/>
          <w:bCs/>
          <w:sz w:val="21"/>
          <w:szCs w:val="21"/>
        </w:rPr>
        <w:t xml:space="preserve">Table 3: </w:t>
      </w:r>
      <w:r>
        <w:rPr>
          <w:rFonts w:ascii="Cambria" w:cs="Cambria" w:eastAsia="Cambria" w:hAnsi="Cambria"/>
          <w:sz w:val="21"/>
          <w:szCs w:val="21"/>
        </w:rPr>
        <w:t xml:space="preserve">Research Questions, Research Objectives, and Thesis Chapters for Current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bl>
    <w:p>
      <w:pPr>
        <w:spacing w:after="180"/>
      </w:pPr>
    </w:p>
    <w:p>
      <w:pPr>
        <w:keepNext/>
        <w:spacing w:after="80" w:before="160"/>
        <w:jc w:val="center"/>
      </w:pPr>
      <w:r>
        <w:rPr>
          <w:rFonts w:ascii="Cambria" w:cs="Cambria" w:eastAsia="Cambria" w:hAnsi="Cambria"/>
          <w:b/>
          <w:bCs/>
          <w:sz w:val="21"/>
          <w:szCs w:val="21"/>
        </w:rPr>
        <w:t xml:space="preserve">Table 4: </w:t>
      </w:r>
      <w:r>
        <w:rPr>
          <w:rFonts w:ascii="Cambria" w:cs="Cambria" w:eastAsia="Cambria" w:hAnsi="Cambria"/>
          <w:sz w:val="21"/>
          <w:szCs w:val="21"/>
        </w:rPr>
        <w:t xml:space="preserve">Research Questions, Research Objectives, and Thesis Chapters for CA3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temporal validity, expiration, revocation, and controlled consent-state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bl>
    <w:p>
      <w:pPr>
        <w:spacing w:after="180"/>
      </w:pPr>
    </w:p>
    <w:p>
      <w:pPr>
        <w:spacing w:after="40" w:before="60"/>
      </w:pPr>
      <w:r>
        <w:rPr>
          <w:rFonts w:ascii="Cambria" w:cs="Cambria" w:eastAsia="Cambria" w:hAnsi="Cambria"/>
          <w:b/>
          <w:bCs/>
          <w:color w:val="C00000"/>
          <w:sz w:val="18"/>
          <w:szCs w:val="18"/>
        </w:rPr>
        <w:t xml:space="preserve">[EDIT 24 — place at: Page 33, Table 4, RO5/RO6 rows] </w:t>
      </w:r>
    </w:p>
    <w:p>
      <w:pPr>
        <w:spacing w:after="140" w:line="300"/>
        <w:jc w:val="both"/>
      </w:pPr>
      <w:r>
        <w:rPr>
          <w:rFonts w:ascii="Cambria" w:cs="Cambria" w:eastAsia="Cambria" w:hAnsi="Cambria"/>
          <w:color w:val="C00000"/>
          <w:sz w:val="24"/>
          <w:szCs w:val="24"/>
        </w:rPr>
        <w:t xml:space="preserve">RO5 scope: Temporal validity, expiration, revocation and controlled state transitions, enforced in the current prototype and anchored on-chain. RO6 scope: Formal analysis of the security properties (CA3), building on the empirical negative and adversarial testing already performed with the HALAH prototype.</w:t>
      </w:r>
    </w:p>
    <w:p>
      <w:pPr>
        <w:spacing w:after="140" w:line="300"/>
        <w:jc w:val="both"/>
      </w:pPr>
      <w:r>
        <w:rPr>
          <w:rFonts w:ascii="Cambria" w:cs="Cambria" w:eastAsia="Cambria" w:hAnsi="Cambria"/>
          <w:sz w:val="24"/>
          <w:szCs w:val="24"/>
        </w:rPr>
        <w:t xml:space="preserve">reliable under dynamic lifecycle conditions and whether their security and practical effectiveness can be formally and empirically demonstrated. 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Trust Computing framework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spacing w:after="40" w:before="60"/>
      </w:pPr>
      <w:r>
        <w:rPr>
          <w:rFonts w:ascii="Cambria" w:cs="Cambria" w:eastAsia="Cambria" w:hAnsi="Cambria"/>
          <w:b/>
          <w:bCs/>
          <w:color w:val="C00000"/>
          <w:sz w:val="18"/>
          <w:szCs w:val="18"/>
        </w:rPr>
        <w:t xml:space="preserve">[EDIT 25 — place at: Pages 34, 42, 45 — Eqs (29), (35), (42), (43)] </w:t>
      </w:r>
    </w:p>
    <w:p>
      <w:pPr>
        <w:spacing w:after="140" w:line="300"/>
        <w:jc w:val="both"/>
      </w:pPr>
      <w:r>
        <w:rPr>
          <w:rFonts w:ascii="Cambria" w:cs="Cambria" w:eastAsia="Cambria" w:hAnsi="Cambria"/>
          <w:color w:val="C00000"/>
          <w:sz w:val="24"/>
          <w:szCs w:val="24"/>
        </w:rPr>
        <w:t xml:space="preserve">Make ALLOW = VI ∧ VA ∧ VP ∧ VT ∧ VL the decision rule throughout the chapter; delete each three-predicate variant or relabel it explicitly as an early design iteration superseded by the implementation.</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The next stage research will extend this decision model by incorporating temporal and lifecycle conditions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VT (C, t) represents temporal validity and VL (C) represents the validity of the consent lifecycle state and its transitions. This extension provides a consistent connection between the foundational current stage objectives and the planned next research on dynamic trust, formal assurance, and comprehensive validation.</w:t>
      </w:r>
    </w:p>
    <w:p>
      <w:pPr>
        <w:pStyle w:val="Heading1"/>
        <w:pageBreakBefore/>
        <w:spacing w:after="160" w:before="400"/>
      </w:pPr>
      <w: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3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This distinction is important because healthcare data should not be</w:t>
      </w:r>
    </w:p>
    <w:p>
      <w:pPr>
        <w:keepNext/>
        <w:spacing w:after="60" w:before="140"/>
        <w:jc w:val="center"/>
      </w:pPr>
      <w:r>
        <w:drawing>
          <wp:inline distT="0" distB="0" distL="0" distR="0">
            <wp:extent cx="5715000" cy="3543300"/>
            <wp:effectExtent t="0" r="0" b="0" l="0"/>
            <wp:docPr id="1" name="fig3.png" descr="Figure 3: Layered MVC Architecture and Component Decomposition of the HALAH Framework" title="Figure 3: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Layered MVC Architecture and Component Decomposition of the HALAH Framework</w:t>
      </w:r>
    </w:p>
    <w:p>
      <w:pPr>
        <w:spacing w:after="40" w:before="60"/>
      </w:pPr>
      <w:r>
        <w:rPr>
          <w:rFonts w:ascii="Cambria" w:cs="Cambria" w:eastAsia="Cambria" w:hAnsi="Cambria"/>
          <w:b/>
          <w:bCs/>
          <w:color w:val="C00000"/>
          <w:sz w:val="18"/>
          <w:szCs w:val="18"/>
        </w:rPr>
        <w:t xml:space="preserve">[EDIT 28 — place at: Page 36, Figures 3–4 (layered MVC)] </w:t>
      </w:r>
    </w:p>
    <w:p>
      <w:pPr>
        <w:spacing w:after="140" w:line="300"/>
        <w:jc w:val="both"/>
      </w:pPr>
      <w:r>
        <w:rPr>
          <w:rFonts w:ascii="Cambria" w:cs="Cambria" w:eastAsia="Cambria" w:hAnsi="Cambria"/>
          <w:color w:val="C00000"/>
          <w:sz w:val="24"/>
          <w:szCs w:val="24"/>
        </w:rPr>
        <w:t xml:space="preserve">FIGURE EDIT — (a) Controller layer: add “ZK Proof Service (Groth16 generation + verification)” feeding the Authorisation Decision, and “On-chain Anchor Service (asynchronous mint/revoke)”; (b) Model layer: add “ConsentSBTv3 (Sepolia)” beside a box relabelled “SQLite Audit Ledger”; (c) add a Revocation arrow from the Patient interface through the Controller to both the ledger and the contract; (d) add an external box “verify_poc (independent verifier)” reading both the ledger and Sepolia.</w:t>
      </w:r>
    </w:p>
    <w:p>
      <w:pPr>
        <w:spacing w:after="40" w:before="60"/>
      </w:pPr>
      <w:r>
        <w:rPr>
          <w:rFonts w:ascii="Cambria" w:cs="Cambria" w:eastAsia="Cambria" w:hAnsi="Cambria"/>
          <w:b/>
          <w:bCs/>
          <w:color w:val="C00000"/>
          <w:sz w:val="18"/>
          <w:szCs w:val="18"/>
        </w:rPr>
        <w:t xml:space="preserve">[EDIT 34 — place at: Pages 36 &amp; 40 — “DID / VC Verification”, “Verifiable Credentials (VCs)”] </w:t>
      </w:r>
    </w:p>
    <w:p>
      <w:pPr>
        <w:spacing w:after="140" w:line="300"/>
        <w:jc w:val="both"/>
      </w:pPr>
      <w:r>
        <w:rPr>
          <w:rFonts w:ascii="Cambria" w:cs="Cambria" w:eastAsia="Cambria" w:hAnsi="Cambria"/>
          <w:color w:val="C00000"/>
          <w:sz w:val="24"/>
          <w:szCs w:val="24"/>
        </w:rPr>
        <w:t xml:space="preserve">(Add limitation sentence in §5.2/§5.5) In the prototype, credential verification is a DID well-formedness check and the requester’s role and jurisdiction are self-declared; wallet-held keys and authenticated credentials are future work.</w:t>
      </w:r>
    </w:p>
    <w:p>
      <w:pPr>
        <w:spacing w:after="140" w:line="300"/>
        <w:jc w:val="both"/>
      </w:pPr>
      <w:r>
        <w:rPr>
          <w:rFonts w:ascii="Cambria" w:cs="Cambria" w:eastAsia="Cambria" w:hAnsi="Cambria"/>
          <w:sz w:val="24"/>
          <w:szCs w:val="24"/>
        </w:rPr>
        <w:t xml:space="preserve">treated as ordinary application state that can be directly manipulated by the View. Instead, access to the protected resource is mediated by the Controller after the relevant trust conditions have been evaluated.</w:t>
      </w:r>
    </w:p>
    <w:p>
      <w:pPr>
        <w:pStyle w:val="Heading3"/>
        <w:spacing w:after="160" w:before="280"/>
      </w:pPr>
      <w:r>
        <w:t xml:space="preserve">5.1.1  MVC Component Decomposition</w:t>
      </w:r>
    </w:p>
    <w:p>
      <w:pPr>
        <w:spacing w:after="40" w:before="60"/>
      </w:pPr>
      <w:r>
        <w:rPr>
          <w:rFonts w:ascii="Cambria" w:cs="Cambria" w:eastAsia="Cambria" w:hAnsi="Cambria"/>
          <w:b/>
          <w:bCs/>
          <w:color w:val="C00000"/>
          <w:sz w:val="18"/>
          <w:szCs w:val="18"/>
        </w:rPr>
        <w:t xml:space="preserve">[EDIT 30 — place at: Pages 36–37, §5.1.1 Controller decomposition] </w:t>
      </w:r>
    </w:p>
    <w:p>
      <w:pPr>
        <w:spacing w:after="140" w:line="300"/>
        <w:jc w:val="both"/>
      </w:pPr>
      <w:r>
        <w:rPr>
          <w:rFonts w:ascii="Cambria" w:cs="Cambria" w:eastAsia="Cambria" w:hAnsi="Cambria"/>
          <w:color w:val="C00000"/>
          <w:sz w:val="24"/>
          <w:szCs w:val="24"/>
        </w:rPr>
        <w:t xml:space="preserve">…eight principal functions…, adding “Cryptographic Proof Generation and Verification (Groth16)” and “On-chain Anchoring and State Synchronisation (Sepolia mint/revoke, background)”. Update Figure 4’s Controller row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4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4: Functional Decomposition of the MVC Components" title="Figure 4: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introduced by SRQ1–SRQ5 is illustrated in Figure 5. Figure 5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VL (C), determines whether the consent remains in a valid lifecycle state. The integrated decision can therefore be expressed as</w:t>
      </w:r>
    </w:p>
    <w:p>
      <w:pPr>
        <w:spacing w:after="40" w:before="60"/>
      </w:pPr>
      <w:r>
        <w:rPr>
          <w:rFonts w:ascii="Cambria" w:cs="Cambria" w:eastAsia="Cambria" w:hAnsi="Cambria"/>
          <w:b/>
          <w:bCs/>
          <w:color w:val="C00000"/>
          <w:sz w:val="18"/>
          <w:szCs w:val="18"/>
        </w:rPr>
        <w:t xml:space="preserve">[EDIT 26] </w:t>
      </w:r>
    </w:p>
    <w:p>
      <w:pPr>
        <w:spacing w:after="140" w:line="300"/>
        <w:jc w:val="both"/>
      </w:pPr>
      <w:r>
        <w:rPr>
          <w:rFonts w:ascii="Cambria" w:cs="Cambria" w:eastAsia="Cambria" w:hAnsi="Cambria"/>
          <w:color w:val="C00000"/>
          <w:sz w:val="24"/>
          <w:szCs w:val="24"/>
        </w:rPr>
        <w:t xml:space="preserve">V_L(C, j) verifies that the requester’s declared jurisdiction matches the consent’s jurisdiction L; revocation and lifecycle state are enforced within V_A. Relabel Figure 5’s V_L(C) box as “V_L(C, j) — Jurisdiction”.</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5: Trust Predicate Evaluation and Authorisation Decision Flow" title="Figure 5: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following</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pStyle w:val="Heading2"/>
        <w:spacing w:after="160" w:before="280"/>
      </w:pPr>
      <w:r>
        <w:t xml:space="preserve">5.2  Trust-Oriented Consent Authorization Workflow</w:t>
      </w:r>
    </w:p>
    <w:p>
      <w:pPr>
        <w:spacing w:after="140" w:line="300"/>
        <w:jc w:val="both"/>
      </w:pPr>
      <w:r>
        <w:rPr>
          <w:rFonts w:ascii="Cambria" w:cs="Cambria" w:eastAsia="Cambria" w:hAnsi="Cambria"/>
          <w:sz w:val="24"/>
          <w:szCs w:val="24"/>
        </w:rPr>
        <w:t xml:space="preserve">Figure 6 presents the end-to-end workflow of the proposed trust-oriented patient consent authorization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authorization, and policy compliance. Accordingly, the proposed workflow transforms a patient’s consent from a static permission record into an evaluable authorization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authorization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authorization decisions. The next stage performs decentralized identity and authority verification using Decentralized Identifiers (DIDs) and Verifiable Credentials (VCs). The purpose of this stage is to establish both the identity of the participant and the evidence supporting the participant’s claimed role or authority. Importantly, the framework explicitly separates identity authentication from authorization.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 After identity and authority verification, the framework identifies the participants required to establish the consent decision. The authorization requirement may involve multiple independent participants, such as a patient together with one or more guardians or other authorized parties. The framework then collects their independent approvals and evaluates whether the predefined authorization threshold has been satisfied. Let Av denote the set of successfully verified approvals and let N denote the required authorization threshold. Multi-party authorization is satisfied when</w:t>
      </w:r>
    </w:p>
    <w:p>
      <w:pPr>
        <w:keepNext/>
        <w:spacing w:after="60" w:before="140"/>
        <w:jc w:val="center"/>
      </w:pPr>
      <w:r>
        <w:drawing>
          <wp:inline distT="0" distB="0" distL="0" distR="0">
            <wp:extent cx="4000500" cy="6181725"/>
            <wp:effectExtent t="0" r="0" b="0" l="0"/>
            <wp:docPr id="1" name="fig6.png" descr="Figure 6: End-to-End Workflow of Trust-Oriented Consent Authorization Framework" title="Figure 6: End-to-End Workflow of Trust-Oriented Consent Authoriz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End-to-End Workflow of Trust-Oriented Consent Authorization Framework</w:t>
      </w:r>
    </w:p>
    <w:p>
      <w:pPr>
        <w:spacing w:after="40" w:before="60"/>
      </w:pPr>
      <w:r>
        <w:rPr>
          <w:rFonts w:ascii="Cambria" w:cs="Cambria" w:eastAsia="Cambria" w:hAnsi="Cambria"/>
          <w:b/>
          <w:bCs/>
          <w:color w:val="C00000"/>
          <w:sz w:val="18"/>
          <w:szCs w:val="18"/>
        </w:rPr>
        <w:t xml:space="preserve">[EDIT 29 — place at: Page 41, Figure 6 (end-to-end workflow)] </w:t>
      </w:r>
    </w:p>
    <w:p>
      <w:pPr>
        <w:spacing w:after="140" w:line="300"/>
        <w:jc w:val="both"/>
      </w:pPr>
      <w:r>
        <w:rPr>
          <w:rFonts w:ascii="Cambria" w:cs="Cambria" w:eastAsia="Cambria" w:hAnsi="Cambria"/>
          <w:color w:val="C00000"/>
          <w:sz w:val="24"/>
          <w:szCs w:val="24"/>
        </w:rPr>
        <w:t xml:space="preserve">FIGURE EDIT — after “Threshold Satisfied? Yes” insert “Mint SBT in local ledger” → “Background job anchors mint on Sepolia (async)”; insert V_T and V_L checks before the Authorisation Decision; add “Generate &amp; verify Groth16 proof” on the ALLOW branch; after “Record Audit Evidence” append “Patient revokes → on-chain revoke tx → Auditor review + independent verify_poc”. Rename “Threshold Satisfied?” to “All |G| guardians signed? (N-of-N)”.</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40" w:before="60"/>
      </w:pPr>
      <w:r>
        <w:rPr>
          <w:rFonts w:ascii="Cambria" w:cs="Cambria" w:eastAsia="Cambria" w:hAnsi="Cambria"/>
          <w:b/>
          <w:bCs/>
          <w:color w:val="C00000"/>
          <w:sz w:val="18"/>
          <w:szCs w:val="18"/>
        </w:rPr>
        <w:t xml:space="preserve">[EDIT 33 — place at: Pages 40/42/43, Eqs (33), (37)] </w:t>
      </w:r>
    </w:p>
    <w:p>
      <w:pPr>
        <w:spacing w:after="140" w:line="300"/>
        <w:jc w:val="both"/>
      </w:pPr>
      <w:r>
        <w:rPr>
          <w:rFonts w:ascii="Cambria" w:cs="Cambria" w:eastAsia="Cambria" w:hAnsi="Cambria"/>
          <w:color w:val="C00000"/>
          <w:sz w:val="24"/>
          <w:szCs w:val="24"/>
        </w:rPr>
        <w:t xml:space="preserve">(Append after Eq 37) In the implemented prototype N = |G|: every listed guardian must sign (2-of-2 in the evaluation); configurable k-of-n thresholds are future work.</w:t>
      </w:r>
    </w:p>
    <w:p>
      <w:pPr>
        <w:spacing w:after="140" w:line="300"/>
        <w:jc w:val="both"/>
      </w:pPr>
      <w:r>
        <w:rPr>
          <w:rFonts w:ascii="Cambria" w:cs="Cambria" w:eastAsia="Cambria" w:hAnsi="Cambria"/>
          <w:sz w:val="24"/>
          <w:szCs w:val="24"/>
        </w:rPr>
        <w:t xml:space="preserve">If the required threshold is not satisfied, the authorization process terminates with a denial decision. This prevents a single participant from unilaterally establishing authorization when the consent policy requires collective approval. When the authorization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authorized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consent-authorized scope. Similarly, the requested purpose must be consistent with the purpose specified in the consent. Consequently, a valid identity and sufficient multi-party approval are necessary but not sufficient conditions for access. The final authorization decision is therefore determined by the conjunction of identity and authority verification, multi-party authorization, and policy compliance. For the current stage scope of the proposed framework,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authorization threshold, and VP (C, R) represents compliance between the access request and the consent policy. If any of these conditions is false, the request is denied. Only when all required conditions are satisfied is healthcare data access granted. Finally, the framework records the resulting authorization evidence in the audit layer. Importantly, both successful and denied decisions should be recorded because a trustworthy authorization framework requires accountability not only for data that were released but also for access attempts that were rejected. The audit evidence can therefore provide a traceable record of the authorization decision, including the relevant consent, participants, policy evaluation, decision outcome, and associated evidence. In this manner, the workflow connects consent specification with identity trust, collective authorization, policy enforcement, and accountability, providing the operational foundation of the proposed trust-oriented authorization framework.</w:t>
      </w:r>
    </w:p>
    <w:p>
      <w:pPr>
        <w:pStyle w:val="Heading2"/>
        <w:spacing w:after="160" w:before="280"/>
      </w:pPr>
      <w:r>
        <w:t xml:space="preserve">5.3  Model: Trust-Aware Consent and Authorisation Representation</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highlight w:val="yellow"/>
        </w:rPr>
        <w:t xml:space="preserve">consent as a structured authorisation object that captures the security conditions under which healthcare data may be accessed. For the current current stage scope, the core consent object is represented as</w:t>
      </w:r>
    </w:p>
    <w:p>
      <w:pPr>
        <w:spacing w:after="100" w:before="40"/>
        <w:ind w:left="240"/>
      </w:pPr>
      <w:r>
        <w:rPr>
          <w:rFonts w:ascii="Cambria" w:cs="Cambria" w:eastAsia="Cambria" w:hAnsi="Cambria"/>
          <w:b/>
          <w:bCs/>
          <w:sz w:val="19"/>
          <w:szCs w:val="19"/>
          <w:highlight w:val="yellow"/>
        </w:rPr>
        <w:t xml:space="preserve">⚠ REVIEW: Source typo: duplicated word ('current current').</w:t>
      </w:r>
    </w:p>
    <w:p>
      <w:pPr>
        <w:tabs>
          <w:tab w:val="right" w:pos="9360"/>
        </w:tabs>
        <w:spacing w:after="40" w:before="60"/>
        <w:jc w:val="center"/>
      </w:pPr>
      <w:r>
        <w:rPr>
          <w:rFonts w:ascii="Cambria Math" w:cs="Cambria Math" w:eastAsia="Cambria Math" w:hAnsi="Cambria Math"/>
          <w:i/>
          <w:iCs/>
          <w:strike/>
          <w:color w:val="808080"/>
          <w:sz w:val="22"/>
          <w:szCs w:val="22"/>
        </w:rPr>
        <w:t xml:space="preserve">C = (I, A, P, E),</w:t>
      </w:r>
      <w:r>
        <w:rPr>
          <w:rFonts w:ascii="Cambria" w:cs="Cambria" w:eastAsia="Cambria" w:hAnsi="Cambria"/>
          <w:color w:val="808080"/>
          <w:sz w:val="22"/>
          <w:szCs w:val="22"/>
        </w:rPr>
        <w:t xml:space="preserve">	(36)</w:t>
      </w:r>
    </w:p>
    <w:p>
      <w:pPr>
        <w:spacing w:after="40" w:before="60"/>
      </w:pPr>
      <w:r>
        <w:rPr>
          <w:rFonts w:ascii="Cambria" w:cs="Cambria" w:eastAsia="Cambria" w:hAnsi="Cambria"/>
          <w:b/>
          <w:bCs/>
          <w:color w:val="C00000"/>
          <w:sz w:val="18"/>
          <w:szCs w:val="18"/>
        </w:rPr>
        <w:t xml:space="preserve">[EDIT 27] </w:t>
      </w:r>
    </w:p>
    <w:p>
      <w:pPr>
        <w:spacing w:after="80"/>
        <w:jc w:val="center"/>
      </w:pPr>
      <w:r>
        <w:rPr>
          <w:rFonts w:ascii="Cambria Math" w:cs="Cambria Math" w:eastAsia="Cambria Math" w:hAnsi="Cambria Math"/>
          <w:i/>
          <w:iCs/>
          <w:color w:val="C00000"/>
          <w:sz w:val="22"/>
          <w:szCs w:val="22"/>
        </w:rPr>
        <w:t xml:space="preserve">C = (I, A, P, T, L, E), with T (temporal window) and L (jurisdiction) defined as implemented.</w:t>
      </w:r>
    </w:p>
    <w:p>
      <w:pPr>
        <w:spacing w:after="140" w:line="300"/>
        <w:jc w:val="both"/>
      </w:pPr>
      <w:r>
        <w:rPr>
          <w:rFonts w:ascii="Cambria" w:cs="Cambria" w:eastAsia="Cambria" w:hAnsi="Cambria"/>
          <w:sz w:val="24"/>
          <w:szCs w:val="24"/>
        </w:rPr>
        <w:t xml:space="preserve">where I represents identity-related information associated with the relevant participants,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Let Av denote the set of participants whose identities and authority have been successfully verified,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 For the current current stage implementation, the Model focuses on the foundational dimensions of identity, authority, multi-party approval, policy constraints, and authorisation evidence. The subsequent next research will extend this representation to include temporal validity, expiration, revocation, lifecycle transitions, and formal security properties.</w:t>
      </w:r>
    </w:p>
    <w:p>
      <w:pPr>
        <w:spacing w:after="40" w:before="60"/>
      </w:pPr>
      <w:r>
        <w:rPr>
          <w:rFonts w:ascii="Cambria" w:cs="Cambria" w:eastAsia="Cambria" w:hAnsi="Cambria"/>
          <w:b/>
          <w:bCs/>
          <w:color w:val="C00000"/>
          <w:sz w:val="18"/>
          <w:szCs w:val="18"/>
        </w:rPr>
        <w:t xml:space="preserve">[EDIT 31] </w:t>
      </w:r>
    </w:p>
    <w:p>
      <w:pPr>
        <w:spacing w:after="140" w:line="300"/>
        <w:jc w:val="both"/>
      </w:pPr>
      <w:r>
        <w:rPr>
          <w:rFonts w:ascii="Cambria" w:cs="Cambria" w:eastAsia="Cambria" w:hAnsi="Cambria"/>
          <w:color w:val="C00000"/>
          <w:sz w:val="24"/>
          <w:szCs w:val="24"/>
        </w:rPr>
        <w:t xml:space="preserve">The implementation realises this representation, including temporal validity, expiration, on-chain revocation and an explicit lifecycle state machine; formal security properties remain future work.</w:t>
      </w:r>
    </w:p>
    <w:p>
      <w:pPr>
        <w:pStyle w:val="Heading2"/>
        <w:spacing w:after="160" w:before="280"/>
      </w:pPr>
      <w: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The overall current stage authorisation decision is therefore determined by the conjunction of the foundational trust conditions: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pStyle w:val="Heading2"/>
        <w:spacing w:after="160" w:before="280"/>
      </w:pPr>
      <w: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 that</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without adequately considering the specific policy conditions associated with an individual patient’s consent.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t xml:space="preserve">5.8  Authorisation Evidence and Auditability</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Blockchain or other tamper-resistant storage mechanisms may be integrated as infrastructure for preserving selected authorisation evidence. However, the blockchain itself is not treated as the source of trust. Its role is to strengthen integrity, non-repudiation, and auditability of the evidence generated by the authorisation process. The trustworthiness of the access decision instead originates from the coordinated enforcement of identity, authority, multi-party approval, and policy conditions.</w:t>
      </w:r>
    </w:p>
    <w:p>
      <w:pPr>
        <w:spacing w:after="40" w:before="60"/>
      </w:pPr>
      <w:r>
        <w:rPr>
          <w:rFonts w:ascii="Cambria" w:cs="Cambria" w:eastAsia="Cambria" w:hAnsi="Cambria"/>
          <w:b/>
          <w:bCs/>
          <w:color w:val="C00000"/>
          <w:sz w:val="18"/>
          <w:szCs w:val="18"/>
        </w:rPr>
        <w:t xml:space="preserve">[EDIT 32] </w:t>
      </w:r>
    </w:p>
    <w:p>
      <w:pPr>
        <w:spacing w:after="140" w:line="300"/>
        <w:jc w:val="both"/>
      </w:pPr>
      <w:r>
        <w:rPr>
          <w:rFonts w:ascii="Cambria" w:cs="Cambria" w:eastAsia="Cambria" w:hAnsi="Cambria"/>
          <w:color w:val="C00000"/>
          <w:sz w:val="24"/>
          <w:szCs w:val="24"/>
        </w:rPr>
        <w:t xml:space="preserve">In the implementation, consent activation and revocation are anchored on the Sepolia blockchain via the ConsentSBTv3 soulbound contract; anchoring is asynchronous, and the ledger records each transaction hash and block number.</w:t>
      </w:r>
    </w:p>
    <w:p>
      <w:pPr>
        <w:pStyle w:val="Heading2"/>
        <w:spacing w:after="160" w:before="280"/>
      </w:pPr>
      <w: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can be summarised as shown in Table 5.</w:t>
      </w:r>
    </w:p>
    <w:p>
      <w:pPr>
        <w:pStyle w:val="Heading2"/>
        <w:spacing w:after="160" w:before="280"/>
      </w:pPr>
      <w: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Heading2"/>
        <w:spacing w:after="160" w:before="280"/>
      </w:pPr>
      <w: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 For the current stage, the architecture therefore establishes the foundational mechanisms required to answer RQ1–RQ4. The implemented HALAH prototype provides the practical</w:t>
      </w:r>
    </w:p>
    <w:p>
      <w:pPr>
        <w:keepNext/>
        <w:spacing w:after="80" w:before="160"/>
        <w:jc w:val="center"/>
      </w:pPr>
      <w:r>
        <w:rPr>
          <w:rFonts w:ascii="Cambria" w:cs="Cambria" w:eastAsia="Cambria" w:hAnsi="Cambria"/>
          <w:b/>
          <w:bCs/>
          <w:sz w:val="21"/>
          <w:szCs w:val="21"/>
        </w:rPr>
        <w:t xml:space="preserve">Table 5: </w:t>
      </w:r>
      <w:r>
        <w:rPr>
          <w:rFonts w:ascii="Cambria" w:cs="Cambria" w:eastAsia="Cambria" w:hAnsi="Cambria"/>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Prevents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Prevents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Prevents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Prevents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Provides traceability and supports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Prevents user-interface actions from being interpreted directly as trusted authorisation outcomes.</w:t>
            </w:r>
          </w:p>
        </w:tc>
      </w:tr>
    </w:tbl>
    <w:p>
      <w:pPr>
        <w:spacing w:after="180"/>
      </w:pPr>
    </w:p>
    <w:p>
      <w:pPr>
        <w:spacing w:after="40" w:before="60"/>
      </w:pPr>
      <w:r>
        <w:rPr>
          <w:rFonts w:ascii="Cambria" w:cs="Cambria" w:eastAsia="Cambria" w:hAnsi="Cambria"/>
          <w:b/>
          <w:bCs/>
          <w:color w:val="C00000"/>
          <w:sz w:val="18"/>
          <w:szCs w:val="18"/>
        </w:rPr>
        <w:t xml:space="preserve">[EDIT 35 — place at: Page 49, Table 5 (security properties)] </w:t>
      </w:r>
    </w:p>
    <w:p>
      <w:pPr>
        <w:spacing w:after="140" w:line="300"/>
        <w:jc w:val="both"/>
      </w:pPr>
      <w:r>
        <w:rPr>
          <w:rFonts w:ascii="Cambria" w:cs="Cambria" w:eastAsia="Cambria" w:hAnsi="Cambria"/>
          <w:color w:val="C00000"/>
          <w:sz w:val="24"/>
          <w:szCs w:val="24"/>
        </w:rPr>
        <w:t xml:space="preserve">TABLE EDIT — add rows: Temporal validity (VT enforced; on-chain notBefore/expiry); Jurisdictional constraint (VL; live SA-vs-AU denial); Revocability (patient revoke; on-chain revoke; fail-closed VA). Change “future verification” to “independent verification (verify_poc re-checks every transaction against Sepolia: ALL CHECKS PASSED)”.</w:t>
      </w:r>
    </w:p>
    <w:p>
      <w:pPr>
        <w:keepNext/>
        <w:spacing w:after="80" w:before="160"/>
        <w:jc w:val="center"/>
      </w:pPr>
      <w:r>
        <w:rPr>
          <w:rFonts w:ascii="Cambria" w:cs="Cambria" w:eastAsia="Cambria" w:hAnsi="Cambria"/>
          <w:b/>
          <w:bCs/>
          <w:sz w:val="21"/>
          <w:szCs w:val="21"/>
        </w:rPr>
        <w:t xml:space="preserve">Table 6: </w:t>
      </w:r>
      <w:r>
        <w:rPr>
          <w:rFonts w:ascii="Cambria" w:cs="Cambria" w:eastAsia="Cambria" w:hAnsi="Cambria"/>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Provides formal assurance of the defined trust and authorisation properties and empirically evaluates whether the implemented framework correctly enforces authorised and unauthorised healthcare data-access decisions.</w:t>
            </w:r>
          </w:p>
        </w:tc>
      </w:tr>
    </w:tbl>
    <w:p>
      <w:pPr>
        <w:spacing w:after="180"/>
      </w:pPr>
    </w:p>
    <w:p>
      <w:pPr>
        <w:spacing w:after="40" w:before="60"/>
      </w:pPr>
      <w:r>
        <w:rPr>
          <w:rFonts w:ascii="Cambria" w:cs="Cambria" w:eastAsia="Cambria" w:hAnsi="Cambria"/>
          <w:b/>
          <w:bCs/>
          <w:color w:val="C00000"/>
          <w:sz w:val="18"/>
          <w:szCs w:val="18"/>
        </w:rPr>
        <w:t xml:space="preserve">[EDIT 36 — place at: Page 50, Table 6, RO5/RO6 rows] </w:t>
      </w:r>
    </w:p>
    <w:p>
      <w:pPr>
        <w:spacing w:after="140" w:line="300"/>
        <w:jc w:val="both"/>
      </w:pPr>
      <w:r>
        <w:rPr>
          <w:rFonts w:ascii="Cambria" w:cs="Cambria" w:eastAsia="Cambria" w:hAnsi="Cambria"/>
          <w:color w:val="C00000"/>
          <w:sz w:val="24"/>
          <w:szCs w:val="24"/>
        </w:rPr>
        <w:t xml:space="preserve">TABLE EDIT — RO5 contribution: “Implemented: VT enforcement, lifecycle state machine, end-to-end revocation including on-chain”. RO6 mechanism: “Empirical validation (automated tests, live negative test, independent chain verification); formal proofs remain future work”.</w:t>
      </w:r>
    </w:p>
    <w:p>
      <w:pPr>
        <w:spacing w:after="140" w:line="300"/>
        <w:jc w:val="both"/>
      </w:pPr>
      <w:r>
        <w:rPr>
          <w:rFonts w:ascii="Cambria" w:cs="Cambria" w:eastAsia="Cambria" w:hAnsi="Cambria"/>
          <w:sz w:val="24"/>
          <w:szCs w:val="24"/>
          <w:highlight w:val="yellow"/>
        </w:rPr>
        <w:t xml:space="preserve">environment in which these mechanisms can be instantiated and evaluated through representative healthcare data-sharing scenarios. 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 Accordingly, the current stage architecture establishes the foundational security core of the research, while next stagewill investigate whether this core can maintain trust dynamically over time, satisfy formally defined security properties, and consistently enforce the complete trust-oriented authorisation model under representative and adversarial healthcare data-sharing conditions.</w:t>
      </w:r>
    </w:p>
    <w:p>
      <w:pPr>
        <w:spacing w:after="100" w:before="40"/>
        <w:ind w:left="240"/>
      </w:pPr>
      <w:r>
        <w:rPr>
          <w:rFonts w:ascii="Cambria" w:cs="Cambria" w:eastAsia="Cambria" w:hAnsi="Cambria"/>
          <w:b/>
          <w:bCs/>
          <w:sz w:val="19"/>
          <w:szCs w:val="19"/>
          <w:highlight w:val="yellow"/>
        </w:rPr>
        <w:t xml:space="preserve">⚠ REVIEW: Source typo: 'next stagewill' should read 'next stage will'.</w:t>
      </w:r>
    </w:p>
    <w:p>
      <w:pPr>
        <w:pStyle w:val="Heading1"/>
        <w:pageBreakBefore/>
        <w:spacing w:after="160" w:before="400"/>
      </w:pPr>
      <w:r>
        <w:t xml:space="preserve">6  Proposed Solution</w:t>
      </w:r>
    </w:p>
    <w:p>
      <w:pPr>
        <w:pStyle w:val="Heading2"/>
        <w:spacing w:after="160" w:before="280"/>
      </w:pPr>
      <w: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40" w:before="60"/>
        <w:jc w:val="center"/>
      </w:pPr>
      <w:r>
        <w:rPr>
          <w:rFonts w:ascii="Cambria Math" w:cs="Cambria Math" w:eastAsia="Cambria Math" w:hAnsi="Cambria Math"/>
          <w:i/>
          <w:iCs/>
          <w:strike/>
          <w:color w:val="808080"/>
          <w:sz w:val="22"/>
          <w:szCs w:val="22"/>
        </w:rPr>
        <w:t xml:space="preserve">C = (I, A, P, E),</w:t>
      </w:r>
      <w:r>
        <w:rPr>
          <w:rFonts w:ascii="Cambria" w:cs="Cambria" w:eastAsia="Cambria" w:hAnsi="Cambria"/>
          <w:color w:val="808080"/>
          <w:sz w:val="22"/>
          <w:szCs w:val="22"/>
        </w:rPr>
        <w:t xml:space="preserve">	(51)</w:t>
      </w:r>
    </w:p>
    <w:p>
      <w:pPr>
        <w:spacing w:after="40" w:before="60"/>
      </w:pPr>
      <w:r>
        <w:rPr>
          <w:rFonts w:ascii="Cambria" w:cs="Cambria" w:eastAsia="Cambria" w:hAnsi="Cambria"/>
          <w:b/>
          <w:bCs/>
          <w:color w:val="C00000"/>
          <w:sz w:val="18"/>
          <w:szCs w:val="18"/>
        </w:rPr>
        <w:t xml:space="preserve">[EDIT 37] </w:t>
      </w:r>
    </w:p>
    <w:p>
      <w:pPr>
        <w:spacing w:after="140" w:line="300"/>
        <w:jc w:val="both"/>
      </w:pPr>
      <w:r>
        <w:rPr>
          <w:rFonts w:ascii="Cambria" w:cs="Cambria" w:eastAsia="Cambria" w:hAnsi="Cambria"/>
          <w:color w:val="C00000"/>
          <w:sz w:val="24"/>
          <w:szCs w:val="24"/>
        </w:rPr>
        <w:t xml:space="preserve">C = (I, A, P, T, L, E), where T represents the temporal validity window of the consent and L represents the jurisdiction in which the consent may be exercised.</w:t>
      </w:r>
    </w:p>
    <w:p>
      <w:pPr>
        <w:spacing w:after="140" w:line="300"/>
        <w:jc w:val="both"/>
      </w:pPr>
      <w:r>
        <w:rPr>
          <w:rFonts w:ascii="Cambria" w:cs="Cambria" w:eastAsia="Cambria" w:hAnsi="Cambria"/>
          <w:sz w:val="24"/>
          <w:szCs w:val="24"/>
        </w:rPr>
        <w:t xml:space="preserve">where I represents patient and participant identity information, A represents authorisation requirements, P represents policy constraints, and E 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7: RO1 workflow for trust-centric consent creation" title="Figure 7: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RO1 workflow for trust-centric consent creation</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40" w:before="60"/>
      </w:pPr>
      <w:r>
        <w:rPr>
          <w:rFonts w:ascii="Cambria" w:cs="Cambria" w:eastAsia="Cambria" w:hAnsi="Cambria"/>
          <w:b/>
          <w:bCs/>
          <w:color w:val="C00000"/>
          <w:sz w:val="18"/>
          <w:szCs w:val="18"/>
        </w:rPr>
        <w:t xml:space="preserve">[EDIT 39 — place at: Pages 53–54, Procedure 6.1.2 and closing sequence] </w:t>
      </w:r>
    </w:p>
    <w:p>
      <w:pPr>
        <w:spacing w:after="140" w:line="300"/>
        <w:jc w:val="both"/>
      </w:pPr>
      <w:r>
        <w:rPr>
          <w:rFonts w:ascii="Cambria" w:cs="Cambria" w:eastAsia="Cambria" w:hAnsi="Cambria"/>
          <w:color w:val="C00000"/>
          <w:sz w:val="24"/>
          <w:szCs w:val="24"/>
        </w:rPr>
        <w:t xml:space="preserve">Insert “Step 6a — Validate the Jurisdiction. The declared jurisdiction L is validated as a well-formed ISO alpha-2 territory code (AU in the demonstrated transactions) and bound to the consent object, since the access decision is later evaluated against it.” Sequence: I_p → D → G → P_u → S_C → T → L → A → id_C → C → E.</w:t>
      </w:r>
    </w:p>
    <w:p>
      <w:pPr>
        <w:pStyle w:val="Heading3"/>
        <w:spacing w:after="160" w:before="280"/>
      </w:pPr>
      <w: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40" w:before="60"/>
      </w:pPr>
      <w:r>
        <w:rPr>
          <w:rFonts w:ascii="Cambria" w:cs="Cambria" w:eastAsia="Cambria" w:hAnsi="Cambria"/>
          <w:b/>
          <w:bCs/>
          <w:color w:val="C00000"/>
          <w:sz w:val="18"/>
          <w:szCs w:val="18"/>
        </w:rPr>
        <w:t xml:space="preserve">[EDIT 40 — place at: Page 53, Steps 1–2] </w:t>
      </w:r>
    </w:p>
    <w:p>
      <w:pPr>
        <w:spacing w:after="140" w:line="300"/>
        <w:jc w:val="both"/>
      </w:pPr>
      <w:r>
        <w:rPr>
          <w:rFonts w:ascii="Cambria" w:cs="Cambria" w:eastAsia="Cambria" w:hAnsi="Cambria"/>
          <w:color w:val="C00000"/>
          <w:sz w:val="24"/>
          <w:szCs w:val="24"/>
        </w:rPr>
        <w:t xml:space="preserve">In the current prototype this validation is a structural check that each identifier is a well-formed DID; the doctor is not independently authenticated, and credential-based verification is deferred to the production design.</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C = (I, A, P, 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Patient identity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authorised doctor D, guardian set G, purpose P</w:t>
      </w:r>
      <w:r>
        <w:rPr>
          <w:rFonts w:ascii="Cambria" w:cs="Cambria" w:eastAsia="Cambria" w:hAnsi="Cambria"/>
          <w:sz w:val="21"/>
          <w:szCs w:val="21"/>
          <w:vertAlign w:val="subscript"/>
        </w:rPr>
        <w:t xml:space="preserve">u</w:t>
      </w:r>
      <w:r>
        <w:rPr>
          <w:rFonts w:ascii="Cambria" w:cs="Cambria" w:eastAsia="Cambria" w:hAnsi="Cambria"/>
          <w:sz w:val="21"/>
          <w:szCs w:val="21"/>
        </w:rPr>
        <w:t xml:space="preserve">, data scope S</w:t>
      </w:r>
      <w:r>
        <w:rPr>
          <w:rFonts w:ascii="Cambria" w:cs="Cambria" w:eastAsia="Cambria" w:hAnsi="Cambria"/>
          <w:sz w:val="21"/>
          <w:szCs w:val="21"/>
          <w:vertAlign w:val="subscript"/>
        </w:rPr>
        <w:t xml:space="preserve">C</w:t>
      </w:r>
      <w:r>
        <w:rPr>
          <w:rFonts w:ascii="Cambria" w:cs="Cambria" w:eastAsia="Cambria" w:hAnsi="Cambria"/>
          <w:sz w:val="21"/>
          <w:szCs w:val="21"/>
        </w:rPr>
        <w:t xml:space="preserve">, validity interval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AAAAAA"/>
          <w:sz w:val="18"/>
          <w:szCs w:val="18"/>
        </w:rPr>
        <w:t xml:space="preserve">15:  </w:t>
      </w:r>
      <w:r>
        <w:rPr>
          <w:rFonts w:ascii="Cambria" w:cs="Cambria" w:eastAsia="Cambria" w:hAnsi="Cambria"/>
          <w:strike/>
          <w:color w:val="808080"/>
          <w:sz w:val="21"/>
          <w:szCs w:val="21"/>
        </w:rPr>
        <w:t xml:space="preserve">Construct C = (I, A, P, E)</w:t>
      </w:r>
    </w:p>
    <w:p>
      <w:pPr>
        <w:spacing w:after="20"/>
        <w:ind w:left="240"/>
      </w:pPr>
      <w:r>
        <w:rPr>
          <w:rFonts w:ascii="Cambria" w:cs="Cambria" w:eastAsia="Cambria" w:hAnsi="Cambria"/>
          <w:color w:val="C00000"/>
          <w:sz w:val="18"/>
          <w:szCs w:val="18"/>
        </w:rPr>
        <w:t xml:space="preserve">15:  </w:t>
      </w:r>
      <w:r>
        <w:rPr>
          <w:rFonts w:ascii="Cambria" w:cs="Cambria" w:eastAsia="Cambria" w:hAnsi="Cambria"/>
          <w:color w:val="C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C00000"/>
          <w:sz w:val="18"/>
          <w:szCs w:val="18"/>
        </w:rPr>
        <w:t xml:space="preserve">16a:  </w:t>
      </w:r>
      <w:r>
        <w:rPr>
          <w:rFonts w:ascii="Cambria" w:cs="Cambria" w:eastAsia="Cambria" w:hAnsi="Cambria"/>
          <w:color w:val="C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The code therefore demonstrates the separation between participant identity verification and the subsequent authorisation operation. The output of RO2 is not an access-grant decision. It is a verified identity and authority result that can be consumed by RO3 and RO4. This separation prevents a participant from obtaining access merely by presenting a valid identity credential.</w:t>
      </w:r>
    </w:p>
    <w:p>
      <w:pPr>
        <w:spacing w:after="40" w:before="60"/>
      </w:pPr>
      <w:r>
        <w:rPr>
          <w:rFonts w:ascii="Cambria" w:cs="Cambria" w:eastAsia="Cambria" w:hAnsi="Cambria"/>
          <w:b/>
          <w:bCs/>
          <w:color w:val="C00000"/>
          <w:sz w:val="18"/>
          <w:szCs w:val="18"/>
        </w:rPr>
        <w:t xml:space="preserve">[EDIT 42] </w:t>
      </w:r>
    </w:p>
    <w:p>
      <w:pPr>
        <w:spacing w:after="140" w:line="300"/>
        <w:jc w:val="both"/>
      </w:pPr>
      <w:r>
        <w:rPr>
          <w:rFonts w:ascii="Cambria" w:cs="Cambria" w:eastAsia="Cambria" w:hAnsi="Cambria"/>
          <w:color w:val="C00000"/>
          <w:sz w:val="24"/>
          <w:szCs w:val="24"/>
        </w:rPr>
        <w:t xml:space="preserve">In the HALAH implementation, the guardian’s authority is evidenced by an EIP-712 typed-data signature bound to the consent, the guardian DID and the Sepolia chain identifier, verified by off-chain signer recovery; the VC check preceding it is presently a DID-format check, with the signing keys derived deterministically from the guardian DIDs in place of wallet-held keys.</w:t>
      </w:r>
    </w:p>
    <w:p>
      <w:pPr>
        <w:pStyle w:val="Heading3"/>
        <w:spacing w:after="160" w:before="280"/>
      </w:pPr>
      <w: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8: RO2 workflow for decentralised identity and authority verification" title="Figure 8: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40" w:before="60"/>
      </w:pPr>
      <w:r>
        <w:rPr>
          <w:rFonts w:ascii="Cambria" w:cs="Cambria" w:eastAsia="Cambria" w:hAnsi="Cambria"/>
          <w:b/>
          <w:bCs/>
          <w:color w:val="C00000"/>
          <w:sz w:val="18"/>
          <w:szCs w:val="18"/>
        </w:rPr>
        <w:t xml:space="preserve">[EDIT 41] </w:t>
      </w:r>
    </w:p>
    <w:p>
      <w:pPr>
        <w:spacing w:after="140" w:line="300"/>
        <w:jc w:val="both"/>
      </w:pPr>
      <w:r>
        <w:rPr>
          <w:rFonts w:ascii="Cambria" w:cs="Cambria" w:eastAsia="Cambria" w:hAnsi="Cambria"/>
          <w:color w:val="C00000"/>
          <w:sz w:val="24"/>
          <w:szCs w:val="24"/>
        </w:rPr>
        <w:t xml:space="preserve">This condition defines the target verification model. The present prototype implements V_I(u) as a structural DID-format check and records the outcome; cryptographic VC validation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140" w:line="300"/>
        <w:jc w:val="both"/>
      </w:pPr>
      <w:r>
        <w:rPr>
          <w:rFonts w:ascii="Cambria" w:cs="Cambria" w:eastAsia="Cambria" w:hAnsi="Cambria"/>
          <w:sz w:val="24"/>
          <w:szCs w:val="24"/>
        </w:rPr>
        <w:t xml:space="preserve">The threshold mechanism establishes collective authorisation without requiring every possible participant to approve. For example, a consent may require two valid guardian approvals. In this case, one valid approval is insufficient, whereas two valid approvals satisfy the threshold.</w:t>
      </w:r>
    </w:p>
    <w:p>
      <w:pPr>
        <w:spacing w:after="40" w:before="60"/>
      </w:pPr>
      <w:r>
        <w:rPr>
          <w:rFonts w:ascii="Cambria" w:cs="Cambria" w:eastAsia="Cambria" w:hAnsi="Cambria"/>
          <w:b/>
          <w:bCs/>
          <w:color w:val="C00000"/>
          <w:sz w:val="18"/>
          <w:szCs w:val="18"/>
        </w:rPr>
        <w:t xml:space="preserve">[EDIT 43] </w:t>
      </w:r>
    </w:p>
    <w:p>
      <w:pPr>
        <w:spacing w:after="140" w:line="300"/>
        <w:jc w:val="both"/>
      </w:pPr>
      <w:r>
        <w:rPr>
          <w:rFonts w:ascii="Cambria" w:cs="Cambria" w:eastAsia="Cambria" w:hAnsi="Cambria"/>
          <w:color w:val="C00000"/>
          <w:sz w:val="24"/>
          <w:szCs w:val="24"/>
        </w:rPr>
        <w:t xml:space="preserve">In the current implementation the threshold is fixed to the full guardian set, N = |G|, so every designated guardian must approve before activation; the demonstrated configuration is therefore 2-of-2. A configurable k-of-n threshold is a direct generalisation left to future work.</w:t>
      </w:r>
    </w:p>
    <w:p>
      <w:pPr>
        <w:pStyle w:val="Heading3"/>
        <w:spacing w:after="160" w:before="280"/>
      </w:pPr>
      <w: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pStyle w:val="Heading3"/>
        <w:spacing w:after="160" w:before="280"/>
      </w:pPr>
      <w: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9: RO3 workflow for threshold-based multi-party authorisation" title="Figure 9: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that u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40" w:before="60"/>
      </w:pPr>
      <w:r>
        <w:rPr>
          <w:rFonts w:ascii="Cambria" w:cs="Cambria" w:eastAsia="Cambria" w:hAnsi="Cambria"/>
          <w:b/>
          <w:bCs/>
          <w:color w:val="C00000"/>
          <w:sz w:val="18"/>
          <w:szCs w:val="18"/>
        </w:rPr>
        <w:t xml:space="preserve">[EDIT 44 — place at: Page 63, Procedure 6.3.2, Step 2] </w:t>
      </w:r>
    </w:p>
    <w:p>
      <w:pPr>
        <w:spacing w:after="140" w:line="300"/>
        <w:jc w:val="both"/>
      </w:pPr>
      <w:r>
        <w:rPr>
          <w:rFonts w:ascii="Cambria" w:cs="Cambria" w:eastAsia="Cambria" w:hAnsi="Cambria"/>
          <w:color w:val="C00000"/>
          <w:sz w:val="24"/>
          <w:szCs w:val="24"/>
        </w:rPr>
        <w:t xml:space="preserve">Step 2 — Derive the Authorisation Threshold. The system derives the threshold from the guardian set as N = |G|, so that activation requires a valid approval from every designated guardian.</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Authorisation(C) = { ALLOW,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PENDING,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sz w:val="21"/>
          <w:szCs w:val="21"/>
        </w:rPr>
        <w:t xml:space="preserve">Require: </w:t>
      </w:r>
      <w:r>
        <w:rPr>
          <w:rFonts w:ascii="Cambria" w:cs="Cambria" w:eastAsia="Cambria" w:hAnsi="Cambria"/>
          <w:strike/>
          <w:color w:val="808080"/>
          <w:sz w:val="21"/>
          <w:szCs w:val="21"/>
        </w:rPr>
        <w:t xml:space="preserve">Consent object C, participant approval a, threshold N</w:t>
      </w:r>
    </w:p>
    <w:p>
      <w:pPr>
        <w:spacing w:after="20"/>
      </w:pPr>
      <w:r>
        <w:rPr>
          <w:rFonts w:ascii="Cambria" w:cs="Cambria" w:eastAsia="Cambria" w:hAnsi="Cambria"/>
          <w:b/>
          <w:bCs/>
          <w:color w:val="C00000"/>
          <w:sz w:val="21"/>
          <w:szCs w:val="21"/>
        </w:rPr>
        <w:t xml:space="preserve">Require: </w:t>
      </w:r>
      <w:r>
        <w:rPr>
          <w:rFonts w:ascii="Cambria" w:cs="Cambria" w:eastAsia="Cambria" w:hAnsi="Cambria"/>
          <w:color w:val="C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C00000"/>
          <w:sz w:val="18"/>
          <w:szCs w:val="18"/>
        </w:rPr>
        <w:t xml:space="preserve">1a:  </w:t>
      </w:r>
      <w:r>
        <w:rPr>
          <w:rFonts w:ascii="Cambria" w:cs="Cambria" w:eastAsia="Cambria" w:hAnsi="Cambria"/>
          <w:color w:val="C00000"/>
          <w:sz w:val="21"/>
          <w:szCs w:val="21"/>
        </w:rPr>
        <w:t xml:space="preserve">N ← |G|</w:t>
      </w:r>
    </w:p>
    <w:p>
      <w:pPr>
        <w:spacing w:after="20"/>
        <w:ind w:left="240"/>
      </w:pPr>
      <w:r>
        <w:rPr>
          <w:rFonts w:ascii="Cambria" w:cs="Cambria" w:eastAsia="Cambria" w:hAnsi="Cambria"/>
          <w:color w:val="AAAAAA"/>
          <w:sz w:val="18"/>
          <w:szCs w:val="18"/>
        </w:rPr>
        <w:t xml:space="preserve">2:  </w:t>
      </w:r>
      <w:r>
        <w:rPr>
          <w:rFonts w:ascii="Cambria" w:cs="Cambria" w:eastAsia="Cambria" w:hAnsi="Cambria"/>
          <w:strike/>
          <w:color w:val="808080"/>
          <w:sz w:val="21"/>
          <w:szCs w:val="21"/>
        </w:rPr>
        <w:t xml:space="preserve">Verify identity and authority of participant submitting a</w:t>
      </w:r>
    </w:p>
    <w:p>
      <w:pPr>
        <w:spacing w:after="20"/>
        <w:ind w:left="240"/>
      </w:pPr>
      <w:r>
        <w:rPr>
          <w:rFonts w:ascii="Cambria" w:cs="Cambria" w:eastAsia="Cambria" w:hAnsi="Cambria"/>
          <w:color w:val="C00000"/>
          <w:sz w:val="18"/>
          <w:szCs w:val="18"/>
        </w:rPr>
        <w:t xml:space="preserve">2:  </w:t>
      </w:r>
      <w:r>
        <w:rPr>
          <w:rFonts w:ascii="Cambria" w:cs="Cambria" w:eastAsia="Cambria" w:hAnsi="Cambria"/>
          <w:color w:val="C00000"/>
          <w:sz w:val="21"/>
          <w:szCs w:val="21"/>
        </w:rPr>
        <w:t xml:space="preserve">signer ← RecoverEIP712(domain, {id</w:t>
      </w:r>
      <w:r>
        <w:rPr>
          <w:rFonts w:ascii="Cambria" w:cs="Cambria" w:eastAsia="Cambria" w:hAnsi="Cambria"/>
          <w:color w:val="C00000"/>
          <w:sz w:val="21"/>
          <w:szCs w:val="21"/>
          <w:vertAlign w:val="subscript"/>
        </w:rPr>
        <w:t xml:space="preserve">C</w:t>
      </w:r>
      <w:r>
        <w:rPr>
          <w:rFonts w:ascii="Cambria" w:cs="Cambria" w:eastAsia="Cambria" w:hAnsi="Cambria"/>
          <w:color w:val="C00000"/>
          <w:sz w:val="21"/>
          <w:szCs w:val="21"/>
        </w:rPr>
        <w:t xml:space="preserve">, g, APPROVE}, sig</w:t>
      </w:r>
      <w:r>
        <w:rPr>
          <w:rFonts w:ascii="Cambria" w:cs="Cambria" w:eastAsia="Cambria" w:hAnsi="Cambria"/>
          <w:color w:val="C00000"/>
          <w:sz w:val="21"/>
          <w:szCs w:val="21"/>
          <w:vertAlign w:val="subscript"/>
        </w:rPr>
        <w:t xml:space="preserve">a</w:t>
      </w:r>
      <w:r>
        <w:rPr>
          <w:rFonts w:ascii="Cambria" w:cs="Cambria" w:eastAsia="Cambria" w:hAnsi="Cambria"/>
          <w:color w:val="C00000"/>
          <w:sz w:val="21"/>
          <w:szCs w:val="21"/>
        </w:rPr>
        <w:t xml:space="preserve">)   ▷ off-chain recovery</w:t>
      </w:r>
    </w:p>
    <w:p>
      <w:pPr>
        <w:spacing w:after="20"/>
        <w:ind w:left="240"/>
      </w:pPr>
      <w:r>
        <w:rPr>
          <w:rFonts w:ascii="Cambria" w:cs="Cambria" w:eastAsia="Cambria" w:hAnsi="Cambria"/>
          <w:color w:val="AAAAAA"/>
          <w:sz w:val="18"/>
          <w:szCs w:val="18"/>
        </w:rPr>
        <w:t xml:space="preserve">3:  </w:t>
      </w:r>
      <w:r>
        <w:rPr>
          <w:rFonts w:ascii="Cambria" w:cs="Cambria" w:eastAsia="Cambria" w:hAnsi="Cambria"/>
          <w:b/>
          <w:bCs/>
          <w:strike/>
          <w:color w:val="808080"/>
          <w:sz w:val="21"/>
          <w:szCs w:val="21"/>
        </w:rPr>
        <w:t xml:space="preserve">if</w:t>
      </w:r>
      <w:r>
        <w:rPr>
          <w:rFonts w:ascii="Cambria" w:cs="Cambria" w:eastAsia="Cambria" w:hAnsi="Cambria"/>
          <w:strike/>
          <w:color w:val="808080"/>
          <w:sz w:val="21"/>
          <w:szCs w:val="21"/>
        </w:rPr>
        <w:t xml:space="preserve"> verification fails </w:t>
      </w:r>
      <w:r>
        <w:rPr>
          <w:rFonts w:ascii="Cambria" w:cs="Cambria" w:eastAsia="Cambria" w:hAnsi="Cambria"/>
          <w:b/>
          <w:bCs/>
          <w:strike/>
          <w:color w:val="808080"/>
          <w:sz w:val="21"/>
          <w:szCs w:val="21"/>
        </w:rPr>
        <w:t xml:space="preserve">then</w:t>
      </w:r>
    </w:p>
    <w:p>
      <w:pPr>
        <w:spacing w:after="20"/>
        <w:ind w:left="240"/>
      </w:pPr>
      <w:r>
        <w:rPr>
          <w:rFonts w:ascii="Cambria" w:cs="Cambria" w:eastAsia="Cambria" w:hAnsi="Cambria"/>
          <w:color w:val="C00000"/>
          <w:sz w:val="18"/>
          <w:szCs w:val="18"/>
        </w:rPr>
        <w:t xml:space="preserve">3: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signer ≠ Addr(g), or the signature binds a different consent, guardian, or chain </w:t>
      </w:r>
      <w:r>
        <w:rPr>
          <w:rFonts w:ascii="Cambria" w:cs="Cambria" w:eastAsia="Cambria" w:hAnsi="Cambria"/>
          <w:b/>
          <w:bCs/>
          <w:color w:val="C00000"/>
          <w:sz w:val="21"/>
          <w:szCs w:val="21"/>
        </w:rPr>
        <w:t xml:space="preserve">then</w:t>
      </w:r>
    </w:p>
    <w:p>
      <w:pPr>
        <w:spacing w:after="20"/>
        <w:ind w:left="600"/>
      </w:pPr>
      <w:r>
        <w:rPr>
          <w:rFonts w:ascii="Cambria" w:cs="Cambria" w:eastAsia="Cambria" w:hAnsi="Cambria"/>
          <w:color w:val="555555"/>
          <w:sz w:val="18"/>
          <w:szCs w:val="18"/>
        </w:rPr>
        <w:t xml:space="preserve">4: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12: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13: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end if</w:t>
      </w:r>
    </w:p>
    <w:p>
      <w:pPr>
        <w:spacing w:after="20"/>
        <w:ind w:left="240"/>
      </w:pPr>
      <w:r>
        <w:rPr>
          <w:rFonts w:ascii="Cambria" w:cs="Cambria" w:eastAsia="Cambria" w:hAnsi="Cambria"/>
          <w:color w:val="AAAAAA"/>
          <w:sz w:val="18"/>
          <w:szCs w:val="18"/>
        </w:rPr>
        <w:t xml:space="preserve">15:  </w:t>
      </w:r>
      <w:r>
        <w:rPr>
          <w:rFonts w:ascii="Cambria" w:cs="Cambria" w:eastAsia="Cambria" w:hAnsi="Cambria"/>
          <w:strike/>
          <w:color w:val="808080"/>
          <w:sz w:val="21"/>
          <w:szCs w:val="21"/>
        </w:rPr>
        <w:t xml:space="preserve">Record valid approval a</w:t>
      </w:r>
    </w:p>
    <w:p>
      <w:pPr>
        <w:spacing w:after="20"/>
        <w:ind w:left="240"/>
      </w:pPr>
      <w:r>
        <w:rPr>
          <w:rFonts w:ascii="Cambria" w:cs="Cambria" w:eastAsia="Cambria" w:hAnsi="Cambria"/>
          <w:color w:val="C00000"/>
          <w:sz w:val="18"/>
          <w:szCs w:val="18"/>
        </w:rPr>
        <w:t xml:space="preserve">15:  </w:t>
      </w:r>
      <w:r>
        <w:rPr>
          <w:rFonts w:ascii="Cambria" w:cs="Cambria" w:eastAsia="Cambria" w:hAnsi="Cambria"/>
          <w:color w:val="C00000"/>
          <w:sz w:val="21"/>
          <w:szCs w:val="21"/>
        </w:rPr>
        <w:t xml:space="preserve">Record signature_data[g] ← (signer, sig</w:t>
      </w:r>
      <w:r>
        <w:rPr>
          <w:rFonts w:ascii="Cambria" w:cs="Cambria" w:eastAsia="Cambria" w:hAnsi="Cambria"/>
          <w:color w:val="C00000"/>
          <w:sz w:val="21"/>
          <w:szCs w:val="21"/>
          <w:vertAlign w:val="subscript"/>
        </w:rPr>
        <w:t xml:space="preserve">a</w:t>
      </w:r>
      <w:r>
        <w:rPr>
          <w:rFonts w:ascii="Cambria" w:cs="Cambria" w:eastAsia="Cambria" w:hAnsi="Cambria"/>
          <w:color w:val="C00000"/>
          <w:sz w:val="21"/>
          <w:szCs w:val="21"/>
        </w:rPr>
        <w:t xml:space="preserv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AAAAAA"/>
          <w:sz w:val="18"/>
          <w:szCs w:val="18"/>
        </w:rPr>
        <w:t xml:space="preserve">19:  </w:t>
      </w:r>
      <w:r>
        <w:rPr>
          <w:rFonts w:ascii="Cambria" w:cs="Cambria" w:eastAsia="Cambria" w:hAnsi="Cambria"/>
          <w:strike/>
          <w:color w:val="808080"/>
          <w:sz w:val="21"/>
          <w:szCs w:val="21"/>
        </w:rPr>
        <w:t xml:space="preserve">Generate activation or token evidence</w:t>
      </w:r>
    </w:p>
    <w:p>
      <w:pPr>
        <w:spacing w:after="20"/>
        <w:ind w:left="600"/>
      </w:pPr>
      <w:r>
        <w:rPr>
          <w:rFonts w:ascii="Cambria" w:cs="Cambria" w:eastAsia="Cambria" w:hAnsi="Cambria"/>
          <w:color w:val="C00000"/>
          <w:sz w:val="18"/>
          <w:szCs w:val="18"/>
        </w:rPr>
        <w:t xml:space="preserve">19:  </w:t>
      </w:r>
      <w:r>
        <w:rPr>
          <w:rFonts w:ascii="Cambria" w:cs="Cambria" w:eastAsia="Cambria" w:hAnsi="Cambria"/>
          <w:color w:val="C00000"/>
          <w:sz w:val="21"/>
          <w:szCs w:val="21"/>
        </w:rPr>
        <w:t xml:space="preserve">state ← PENDING_TOKEN</w:t>
      </w:r>
    </w:p>
    <w:p>
      <w:pPr>
        <w:spacing w:after="20"/>
        <w:ind w:left="600"/>
      </w:pPr>
      <w:r>
        <w:rPr>
          <w:rFonts w:ascii="Cambria" w:cs="Cambria" w:eastAsia="Cambria" w:hAnsi="Cambria"/>
          <w:color w:val="C00000"/>
          <w:sz w:val="18"/>
          <w:szCs w:val="18"/>
        </w:rPr>
        <w:t xml:space="preserve">19a:  </w:t>
      </w:r>
      <w:r>
        <w:rPr>
          <w:rFonts w:ascii="Cambria" w:cs="Cambria" w:eastAsia="Cambria" w:hAnsi="Cambria"/>
          <w:color w:val="C00000"/>
          <w:sz w:val="21"/>
          <w:szCs w:val="21"/>
        </w:rPr>
        <w:t xml:space="preserve">submit mintConsentV3(addr</w:t>
      </w:r>
      <w:r>
        <w:rPr>
          <w:rFonts w:ascii="Cambria" w:cs="Cambria" w:eastAsia="Cambria" w:hAnsi="Cambria"/>
          <w:color w:val="C00000"/>
          <w:sz w:val="21"/>
          <w:szCs w:val="21"/>
          <w:vertAlign w:val="subscript"/>
        </w:rPr>
        <w:t xml:space="preserve">p</w:t>
      </w:r>
      <w:r>
        <w:rPr>
          <w:rFonts w:ascii="Cambria" w:cs="Cambria" w:eastAsia="Cambria" w:hAnsi="Cambria"/>
          <w:color w:val="C00000"/>
          <w:sz w:val="21"/>
          <w:szCs w:val="21"/>
        </w:rPr>
        <w:t xml:space="preserve">, addr</w:t>
      </w:r>
      <w:r>
        <w:rPr>
          <w:rFonts w:ascii="Cambria" w:cs="Cambria" w:eastAsia="Cambria" w:hAnsi="Cambria"/>
          <w:color w:val="C00000"/>
          <w:sz w:val="21"/>
          <w:szCs w:val="21"/>
          <w:vertAlign w:val="subscript"/>
        </w:rPr>
        <w:t xml:space="preserve">r</w:t>
      </w:r>
      <w:r>
        <w:rPr>
          <w:rFonts w:ascii="Cambria" w:cs="Cambria" w:eastAsia="Cambria" w:hAnsi="Cambria"/>
          <w:color w:val="C00000"/>
          <w:sz w:val="21"/>
          <w:szCs w:val="21"/>
        </w:rPr>
        <w:t xml:space="preserve">, keccak(P</w:t>
      </w:r>
      <w:r>
        <w:rPr>
          <w:rFonts w:ascii="Cambria" w:cs="Cambria" w:eastAsia="Cambria" w:hAnsi="Cambria"/>
          <w:color w:val="C00000"/>
          <w:sz w:val="21"/>
          <w:szCs w:val="21"/>
          <w:vertAlign w:val="subscript"/>
        </w:rPr>
        <w:t xml:space="preserve">u</w:t>
      </w:r>
      <w:r>
        <w:rPr>
          <w:rFonts w:ascii="Cambria" w:cs="Cambria" w:eastAsia="Cambria" w:hAnsi="Cambria"/>
          <w:color w:val="C00000"/>
          <w:sz w:val="21"/>
          <w:szCs w:val="21"/>
        </w:rPr>
        <w:t xml:space="preserve">), t</w:t>
      </w:r>
      <w:r>
        <w:rPr>
          <w:rFonts w:ascii="Cambria" w:cs="Cambria" w:eastAsia="Cambria" w:hAnsi="Cambria"/>
          <w:color w:val="C00000"/>
          <w:sz w:val="21"/>
          <w:szCs w:val="21"/>
          <w:vertAlign w:val="subscript"/>
        </w:rPr>
        <w:t xml:space="preserve">s</w:t>
      </w:r>
      <w:r>
        <w:rPr>
          <w:rFonts w:ascii="Cambria" w:cs="Cambria" w:eastAsia="Cambria" w:hAnsi="Cambria"/>
          <w:color w:val="C00000"/>
          <w:sz w:val="21"/>
          <w:szCs w:val="21"/>
        </w:rPr>
        <w:t xml:space="preserve">, t</w:t>
      </w:r>
      <w:r>
        <w:rPr>
          <w:rFonts w:ascii="Cambria" w:cs="Cambria" w:eastAsia="Cambria" w:hAnsi="Cambria"/>
          <w:color w:val="C00000"/>
          <w:sz w:val="21"/>
          <w:szCs w:val="21"/>
          <w:vertAlign w:val="subscript"/>
        </w:rPr>
        <w:t xml:space="preserve">e</w:t>
      </w:r>
      <w:r>
        <w:rPr>
          <w:rFonts w:ascii="Cambria" w:cs="Cambria" w:eastAsia="Cambria" w:hAnsi="Cambria"/>
          <w:color w:val="C00000"/>
          <w:sz w:val="21"/>
          <w:szCs w:val="21"/>
        </w:rPr>
        <w:t xml:space="preserve">, L, burnAuth) via the owner account   ▷ background job; reconciled on next lookup</w:t>
      </w:r>
    </w:p>
    <w:p>
      <w:pPr>
        <w:spacing w:after="20"/>
        <w:ind w:left="600"/>
      </w:pPr>
      <w:r>
        <w:rPr>
          <w:rFonts w:ascii="Cambria" w:cs="Cambria" w:eastAsia="Cambria" w:hAnsi="Cambria"/>
          <w:color w:val="C00000"/>
          <w:sz w:val="18"/>
          <w:szCs w:val="18"/>
        </w:rPr>
        <w:t xml:space="preserve">19b:  </w:t>
      </w:r>
      <w:r>
        <w:rPr>
          <w:rFonts w:ascii="Cambria" w:cs="Cambria" w:eastAsia="Cambria" w:hAnsi="Cambria"/>
          <w:color w:val="C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20: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AAAAAA"/>
          <w:sz w:val="18"/>
          <w:szCs w:val="18"/>
        </w:rPr>
        <w:t xml:space="preserve">21:  </w:t>
      </w:r>
      <w:r>
        <w:rPr>
          <w:rFonts w:ascii="Cambria" w:cs="Cambria" w:eastAsia="Cambria" w:hAnsi="Cambria"/>
          <w:b/>
          <w:bCs/>
          <w:strike/>
          <w:color w:val="808080"/>
          <w:sz w:val="21"/>
          <w:szCs w:val="21"/>
        </w:rPr>
        <w:t xml:space="preserve">return</w:t>
      </w:r>
      <w:r>
        <w:rPr>
          <w:rFonts w:ascii="Cambria" w:cs="Cambria" w:eastAsia="Cambria" w:hAnsi="Cambria"/>
          <w:strike/>
          <w:color w:val="808080"/>
          <w:sz w:val="21"/>
          <w:szCs w:val="21"/>
        </w:rPr>
        <w:t xml:space="preserve"> ALLOW</w:t>
      </w:r>
    </w:p>
    <w:p>
      <w:pPr>
        <w:spacing w:after="20"/>
        <w:ind w:left="600"/>
      </w:pPr>
      <w:r>
        <w:rPr>
          <w:rFonts w:ascii="Cambria" w:cs="Cambria" w:eastAsia="Cambria" w:hAnsi="Cambria"/>
          <w:color w:val="C00000"/>
          <w:sz w:val="18"/>
          <w:szCs w:val="18"/>
        </w:rPr>
        <w:t xml:space="preserve">21:  </w:t>
      </w:r>
      <w:r>
        <w:rPr>
          <w:rFonts w:ascii="Cambria" w:cs="Cambria" w:eastAsia="Cambria" w:hAnsi="Cambria"/>
          <w:b/>
          <w:bCs/>
          <w:color w:val="C00000"/>
          <w:sz w:val="21"/>
          <w:szCs w:val="21"/>
        </w:rPr>
        <w:t xml:space="preserve">return</w:t>
      </w:r>
      <w:r>
        <w:rPr>
          <w:rFonts w:ascii="Cambria" w:cs="Cambria" w:eastAsia="Cambria" w:hAnsi="Cambria"/>
          <w:color w:val="C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24: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26: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The complete current stage research on authorisation decision is</w:t>
      </w:r>
    </w:p>
    <w:p>
      <w:pPr>
        <w:tabs>
          <w:tab w:val="right" w:pos="9360"/>
        </w:tabs>
        <w:spacing w:after="40" w:before="60"/>
        <w:jc w:val="center"/>
      </w:pPr>
      <w:r>
        <w:rPr>
          <w:rFonts w:ascii="Cambria Math" w:cs="Cambria Math" w:eastAsia="Cambria Math" w:hAnsi="Cambria Math"/>
          <w:i/>
          <w:iCs/>
          <w:strike/>
          <w:color w:val="808080"/>
          <w:sz w:val="22"/>
          <w:szCs w:val="22"/>
        </w:rPr>
        <w:t xml:space="preserve">Decision(C, R) = ALLOW ⟺ V</w:t>
      </w:r>
      <w:r>
        <w:rPr>
          <w:rFonts w:ascii="Cambria Math" w:cs="Cambria Math" w:eastAsia="Cambria Math" w:hAnsi="Cambria Math"/>
          <w:i/>
          <w:iCs/>
          <w:strike/>
          <w:color w:val="808080"/>
          <w:sz w:val="22"/>
          <w:szCs w:val="22"/>
          <w:vertAlign w:val="subscript"/>
        </w:rPr>
        <w:t xml:space="preserve">I</w:t>
      </w:r>
      <w:r>
        <w:rPr>
          <w:rFonts w:ascii="Cambria Math" w:cs="Cambria Math" w:eastAsia="Cambria Math" w:hAnsi="Cambria Math"/>
          <w:i/>
          <w:iCs/>
          <w:strike/>
          <w:color w:val="808080"/>
          <w:sz w:val="22"/>
          <w:szCs w:val="22"/>
        </w:rPr>
        <w:t xml:space="preserve">(u) ∧ V</w:t>
      </w:r>
      <w:r>
        <w:rPr>
          <w:rFonts w:ascii="Cambria Math" w:cs="Cambria Math" w:eastAsia="Cambria Math" w:hAnsi="Cambria Math"/>
          <w:i/>
          <w:iCs/>
          <w:strike/>
          <w:color w:val="808080"/>
          <w:sz w:val="22"/>
          <w:szCs w:val="22"/>
          <w:vertAlign w:val="subscript"/>
        </w:rPr>
        <w:t xml:space="preserve">A</w:t>
      </w:r>
      <w:r>
        <w:rPr>
          <w:rFonts w:ascii="Cambria Math" w:cs="Cambria Math" w:eastAsia="Cambria Math" w:hAnsi="Cambria Math"/>
          <w:i/>
          <w:iCs/>
          <w:strike/>
          <w:color w:val="808080"/>
          <w:sz w:val="22"/>
          <w:szCs w:val="22"/>
        </w:rPr>
        <w:t xml:space="preserve">(C) ∧ V</w:t>
      </w:r>
      <w:r>
        <w:rPr>
          <w:rFonts w:ascii="Cambria Math" w:cs="Cambria Math" w:eastAsia="Cambria Math" w:hAnsi="Cambria Math"/>
          <w:i/>
          <w:iCs/>
          <w:strike/>
          <w:color w:val="808080"/>
          <w:sz w:val="22"/>
          <w:szCs w:val="22"/>
          <w:vertAlign w:val="subscript"/>
        </w:rPr>
        <w:t xml:space="preserve">P</w:t>
      </w:r>
      <w:r>
        <w:rPr>
          <w:rFonts w:ascii="Cambria Math" w:cs="Cambria Math" w:eastAsia="Cambria Math" w:hAnsi="Cambria Math"/>
          <w:i/>
          <w:iCs/>
          <w:strike/>
          <w:color w:val="808080"/>
          <w:sz w:val="22"/>
          <w:szCs w:val="22"/>
        </w:rPr>
        <w:t xml:space="preserve">(C, R).</w:t>
      </w:r>
      <w:r>
        <w:rPr>
          <w:rFonts w:ascii="Cambria" w:cs="Cambria" w:eastAsia="Cambria" w:hAnsi="Cambria"/>
          <w:color w:val="808080"/>
          <w:sz w:val="22"/>
          <w:szCs w:val="22"/>
        </w:rPr>
        <w:t xml:space="preserve">	(59)</w:t>
      </w:r>
    </w:p>
    <w:p>
      <w:pPr>
        <w:spacing w:after="40" w:before="60"/>
      </w:pPr>
      <w:r>
        <w:rPr>
          <w:rFonts w:ascii="Cambria" w:cs="Cambria" w:eastAsia="Cambria" w:hAnsi="Cambria"/>
          <w:b/>
          <w:bCs/>
          <w:color w:val="C00000"/>
          <w:sz w:val="18"/>
          <w:szCs w:val="18"/>
        </w:rPr>
        <w:t xml:space="preserve">[EDIT 50] </w:t>
      </w:r>
    </w:p>
    <w:p>
      <w:pPr>
        <w:spacing w:after="140" w:line="300"/>
        <w:jc w:val="both"/>
      </w:pPr>
      <w:r>
        <w:rPr>
          <w:rFonts w:ascii="Cambria" w:cs="Cambria" w:eastAsia="Cambria" w:hAnsi="Cambria"/>
          <w:color w:val="C00000"/>
          <w:sz w:val="24"/>
          <w:szCs w:val="24"/>
        </w:rPr>
        <w:t xml:space="preserve">Decision(C, R, t) = ALLOW ⟺ V_I ∧ V_A ∧ V_P ∧ V_T ∧ V_L, evaluated at every access request; the decision matrix is recorded in the audit ledger with each GRANTED or DENIED result.</w:t>
      </w:r>
    </w:p>
    <w:p>
      <w:pPr>
        <w:pStyle w:val="Heading3"/>
        <w:spacing w:after="160" w:before="280"/>
      </w:pPr>
      <w: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0: RO4 workflow for policy- and context-aware access control" title="Figure 10: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RO4 workflow for policy- and context-aware access control</w:t>
      </w:r>
    </w:p>
    <w:p>
      <w:pPr>
        <w:pStyle w:val="Heading3"/>
        <w:spacing w:after="160" w:before="280"/>
      </w:pPr>
      <w:r>
        <w:t xml:space="preserve">6.4.2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40" w:before="60"/>
      </w:pPr>
      <w:r>
        <w:rPr>
          <w:rFonts w:ascii="Cambria" w:cs="Cambria" w:eastAsia="Cambria" w:hAnsi="Cambria"/>
          <w:b/>
          <w:bCs/>
          <w:color w:val="C00000"/>
          <w:sz w:val="18"/>
          <w:szCs w:val="18"/>
        </w:rPr>
        <w:t xml:space="preserve">[EDIT 57] </w:t>
      </w:r>
    </w:p>
    <w:p>
      <w:pPr>
        <w:spacing w:after="140" w:line="300"/>
        <w:jc w:val="both"/>
      </w:pPr>
      <w:r>
        <w:rPr>
          <w:rFonts w:ascii="Cambria" w:cs="Cambria" w:eastAsia="Cambria" w:hAnsi="Cambria"/>
          <w:color w:val="C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VALID. If any mandatory condition fails, the procedure returns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 Consent → Identity → Authority → Policy → Temporal/Lifecycle Validation → Access</w:t>
      </w:r>
    </w:p>
    <w:p>
      <w:pPr>
        <w:spacing w:after="40" w:before="60"/>
      </w:pPr>
      <w:r>
        <w:rPr>
          <w:rFonts w:ascii="Cambria" w:cs="Cambria" w:eastAsia="Cambria" w:hAnsi="Cambria"/>
          <w:b/>
          <w:bCs/>
          <w:color w:val="C00000"/>
          <w:sz w:val="18"/>
          <w:szCs w:val="18"/>
        </w:rPr>
        <w:t xml:space="preserve">[EDIT 56] </w:t>
      </w:r>
    </w:p>
    <w:p>
      <w:pPr>
        <w:spacing w:after="140" w:line="300"/>
        <w:jc w:val="both"/>
      </w:pPr>
      <w:r>
        <w:rPr>
          <w:rFonts w:ascii="Cambria" w:cs="Cambria" w:eastAsia="Cambria" w:hAnsi="Cambria"/>
          <w:color w:val="C00000"/>
          <w:sz w:val="24"/>
          <w:szCs w:val="24"/>
        </w:rPr>
        <w:t xml:space="preserve">a per-request validity layer: validity is re-established at each evaluated access request and recorded as a STATE_CHECK event, rather than assumed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p>
      <w:pPr>
        <w:pStyle w:val="Heading3"/>
        <w:spacing w:after="160" w:before="280"/>
      </w:pPr>
      <w:r>
        <w:t xml:space="preserve">6.4.3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access request R, requesting participant u</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AAAAAA"/>
          <w:sz w:val="18"/>
          <w:szCs w:val="18"/>
        </w:rPr>
        <w:t xml:space="preserve">22:  </w:t>
      </w:r>
      <w:r>
        <w:rPr>
          <w:rFonts w:ascii="Cambria" w:cs="Cambria" w:eastAsia="Cambria" w:hAnsi="Cambria"/>
          <w:b/>
          <w:bCs/>
          <w:strike/>
          <w:color w:val="808080"/>
          <w:sz w:val="21"/>
          <w:szCs w:val="21"/>
        </w:rPr>
        <w:t xml:space="preserve">if</w:t>
      </w:r>
      <w:r>
        <w:rPr>
          <w:rFonts w:ascii="Cambria" w:cs="Cambria" w:eastAsia="Cambria" w:hAnsi="Cambria"/>
          <w:strike/>
          <w:color w:val="808080"/>
          <w:sz w:val="21"/>
          <w:szCs w:val="21"/>
        </w:rPr>
        <w:t xml:space="preserve"> S</w:t>
      </w:r>
      <w:r>
        <w:rPr>
          <w:rFonts w:ascii="Cambria" w:cs="Cambria" w:eastAsia="Cambria" w:hAnsi="Cambria"/>
          <w:strike/>
          <w:color w:val="808080"/>
          <w:sz w:val="21"/>
          <w:szCs w:val="21"/>
          <w:vertAlign w:val="subscript"/>
        </w:rPr>
        <w:t xml:space="preserve">R</w:t>
      </w:r>
      <w:r>
        <w:rPr>
          <w:rFonts w:ascii="Cambria" w:cs="Cambria" w:eastAsia="Cambria" w:hAnsi="Cambria"/>
          <w:strike/>
          <w:color w:val="808080"/>
          <w:sz w:val="21"/>
          <w:szCs w:val="21"/>
        </w:rPr>
        <w:t xml:space="preserve"> ⊈ S</w:t>
      </w:r>
      <w:r>
        <w:rPr>
          <w:rFonts w:ascii="Cambria" w:cs="Cambria" w:eastAsia="Cambria" w:hAnsi="Cambria"/>
          <w:strike/>
          <w:color w:val="808080"/>
          <w:sz w:val="21"/>
          <w:szCs w:val="21"/>
          <w:vertAlign w:val="subscript"/>
        </w:rPr>
        <w:t xml:space="preserve">C</w:t>
      </w:r>
      <w:r>
        <w:rPr>
          <w:rFonts w:ascii="Cambria" w:cs="Cambria" w:eastAsia="Cambria" w:hAnsi="Cambria"/>
          <w:strike/>
          <w:color w:val="808080"/>
          <w:sz w:val="21"/>
          <w:szCs w:val="21"/>
        </w:rPr>
        <w:t xml:space="preserve"> </w:t>
      </w:r>
      <w:r>
        <w:rPr>
          <w:rFonts w:ascii="Cambria" w:cs="Cambria" w:eastAsia="Cambria" w:hAnsi="Cambria"/>
          <w:b/>
          <w:bCs/>
          <w:strike/>
          <w:color w:val="808080"/>
          <w:sz w:val="21"/>
          <w:szCs w:val="21"/>
        </w:rPr>
        <w:t xml:space="preserve">then</w:t>
      </w:r>
    </w:p>
    <w:p>
      <w:pPr>
        <w:spacing w:after="20"/>
        <w:ind w:left="240"/>
      </w:pPr>
      <w:r>
        <w:rPr>
          <w:rFonts w:ascii="Cambria" w:cs="Cambria" w:eastAsia="Cambria" w:hAnsi="Cambria"/>
          <w:color w:val="C00000"/>
          <w:sz w:val="18"/>
          <w:szCs w:val="18"/>
        </w:rPr>
        <w:t xml:space="preserve">22: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S</w:t>
      </w:r>
      <w:r>
        <w:rPr>
          <w:rFonts w:ascii="Cambria" w:cs="Cambria" w:eastAsia="Cambria" w:hAnsi="Cambria"/>
          <w:color w:val="C00000"/>
          <w:sz w:val="21"/>
          <w:szCs w:val="21"/>
          <w:vertAlign w:val="subscript"/>
        </w:rPr>
        <w:t xml:space="preserve">R</w:t>
      </w:r>
      <w:r>
        <w:rPr>
          <w:rFonts w:ascii="Cambria" w:cs="Cambria" w:eastAsia="Cambria" w:hAnsi="Cambria"/>
          <w:color w:val="C00000"/>
          <w:sz w:val="21"/>
          <w:szCs w:val="21"/>
        </w:rPr>
        <w:t xml:space="preserve"> = ∅ or S</w:t>
      </w:r>
      <w:r>
        <w:rPr>
          <w:rFonts w:ascii="Cambria" w:cs="Cambria" w:eastAsia="Cambria" w:hAnsi="Cambria"/>
          <w:color w:val="C00000"/>
          <w:sz w:val="21"/>
          <w:szCs w:val="21"/>
          <w:vertAlign w:val="subscript"/>
        </w:rPr>
        <w:t xml:space="preserve">R</w:t>
      </w:r>
      <w:r>
        <w:rPr>
          <w:rFonts w:ascii="Cambria" w:cs="Cambria" w:eastAsia="Cambria" w:hAnsi="Cambria"/>
          <w:color w:val="C00000"/>
          <w:sz w:val="21"/>
          <w:szCs w:val="21"/>
        </w:rPr>
        <w:t xml:space="preserve"> ⊈ S</w:t>
      </w:r>
      <w:r>
        <w:rPr>
          <w:rFonts w:ascii="Cambria" w:cs="Cambria" w:eastAsia="Cambria" w:hAnsi="Cambria"/>
          <w:color w:val="C00000"/>
          <w:sz w:val="21"/>
          <w:szCs w:val="21"/>
          <w:vertAlign w:val="subscript"/>
        </w:rPr>
        <w:t xml:space="preserve">C</w:t>
      </w:r>
      <w:r>
        <w:rPr>
          <w:rFonts w:ascii="Cambria" w:cs="Cambria" w:eastAsia="Cambria" w:hAnsi="Cambria"/>
          <w:color w:val="C00000"/>
          <w:sz w:val="21"/>
          <w:szCs w:val="21"/>
        </w:rPr>
        <w:t xml:space="preserve"> </w:t>
      </w:r>
      <w:r>
        <w:rPr>
          <w:rFonts w:ascii="Cambria" w:cs="Cambria" w:eastAsia="Cambria" w:hAnsi="Cambria"/>
          <w:b/>
          <w:bCs/>
          <w:color w:val="C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C00000"/>
          <w:sz w:val="18"/>
          <w:szCs w:val="18"/>
        </w:rPr>
        <w:t xml:space="preserve">25a: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t &lt; t</w:t>
      </w:r>
      <w:r>
        <w:rPr>
          <w:rFonts w:ascii="Cambria" w:cs="Cambria" w:eastAsia="Cambria" w:hAnsi="Cambria"/>
          <w:color w:val="C00000"/>
          <w:sz w:val="21"/>
          <w:szCs w:val="21"/>
          <w:vertAlign w:val="subscript"/>
        </w:rPr>
        <w:t xml:space="preserve">s</w:t>
      </w:r>
      <w:r>
        <w:rPr>
          <w:rFonts w:ascii="Cambria" w:cs="Cambria" w:eastAsia="Cambria" w:hAnsi="Cambria"/>
          <w:color w:val="C00000"/>
          <w:sz w:val="21"/>
          <w:szCs w:val="21"/>
        </w:rPr>
        <w:t xml:space="preserve"> or t &gt; t</w:t>
      </w:r>
      <w:r>
        <w:rPr>
          <w:rFonts w:ascii="Cambria" w:cs="Cambria" w:eastAsia="Cambria" w:hAnsi="Cambria"/>
          <w:color w:val="C00000"/>
          <w:sz w:val="21"/>
          <w:szCs w:val="21"/>
          <w:vertAlign w:val="subscript"/>
        </w:rPr>
        <w:t xml:space="preserve">e</w:t>
      </w:r>
      <w:r>
        <w:rPr>
          <w:rFonts w:ascii="Cambria" w:cs="Cambria" w:eastAsia="Cambria" w:hAnsi="Cambria"/>
          <w:color w:val="C00000"/>
          <w:sz w:val="21"/>
          <w:szCs w:val="21"/>
        </w:rPr>
        <w:t xml:space="preserve"> </w:t>
      </w:r>
      <w:r>
        <w:rPr>
          <w:rFonts w:ascii="Cambria" w:cs="Cambria" w:eastAsia="Cambria" w:hAnsi="Cambria"/>
          <w:b/>
          <w:bCs/>
          <w:color w:val="C00000"/>
          <w:sz w:val="21"/>
          <w:szCs w:val="21"/>
        </w:rPr>
        <w:t xml:space="preserve">then</w:t>
      </w:r>
      <w:r>
        <w:rPr>
          <w:rFonts w:ascii="Cambria" w:cs="Cambria" w:eastAsia="Cambria" w:hAnsi="Cambria"/>
          <w:color w:val="C00000"/>
          <w:sz w:val="21"/>
          <w:szCs w:val="21"/>
        </w:rPr>
        <w:t xml:space="preserve"> Record denied decision; </w:t>
      </w:r>
      <w:r>
        <w:rPr>
          <w:rFonts w:ascii="Cambria" w:cs="Cambria" w:eastAsia="Cambria" w:hAnsi="Cambria"/>
          <w:b/>
          <w:bCs/>
          <w:color w:val="C00000"/>
          <w:sz w:val="21"/>
          <w:szCs w:val="21"/>
        </w:rPr>
        <w:t xml:space="preserve">return</w:t>
      </w:r>
      <w:r>
        <w:rPr>
          <w:rFonts w:ascii="Cambria" w:cs="Cambria" w:eastAsia="Cambria" w:hAnsi="Cambria"/>
          <w:color w:val="C00000"/>
          <w:sz w:val="21"/>
          <w:szCs w:val="21"/>
        </w:rPr>
        <w:t xml:space="preserve"> DENY </w:t>
      </w:r>
      <w:r>
        <w:rPr>
          <w:rFonts w:ascii="Cambria" w:cs="Cambria" w:eastAsia="Cambria" w:hAnsi="Cambria"/>
          <w:b/>
          <w:bCs/>
          <w:color w:val="C00000"/>
          <w:sz w:val="21"/>
          <w:szCs w:val="21"/>
        </w:rPr>
        <w:t xml:space="preserve">end if</w:t>
      </w:r>
    </w:p>
    <w:p>
      <w:pPr>
        <w:spacing w:after="20"/>
        <w:ind w:left="240"/>
      </w:pPr>
      <w:r>
        <w:rPr>
          <w:rFonts w:ascii="Cambria" w:cs="Cambria" w:eastAsia="Cambria" w:hAnsi="Cambria"/>
          <w:color w:val="C00000"/>
          <w:sz w:val="18"/>
          <w:szCs w:val="18"/>
        </w:rPr>
        <w:t xml:space="preserve">25b: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Jur(R) ≠ Jur(C) </w:t>
      </w:r>
      <w:r>
        <w:rPr>
          <w:rFonts w:ascii="Cambria" w:cs="Cambria" w:eastAsia="Cambria" w:hAnsi="Cambria"/>
          <w:b/>
          <w:bCs/>
          <w:color w:val="C00000"/>
          <w:sz w:val="21"/>
          <w:szCs w:val="21"/>
        </w:rPr>
        <w:t xml:space="preserve">then</w:t>
      </w:r>
      <w:r>
        <w:rPr>
          <w:rFonts w:ascii="Cambria" w:cs="Cambria" w:eastAsia="Cambria" w:hAnsi="Cambria"/>
          <w:color w:val="C00000"/>
          <w:sz w:val="21"/>
          <w:szCs w:val="21"/>
        </w:rPr>
        <w:t xml:space="preserve"> Record denied decision; </w:t>
      </w:r>
      <w:r>
        <w:rPr>
          <w:rFonts w:ascii="Cambria" w:cs="Cambria" w:eastAsia="Cambria" w:hAnsi="Cambria"/>
          <w:b/>
          <w:bCs/>
          <w:color w:val="C00000"/>
          <w:sz w:val="21"/>
          <w:szCs w:val="21"/>
        </w:rPr>
        <w:t xml:space="preserve">return</w:t>
      </w:r>
      <w:r>
        <w:rPr>
          <w:rFonts w:ascii="Cambria" w:cs="Cambria" w:eastAsia="Cambria" w:hAnsi="Cambria"/>
          <w:color w:val="C00000"/>
          <w:sz w:val="21"/>
          <w:szCs w:val="21"/>
        </w:rPr>
        <w:t xml:space="preserve"> DENY </w:t>
      </w:r>
      <w:r>
        <w:rPr>
          <w:rFonts w:ascii="Cambria" w:cs="Cambria" w:eastAsia="Cambria" w:hAnsi="Cambria"/>
          <w:b/>
          <w:bCs/>
          <w:color w:val="C00000"/>
          <w:sz w:val="21"/>
          <w:szCs w:val="21"/>
        </w:rPr>
        <w:t xml:space="preserve">end if</w:t>
      </w:r>
    </w:p>
    <w:p>
      <w:pPr>
        <w:spacing w:after="20"/>
        <w:ind w:left="240"/>
      </w:pPr>
      <w:r>
        <w:rPr>
          <w:rFonts w:ascii="Cambria" w:cs="Cambria" w:eastAsia="Cambria" w:hAnsi="Cambria"/>
          <w:color w:val="AAAAAA"/>
          <w:sz w:val="18"/>
          <w:szCs w:val="18"/>
        </w:rPr>
        <w:t xml:space="preserve">26:  </w:t>
      </w:r>
      <w:r>
        <w:rPr>
          <w:rFonts w:ascii="Cambria" w:cs="Cambria" w:eastAsia="Cambria" w:hAnsi="Cambria"/>
          <w:strike/>
          <w:color w:val="808080"/>
          <w:sz w:val="21"/>
          <w:szCs w:val="21"/>
        </w:rPr>
        <w:t xml:space="preserve">Generate or verify access evidence</w:t>
      </w:r>
    </w:p>
    <w:p>
      <w:pPr>
        <w:spacing w:after="20"/>
        <w:ind w:left="240"/>
      </w:pPr>
      <w:r>
        <w:rPr>
          <w:rFonts w:ascii="Cambria" w:cs="Cambria" w:eastAsia="Cambria" w:hAnsi="Cambria"/>
          <w:color w:val="C00000"/>
          <w:sz w:val="18"/>
          <w:szCs w:val="18"/>
        </w:rPr>
        <w:t xml:space="preserve">26:  </w:t>
      </w:r>
      <w:r>
        <w:rPr>
          <w:rFonts w:ascii="Cambria" w:cs="Cambria" w:eastAsia="Cambria" w:hAnsi="Cambria"/>
          <w:color w:val="C00000"/>
          <w:sz w:val="21"/>
          <w:szCs w:val="21"/>
        </w:rPr>
        <w:t xml:space="preserve">Generate and verify a Groth16 proof that Poseidon(secret, expiry) equals the public commitment and that t ≤ t</w:t>
      </w:r>
      <w:r>
        <w:rPr>
          <w:rFonts w:ascii="Cambria" w:cs="Cambria" w:eastAsia="Cambria" w:hAnsi="Cambria"/>
          <w:color w:val="C00000"/>
          <w:sz w:val="21"/>
          <w:szCs w:val="21"/>
          <w:vertAlign w:val="subscript"/>
        </w:rPr>
        <w:t xml:space="preserve">e</w:t>
      </w:r>
      <w:r>
        <w:rPr>
          <w:rFonts w:ascii="Cambria" w:cs="Cambria" w:eastAsia="Cambria" w:hAnsi="Cambria"/>
          <w:color w:val="C00000"/>
          <w:sz w:val="21"/>
          <w:szCs w:val="21"/>
        </w:rPr>
        <w:t xml:space="preserve">; record proof_mode = groth16</w:t>
      </w:r>
    </w:p>
    <w:p>
      <w:pPr>
        <w:spacing w:after="20"/>
        <w:ind w:left="240"/>
      </w:pPr>
      <w:r>
        <w:rPr>
          <w:rFonts w:ascii="Cambria" w:cs="Cambria" w:eastAsia="Cambria" w:hAnsi="Cambria"/>
          <w:color w:val="555555"/>
          <w:sz w:val="18"/>
          <w:szCs w:val="18"/>
        </w:rPr>
        <w:t xml:space="preserve">27: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28: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t xml:space="preserve">6.4.4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which means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guarantees, satisfies, and complies with the privacy constraint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There is no execution path where the system can violate the privacy policy.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PurposeMatch(P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ScopeMatch(S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40" w:before="60"/>
      </w:pPr>
      <w:r>
        <w:rPr>
          <w:rFonts w:ascii="Cambria" w:cs="Cambria" w:eastAsia="Cambria" w:hAnsi="Cambria"/>
          <w:b/>
          <w:bCs/>
          <w:color w:val="C00000"/>
          <w:sz w:val="18"/>
          <w:szCs w:val="18"/>
        </w:rPr>
        <w:t xml:space="preserve">[EDIT 54 — place at: Page 74, Step 4] </w:t>
      </w:r>
    </w:p>
    <w:p>
      <w:pPr>
        <w:spacing w:after="140" w:line="300"/>
        <w:jc w:val="both"/>
      </w:pPr>
      <w:r>
        <w:rPr>
          <w:rFonts w:ascii="Cambria" w:cs="Cambria" w:eastAsia="Cambria" w:hAnsi="Cambria"/>
          <w:color w:val="C00000"/>
          <w:sz w:val="24"/>
          <w:szCs w:val="24"/>
        </w:rPr>
        <w:t xml:space="preserve">In the implementation the threshold is N-of-N: N = |G|, every designated guardian must sign (2-of-2 in the evaluated configuration); a configurable k-of-n threshold remains future work.</w:t>
      </w:r>
    </w:p>
    <w:p>
      <w:pPr>
        <w:spacing w:after="40" w:before="60"/>
      </w:pPr>
      <w:r>
        <w:rPr>
          <w:rFonts w:ascii="Cambria" w:cs="Cambria" w:eastAsia="Cambria" w:hAnsi="Cambria"/>
          <w:b/>
          <w:bCs/>
          <w:color w:val="C00000"/>
          <w:sz w:val="18"/>
          <w:szCs w:val="18"/>
        </w:rPr>
        <w:t xml:space="preserve">[EDIT 55 — place at: Page 74, Step 5] </w:t>
      </w:r>
    </w:p>
    <w:p>
      <w:pPr>
        <w:spacing w:after="140" w:line="300"/>
        <w:jc w:val="both"/>
      </w:pPr>
      <w:r>
        <w:rPr>
          <w:rFonts w:ascii="Cambria" w:cs="Cambria" w:eastAsia="Cambria" w:hAnsi="Cambria"/>
          <w:color w:val="C00000"/>
          <w:sz w:val="24"/>
          <w:szCs w:val="24"/>
        </w:rPr>
        <w:t xml:space="preserve">In the prototype, purpose compatibility is an exact match against the consent purpose (stored on-chain as keccak256(purpose)); a formal no-violation proof is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t xml:space="preserve">6.5  Temporal and Lifecycle Trust for RO5</w:t>
      </w:r>
    </w:p>
    <w:p>
      <w:pPr>
        <w:spacing w:after="40" w:before="60"/>
      </w:pPr>
      <w:r>
        <w:rPr>
          <w:rFonts w:ascii="Cambria" w:cs="Cambria" w:eastAsia="Cambria" w:hAnsi="Cambria"/>
          <w:b/>
          <w:bCs/>
          <w:color w:val="C00000"/>
          <w:sz w:val="18"/>
          <w:szCs w:val="18"/>
        </w:rPr>
        <w:t xml:space="preserve">[GENERATED ADDITION — Figure A, implemented consent lifecycle (companion to HALAH Implementation v1.3, Section 6)]</w:t>
      </w:r>
    </w:p>
    <w:p>
      <w:pPr>
        <w:keepNext/>
        <w:spacing w:after="60" w:before="140"/>
        <w:jc w:val="center"/>
      </w:pPr>
      <w:r>
        <w:drawing>
          <wp:inline distT="0" distB="0" distL="0" distR="0">
            <wp:extent cx="5715000" cy="2009775"/>
            <wp:effectExtent t="0" r="0" b="0" l="0"/>
            <wp:docPr id="1" name="lifecycle.png" descr="Figure A: The implemented consent lifecycle: every consent progresses through controlled states, and the activating and revoking transitions are anchored as verifiable Sepolia transactions (blocks 11,771,243 and 11,771,307)." title="Figure A: The implemented consent lifecycle: every consent progresses through controlled states, and the activating and revoking transitions are anchored as verifiable Sepolia transactions (blocks 11,771,243 and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A: The implemented consent lifecycle: every consent progresses through controlled states, and the activating and revoking transitions are anchored as verifiable Sepolia transactions (blocks 11,771,243 and 11,771,307).</w:t>
      </w:r>
    </w:p>
    <w:p>
      <w:pPr>
        <w:spacing w:after="140" w:line="300"/>
        <w:jc w:val="both"/>
      </w:pPr>
      <w:r>
        <w:rPr>
          <w:rFonts w:ascii="Cambria" w:cs="Cambria" w:eastAsia="Cambria" w:hAnsi="Cambria"/>
          <w:sz w:val="24"/>
          <w:szCs w:val="24"/>
        </w:rPr>
        <w:t xml:space="preserve">RO5 addresses RQ5 and extends the foundational current stage works on authorisation model with temporal validity and consent lifecycle controls. This objective belongs primarily to CA3 because it investigates how an authorisation remains trustworthy as time passes and as the consent state changes.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sz w:val="24"/>
          <w:szCs w:val="24"/>
        </w:rPr>
        <w:t xml:space="preserve">The lifecycle condition can be expressed as</w:t>
      </w:r>
    </w:p>
    <w:p>
      <w:pPr>
        <w:tabs>
          <w:tab w:val="right" w:pos="9360"/>
        </w:tabs>
        <w:spacing w:after="40" w:before="60"/>
        <w:jc w:val="center"/>
      </w:pPr>
      <w:r>
        <w:rPr>
          <w:rFonts w:ascii="Cambria Math" w:cs="Cambria Math" w:eastAsia="Cambria Math" w:hAnsi="Cambria Math"/>
          <w:i/>
          <w:iCs/>
          <w:strike/>
          <w:color w:val="808080"/>
          <w:sz w:val="22"/>
          <w:szCs w:val="22"/>
        </w:rPr>
        <w:t xml:space="preserve">V</w:t>
      </w:r>
      <w:r>
        <w:rPr>
          <w:rFonts w:ascii="Cambria Math" w:cs="Cambria Math" w:eastAsia="Cambria Math" w:hAnsi="Cambria Math"/>
          <w:i/>
          <w:iCs/>
          <w:strike/>
          <w:color w:val="808080"/>
          <w:sz w:val="22"/>
          <w:szCs w:val="22"/>
          <w:vertAlign w:val="subscript"/>
        </w:rPr>
        <w:t xml:space="preserve">L</w:t>
      </w:r>
      <w:r>
        <w:rPr>
          <w:rFonts w:ascii="Cambria Math" w:cs="Cambria Math" w:eastAsia="Cambria Math" w:hAnsi="Cambria Math"/>
          <w:i/>
          <w:iCs/>
          <w:strike/>
          <w:color w:val="808080"/>
          <w:sz w:val="22"/>
          <w:szCs w:val="22"/>
        </w:rPr>
        <w:t xml:space="preserve">(C) = ValidState(C) ∧ ValidTransition(C).</w:t>
      </w:r>
      <w:r>
        <w:rPr>
          <w:rFonts w:ascii="Cambria" w:cs="Cambria" w:eastAsia="Cambria" w:hAnsi="Cambria"/>
          <w:color w:val="808080"/>
          <w:sz w:val="22"/>
          <w:szCs w:val="22"/>
        </w:rPr>
        <w:t xml:space="preserve">	(64)</w:t>
      </w:r>
    </w:p>
    <w:p>
      <w:pPr>
        <w:spacing w:after="40" w:before="60"/>
      </w:pPr>
      <w:r>
        <w:rPr>
          <w:rFonts w:ascii="Cambria" w:cs="Cambria" w:eastAsia="Cambria" w:hAnsi="Cambria"/>
          <w:b/>
          <w:bCs/>
          <w:color w:val="C00000"/>
          <w:sz w:val="18"/>
          <w:szCs w:val="18"/>
        </w:rPr>
        <w:t xml:space="preserve">[EDIT 51] </w:t>
      </w:r>
    </w:p>
    <w:p>
      <w:pPr>
        <w:spacing w:after="140" w:line="300"/>
        <w:jc w:val="both"/>
      </w:pPr>
      <w:r>
        <w:rPr>
          <w:rFonts w:ascii="Cambria" w:cs="Cambria" w:eastAsia="Cambria" w:hAnsi="Cambria"/>
          <w:color w:val="C00000"/>
          <w:sz w:val="24"/>
          <w:szCs w:val="24"/>
        </w:rPr>
        <w:t xml:space="preserve">V_L(C, R) = 1 ⟺ Jur(R) = Jur(C) ∨ Jur(C) = ∅, where the jurisdiction is a two-letter ISO code stored on-chain; lifecycle state and revocation are evaluated within V_A. This check produced the demonstrated denial for jurisdiction SA against a consent issued for AU.</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t xml:space="preserve">6.5.1  RO5 Temporal and Lifecycle Workflow</w:t>
      </w:r>
    </w:p>
    <w:p>
      <w:pPr>
        <w:spacing w:after="140" w:line="300"/>
        <w:jc w:val="both"/>
      </w:pPr>
      <w:r>
        <w:rPr>
          <w:rFonts w:ascii="Cambria" w:cs="Cambria" w:eastAsia="Cambria" w:hAnsi="Cambria"/>
          <w:sz w:val="24"/>
          <w:szCs w:val="24"/>
        </w:rPr>
        <w:t xml:space="preserve">The planned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The current HALAH code already collects a start time and expiry time during consent creation, but the complete temporal and lifecycle enforcement mechanism remains part of the planned CA3 extension.</w:t>
      </w:r>
    </w:p>
    <w:p>
      <w:pPr>
        <w:spacing w:after="40" w:before="60"/>
      </w:pPr>
      <w:r>
        <w:rPr>
          <w:rFonts w:ascii="Cambria" w:cs="Cambria" w:eastAsia="Cambria" w:hAnsi="Cambria"/>
          <w:b/>
          <w:bCs/>
          <w:color w:val="C00000"/>
          <w:sz w:val="18"/>
          <w:szCs w:val="18"/>
        </w:rPr>
        <w:t xml:space="preserve">[EDIT 58] </w:t>
      </w:r>
    </w:p>
    <w:p>
      <w:pPr>
        <w:spacing w:after="140" w:line="300"/>
        <w:jc w:val="both"/>
      </w:pPr>
      <w:r>
        <w:rPr>
          <w:rFonts w:ascii="Cambria" w:cs="Cambria" w:eastAsia="Cambria" w:hAnsi="Cambria"/>
          <w:color w:val="C00000"/>
          <w:sz w:val="24"/>
          <w:szCs w:val="24"/>
        </w:rPr>
        <w:t xml:space="preserve">Temporal and lifecycle enforcement is implemented: the Consent Engine evaluates t_s ≤ t ≤ t_e at every request, the contract stores notBefore and expiry and exposes checkValid and checkValidAt, and revocation is executed both locally and as an on-chain revoke transaction (block 11,771,307).</w:t>
      </w:r>
    </w:p>
    <w:p>
      <w:pPr>
        <w:pStyle w:val="Heading3"/>
        <w:spacing w:after="160" w:before="280"/>
      </w:pPr>
      <w:r>
        <w:t xml:space="preserve">6.5.2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keepNext/>
        <w:spacing w:after="60" w:before="140"/>
        <w:jc w:val="center"/>
      </w:pPr>
      <w:r>
        <w:drawing>
          <wp:inline distT="0" distB="0" distL="0" distR="0">
            <wp:extent cx="4095750" cy="5876925"/>
            <wp:effectExtent t="0" r="0" b="0" l="0"/>
            <wp:docPr id="1" name="gfig11.png" descr="Figure 11: RO5 planned workflow for temporal and consent lifecycle trust" title="Figure 11: RO5 planned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RO5 planned workflow for temporal and consent lifecycle trust</w:t>
      </w:r>
    </w:p>
    <w:p>
      <w:pPr>
        <w:spacing w:after="140" w:line="300"/>
        <w:jc w:val="both"/>
      </w:pPr>
      <w:r>
        <w:rPr>
          <w:rFonts w:ascii="Cambria" w:cs="Cambria" w:eastAsia="Cambria" w:hAnsi="Cambria"/>
          <w:sz w:val="24"/>
          <w:szCs w:val="24"/>
        </w:rPr>
        <w:t xml:space="preserve">Algorithm 5 extends the current stage works on decision process by ensuring that consent validity is dynamic rather than permanent. The algorithm is intended for the CA3 implementation and evaluation stage. It will be used to investigate expiration, revocation, and controlled state transitions as additional conditions of trustworthy access.</w:t>
      </w:r>
    </w:p>
    <w:p>
      <w:pPr>
        <w:spacing w:after="40" w:before="60"/>
      </w:pPr>
      <w:r>
        <w:rPr>
          <w:rFonts w:ascii="Cambria" w:cs="Cambria" w:eastAsia="Cambria" w:hAnsi="Cambria"/>
          <w:b/>
          <w:bCs/>
          <w:color w:val="C00000"/>
          <w:sz w:val="18"/>
          <w:szCs w:val="18"/>
        </w:rPr>
        <w:t xml:space="preserve">[EDIT 59] </w:t>
      </w:r>
    </w:p>
    <w:p>
      <w:pPr>
        <w:spacing w:after="140" w:line="300"/>
        <w:jc w:val="both"/>
      </w:pPr>
      <w:r>
        <w:rPr>
          <w:rFonts w:ascii="Cambria" w:cs="Cambria" w:eastAsia="Cambria" w:hAnsi="Cambria"/>
          <w:color w:val="C00000"/>
          <w:sz w:val="24"/>
          <w:szCs w:val="24"/>
        </w:rPr>
        <w:t xml:space="preserve">Algorithm 5 is implemented in the current prototype: its checks are executed at every access request and recorded as STATE_CHECK events in the audit ledger, so expiration, revocation and state transitions already condition the demonstrated access decisions.</w:t>
      </w:r>
    </w:p>
    <w:p>
      <w:pPr>
        <w:pStyle w:val="Heading2"/>
        <w:spacing w:after="160" w:before="280"/>
      </w:pPr>
      <w: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The formal decision model is expressed as</w:t>
      </w:r>
    </w:p>
    <w:p>
      <w:pPr>
        <w:spacing w:after="40" w:before="60"/>
      </w:pPr>
      <w:r>
        <w:rPr>
          <w:rFonts w:ascii="Cambria" w:cs="Cambria" w:eastAsia="Cambria" w:hAnsi="Cambria"/>
          <w:b/>
          <w:bCs/>
          <w:color w:val="C00000"/>
          <w:sz w:val="18"/>
          <w:szCs w:val="18"/>
        </w:rPr>
        <w:t xml:space="preserve">[EDIT 62] </w:t>
      </w:r>
    </w:p>
    <w:p>
      <w:pPr>
        <w:spacing w:after="140" w:line="300"/>
        <w:jc w:val="both"/>
      </w:pPr>
      <w:r>
        <w:rPr>
          <w:rFonts w:ascii="Cambria" w:cs="Cambria" w:eastAsia="Cambria" w:hAnsi="Cambria"/>
          <w:color w:val="C00000"/>
          <w:sz w:val="24"/>
          <w:szCs w:val="24"/>
        </w:rPr>
        <w:t xml:space="preserve">The empirical half of this objective has been carried out on the prototype; formal proofs and model checking of the authorisation properties remain future work. Caption: “RO6 workflow for security assurance; the empirical branch has been executed, the formal branch remains planned.”</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140" w:line="300"/>
        <w:jc w:val="both"/>
      </w:pPr>
      <w:r>
        <w:rPr>
          <w:rFonts w:ascii="Cambria" w:cs="Cambria" w:eastAsia="Cambria" w:hAnsi="Cambria"/>
          <w:strike/>
          <w:color w:val="808080"/>
          <w:sz w:val="24"/>
          <w:szCs w:val="24"/>
        </w:rPr>
        <w:t xml:space="preserve">For current stage, the primary validation conditions are</w:t>
      </w:r>
    </w:p>
    <w:p>
      <w:pPr>
        <w:spacing w:after="40" w:before="60"/>
      </w:pPr>
      <w:r>
        <w:rPr>
          <w:rFonts w:ascii="Cambria" w:cs="Cambria" w:eastAsia="Cambria" w:hAnsi="Cambria"/>
          <w:b/>
          <w:bCs/>
          <w:color w:val="C00000"/>
          <w:sz w:val="18"/>
          <w:szCs w:val="18"/>
        </w:rPr>
        <w:t xml:space="preserve">[EDIT 61] </w:t>
      </w:r>
    </w:p>
    <w:p>
      <w:pPr>
        <w:spacing w:after="80"/>
        <w:jc w:val="center"/>
      </w:pPr>
      <w:r>
        <w:rPr>
          <w:rFonts w:ascii="Cambria Math" w:cs="Cambria Math" w:eastAsia="Cambria Math" w:hAnsi="Cambria Math"/>
          <w:i/>
          <w:iCs/>
          <w:color w:val="C00000"/>
          <w:sz w:val="22"/>
          <w:szCs w:val="22"/>
        </w:rPr>
        <w:t xml:space="preserve">The validated soundness property is Decision = ALLOW ⇒ V_I ∧ V_A ∧ V_P ∧ V_T ∧ V_L, exercised by per-dimension failure tests for each conjunct.</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empirical component will evaluate both valid and invalid scenarios. Valid scenarios will examine whether a correctly specified consent can be created, verified, approved, and used for authorised data access. Negative scenarios will examine whether access is denied when a participant is not verified, when the approval threshold is not satisfied, or when the requested purpose or data scope violates the consent. The HALAH prototype provides the implementation basis for this evaluation. The current system includes separate patient, guardian, doctor, and auditor interfaces. It also records consent creation, guardian approval, token minting, state checks, and data-access events.</w:t>
      </w:r>
    </w:p>
    <w:p>
      <w:pPr>
        <w:spacing w:after="40" w:before="60"/>
      </w:pPr>
      <w:r>
        <w:rPr>
          <w:rFonts w:ascii="Cambria" w:cs="Cambria" w:eastAsia="Cambria" w:hAnsi="Cambria"/>
          <w:b/>
          <w:bCs/>
          <w:color w:val="C00000"/>
          <w:sz w:val="18"/>
          <w:szCs w:val="18"/>
        </w:rPr>
        <w:t xml:space="preserve">[EDIT 60] </w:t>
      </w:r>
    </w:p>
    <w:p>
      <w:pPr>
        <w:spacing w:after="140" w:line="300"/>
        <w:jc w:val="both"/>
      </w:pPr>
      <w:r>
        <w:rPr>
          <w:rFonts w:ascii="Cambria" w:cs="Cambria" w:eastAsia="Cambria" w:hAnsi="Cambria"/>
          <w:color w:val="C00000"/>
          <w:sz w:val="24"/>
          <w:szCs w:val="24"/>
        </w:rPr>
        <w:t xml:space="preserve">The empirical component has been executed against the prototype: 23 automated tests cover per-dimension matrix failures, EIP-712 signature rejection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pStyle w:val="Heading3"/>
        <w:spacing w:after="160" w:before="280"/>
      </w:pPr>
      <w: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2: RO6 planned workflow for formal security assurance and empirical validation" title="Figure 12: RO6 planned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RO6 planned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w:t>
      </w:r>
    </w:p>
    <w:p>
      <w:pPr>
        <w:spacing w:after="40" w:before="60"/>
      </w:pPr>
      <w:r>
        <w:rPr>
          <w:rFonts w:ascii="Cambria" w:cs="Cambria" w:eastAsia="Cambria" w:hAnsi="Cambria"/>
          <w:b/>
          <w:bCs/>
          <w:color w:val="C00000"/>
          <w:sz w:val="18"/>
          <w:szCs w:val="18"/>
        </w:rPr>
        <w:t xml:space="preserve">[EDIT 63] </w:t>
      </w:r>
    </w:p>
    <w:p>
      <w:pPr>
        <w:spacing w:after="140" w:line="300"/>
        <w:jc w:val="both"/>
      </w:pPr>
      <w:r>
        <w:rPr>
          <w:rFonts w:ascii="Cambria" w:cs="Cambria" w:eastAsia="Cambria" w:hAnsi="Cambria"/>
          <w:color w:val="C00000"/>
          <w:sz w:val="24"/>
          <w:szCs w:val="24"/>
        </w:rPr>
        <w:t xml:space="preserve">Algorithms 1–5 are all realised in the current prototype, and the empirical branch of Algorithm 6 has been executed against it; only the formal-assurance branch, together with k-of-n thresholds and authenticated requesters, remains for the next stage.</w:t>
      </w:r>
    </w:p>
    <w:p>
      <w:pPr>
        <w:spacing w:after="140" w:line="300"/>
        <w:jc w:val="both"/>
      </w:pPr>
      <w:r>
        <w:rPr>
          <w:rFonts w:ascii="Cambria" w:cs="Cambria" w:eastAsia="Cambria" w:hAnsi="Cambria"/>
          <w:sz w:val="24"/>
          <w:szCs w:val="24"/>
        </w:rPr>
        <w:t xml:space="preserve">dynamic validity, security assurance, and comprehensive practical effectiveness. The overall trust-oriented authorisation process can therefore be summarised as Trustworthy Access with 1) Identity Trust Authority Trust, 2) Collective Authorisation, 3) Policy Compliance, 4)Temporal and Lifecycle Trust. For the current stage implementation, the operational decision is based on</w:t>
      </w:r>
    </w:p>
    <w:p>
      <w:pPr>
        <w:spacing w:after="40" w:before="60"/>
      </w:pPr>
      <w:r>
        <w:rPr>
          <w:rFonts w:ascii="Cambria" w:cs="Cambria" w:eastAsia="Cambria" w:hAnsi="Cambria"/>
          <w:b/>
          <w:bCs/>
          <w:color w:val="C00000"/>
          <w:sz w:val="18"/>
          <w:szCs w:val="18"/>
        </w:rPr>
        <w:t xml:space="preserve">[EDIT 64] </w:t>
      </w:r>
    </w:p>
    <w:p>
      <w:pPr>
        <w:spacing w:after="140" w:line="300"/>
        <w:jc w:val="both"/>
      </w:pPr>
      <w:r>
        <w:rPr>
          <w:rFonts w:ascii="Cambria" w:cs="Cambria" w:eastAsia="Cambria" w:hAnsi="Cambria"/>
          <w:color w:val="C00000"/>
          <w:sz w:val="24"/>
          <w:szCs w:val="24"/>
        </w:rPr>
        <w:t xml:space="preserve">The implemented system enforces the complete rule of Equation (70): access is granted only when VI, VA, VP, VT and VL all hold, with revocation evaluated within VA, and every decision — granted or denied — is logged with the full matrix. Equation (69) is retained only as the historical current-stage formulation.</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sz w:val="24"/>
          <w:szCs w:val="24"/>
        </w:rP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pStyle w:val="Heading1"/>
        <w:pageBreakBefore/>
        <w:spacing w:after="160" w:before="400"/>
      </w:pPr>
      <w:r>
        <w:t xml:space="preserve">7  Current Progress Status</w:t>
      </w:r>
    </w:p>
    <w:p>
      <w:pPr>
        <w:pStyle w:val="Heading2"/>
        <w:spacing w:after="160" w:before="280"/>
      </w:pPr>
      <w: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sz w:val="22"/>
          <w:szCs w:val="22"/>
        </w:rPr>
        <w:t xml:space="preserve">C = (I, A, P,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p>
      <w:pPr>
        <w:pStyle w:val="Heading2"/>
        <w:spacing w:after="160" w:before="280"/>
      </w:pPr>
      <w:r>
        <w:t xml:space="preserve">7.2  Progress of RO2: Decentralised Identity and Authority</w:t>
      </w:r>
    </w:p>
    <w:p>
      <w:pPr>
        <w:spacing w:after="40" w:before="60"/>
      </w:pPr>
      <w:r>
        <w:rPr>
          <w:rFonts w:ascii="Cambria" w:cs="Cambria" w:eastAsia="Cambria" w:hAnsi="Cambria"/>
          <w:b/>
          <w:bCs/>
          <w:color w:val="C00000"/>
          <w:sz w:val="18"/>
          <w:szCs w:val="18"/>
        </w:rPr>
        <w:t xml:space="preserve">[EDIT 65 — place at: Page 88, §7.2–7.3 (RO2, RO3)] </w:t>
      </w:r>
    </w:p>
    <w:p>
      <w:pPr>
        <w:spacing w:after="140" w:line="300"/>
        <w:jc w:val="both"/>
      </w:pPr>
      <w:r>
        <w:rPr>
          <w:rFonts w:ascii="Cambria" w:cs="Cambria" w:eastAsia="Cambria" w:hAnsi="Cambria"/>
          <w:color w:val="C00000"/>
          <w:sz w:val="24"/>
          <w:szCs w:val="24"/>
        </w:rPr>
        <w:t xml:space="preserve">(Append to §7.3) In the current prototype the threshold is fixed at N-of-N: every listed guardian must approve, each through an EIP-712 typed-data signature verified by cryptographic recovery, with the two-guardian case evaluated end-to-end. Configurable k-of-n thresholds remain future work. (Append to §7.2) In the prototype, VI performs identifier- and credential-format validation; cryptographic DID resolution against a registry and requester authentication are acknowledged limitations reserved for the next stage.</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pStyle w:val="Heading2"/>
        <w:spacing w:after="160" w:before="280"/>
      </w:pPr>
      <w: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pStyle w:val="Heading2"/>
        <w:spacing w:after="160" w:before="280"/>
      </w:pPr>
      <w:r>
        <w:t xml:space="preserve">7.4  Progress of RO4: Policy-Aware Access Control</w:t>
      </w:r>
    </w:p>
    <w:p>
      <w:pPr>
        <w:spacing w:after="140" w:line="300"/>
        <w:jc w:val="both"/>
      </w:pPr>
      <w:r>
        <w:rPr>
          <w:rFonts w:ascii="Cambria" w:cs="Cambria" w:eastAsia="Cambria" w:hAnsi="Cambria"/>
          <w:sz w:val="24"/>
          <w:szCs w:val="24"/>
        </w:rPr>
        <w:t xml:space="preserve">Status: In Progress</w:t>
      </w:r>
    </w:p>
    <w:p>
      <w:pPr>
        <w:spacing w:after="140" w:line="300"/>
        <w:jc w:val="both"/>
      </w:pPr>
      <w:r>
        <w:rPr>
          <w:rFonts w:ascii="Cambria" w:cs="Cambria" w:eastAsia="Cambria" w:hAnsi="Cambria"/>
          <w:sz w:val="24"/>
          <w:szCs w:val="24"/>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140" w:line="300"/>
        <w:jc w:val="both"/>
      </w:pPr>
      <w:r>
        <w:rPr>
          <w:rFonts w:ascii="Cambria" w:cs="Cambria" w:eastAsia="Cambria" w:hAnsi="Cambria"/>
          <w:sz w:val="24"/>
          <w:szCs w:val="24"/>
          <w:highlight w:val="yellow"/>
        </w:rPr>
        <w:t xml:space="preserve">For example, if S</w:t>
      </w:r>
      <w:r>
        <w:rPr>
          <w:rFonts w:ascii="Cambria" w:cs="Cambria" w:eastAsia="Cambria" w:hAnsi="Cambria"/>
          <w:sz w:val="24"/>
          <w:szCs w:val="24"/>
          <w:highlight w:val="yellow"/>
          <w:vertAlign w:val="subscript"/>
        </w:rPr>
        <w:t xml:space="preserve">C</w:t>
      </w:r>
      <w:r>
        <w:rPr>
          <w:rFonts w:ascii="Cambria" w:cs="Cambria" w:eastAsia="Cambria" w:hAnsi="Cambria"/>
          <w:sz w:val="24"/>
          <w:szCs w:val="24"/>
          <w:highlight w:val="yellow"/>
        </w:rPr>
        <w:t xml:space="preserve"> = {Observation, Medication}, and the requester asks for S</w:t>
      </w:r>
      <w:r>
        <w:rPr>
          <w:rFonts w:ascii="Cambria" w:cs="Cambria" w:eastAsia="Cambria" w:hAnsi="Cambria"/>
          <w:sz w:val="24"/>
          <w:szCs w:val="24"/>
          <w:highlight w:val="yellow"/>
          <w:vertAlign w:val="subscript"/>
        </w:rPr>
        <w:t xml:space="preserve">R</w:t>
      </w:r>
      <w:r>
        <w:rPr>
          <w:rFonts w:ascii="Cambria" w:cs="Cambria" w:eastAsia="Cambria" w:hAnsi="Cambria"/>
          <w:sz w:val="24"/>
          <w:szCs w:val="24"/>
          <w:highlight w:val="yellow"/>
        </w:rPr>
        <w:t xml:space="preserve"> = {Observation, Medic the request should be rejected because S</w:t>
      </w:r>
      <w:r>
        <w:rPr>
          <w:rFonts w:ascii="Cambria" w:cs="Cambria" w:eastAsia="Cambria" w:hAnsi="Cambria"/>
          <w:sz w:val="24"/>
          <w:szCs w:val="24"/>
          <w:highlight w:val="yellow"/>
          <w:vertAlign w:val="subscript"/>
        </w:rPr>
        <w:t xml:space="preserve">R</w:t>
      </w:r>
      <w:r>
        <w:rPr>
          <w:rFonts w:ascii="Cambria" w:cs="Cambria" w:eastAsia="Cambria" w:hAnsi="Cambria"/>
          <w:sz w:val="24"/>
          <w:szCs w:val="24"/>
          <w:highlight w:val="yellow"/>
        </w:rPr>
        <w:t xml:space="preserve"> ⊈ S</w:t>
      </w:r>
      <w:r>
        <w:rPr>
          <w:rFonts w:ascii="Cambria" w:cs="Cambria" w:eastAsia="Cambria" w:hAnsi="Cambria"/>
          <w:sz w:val="24"/>
          <w:szCs w:val="24"/>
          <w:highlight w:val="yellow"/>
          <w:vertAlign w:val="subscript"/>
        </w:rPr>
        <w:t xml:space="preserve">C</w:t>
      </w:r>
      <w:r>
        <w:rPr>
          <w:rFonts w:ascii="Cambria" w:cs="Cambria" w:eastAsia="Cambria" w:hAnsi="Cambria"/>
          <w:sz w:val="24"/>
          <w:szCs w:val="24"/>
          <w:highlight w:val="yellow"/>
        </w:rPr>
        <w:t xml:space="preserve">. The expected outcome is a policy-aware access-control mechanism capable of evaluating purpose and data-scope constraints before an access decision is issued. This objective will provide the final foundational component of the current stage trust-oriented authorisation model.</w:t>
      </w:r>
    </w:p>
    <w:p>
      <w:pPr>
        <w:spacing w:after="100" w:before="40"/>
        <w:ind w:left="240"/>
      </w:pPr>
      <w:r>
        <w:rPr>
          <w:rFonts w:ascii="Cambria" w:cs="Cambria" w:eastAsia="Cambria" w:hAnsi="Cambria"/>
          <w:b/>
          <w:bCs/>
          <w:sz w:val="19"/>
          <w:szCs w:val="19"/>
          <w:highlight w:val="yellow"/>
        </w:rPr>
        <w:t xml:space="preserve">⚠ REVIEW: Source defect: the set is clipped at the page margin in the original PDF (RO4 example, page 89) - complete it, e.g. {Observation, Medication}.</w:t>
      </w:r>
    </w:p>
    <w:p>
      <w:pPr>
        <w:spacing w:after="40" w:before="60"/>
      </w:pPr>
      <w:r>
        <w:rPr>
          <w:rFonts w:ascii="Cambria" w:cs="Cambria" w:eastAsia="Cambria" w:hAnsi="Cambria"/>
          <w:b/>
          <w:bCs/>
          <w:color w:val="C00000"/>
          <w:sz w:val="18"/>
          <w:szCs w:val="18"/>
        </w:rPr>
        <w:t xml:space="preserve">[EDIT 66] </w:t>
      </w:r>
    </w:p>
    <w:p>
      <w:pPr>
        <w:spacing w:after="140" w:line="300"/>
        <w:jc w:val="both"/>
      </w:pPr>
      <w:r>
        <w:rPr>
          <w:rFonts w:ascii="Cambria" w:cs="Cambria" w:eastAsia="Cambria" w:hAnsi="Cambria"/>
          <w:color w:val="C00000"/>
          <w:sz w:val="24"/>
          <w:szCs w:val="24"/>
        </w:rPr>
        <w:t xml:space="preserve">Status: Completed at the prototype level. The policy predicate VP is implemented: each access request declares a purpose and a requested data scope S_R, and the request is rejected whenever S_R is not a subset of the authorised scope S_C. The predicate is evaluated as one term of the complete decision matrix VI ∧ VA ∧ VP ∧ VT ∧ VL, and every denial names the failed checks explicitly in both the interface and the audit ledger. Input validation on consent creation and access requests prevents malformed identifiers, scopes and jurisdictions from reaching the decision logic. Policy-aware access control is therefore an enforced property of the running system rather than an expected outcome.</w:t>
      </w:r>
    </w:p>
    <w:p>
      <w:pPr>
        <w:pStyle w:val="Heading2"/>
        <w:spacing w:after="160" w:before="280"/>
      </w:pPr>
      <w:r>
        <w:t xml:space="preserve">7.5  Progress of RO5: Temporal and Lifecycle Trust</w:t>
      </w:r>
    </w:p>
    <w:p>
      <w:pPr>
        <w:spacing w:after="140" w:line="300"/>
        <w:jc w:val="both"/>
      </w:pPr>
      <w:r>
        <w:rPr>
          <w:rFonts w:ascii="Cambria" w:cs="Cambria" w:eastAsia="Cambria" w:hAnsi="Cambria"/>
          <w:sz w:val="24"/>
          <w:szCs w:val="24"/>
        </w:rPr>
        <w:t xml:space="preserve">Status: In Progress</w:t>
      </w:r>
    </w:p>
    <w:p>
      <w:pPr>
        <w:spacing w:after="140" w:line="300"/>
        <w:jc w:val="both"/>
      </w:pPr>
      <w:r>
        <w:rPr>
          <w:rFonts w:ascii="Cambria" w:cs="Cambria" w:eastAsia="Cambria" w:hAnsi="Cambria"/>
          <w:sz w:val="24"/>
          <w:szCs w:val="24"/>
        </w:rPr>
        <w:t xml:space="preserve">RO5 is reserved primarily for next stage. The objective is to introduce temporal and lifecycle trust so that consent is not considered permanently valid after creation or approval. A future consent validity interval will be represented as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with temporal validity defined as</w:t>
      </w:r>
    </w:p>
    <w:p>
      <w:pPr>
        <w:spacing w:after="40" w:before="60"/>
      </w:pPr>
      <w:r>
        <w:rPr>
          <w:rFonts w:ascii="Cambria" w:cs="Cambria" w:eastAsia="Cambria" w:hAnsi="Cambria"/>
          <w:b/>
          <w:bCs/>
          <w:color w:val="C00000"/>
          <w:sz w:val="18"/>
          <w:szCs w:val="18"/>
        </w:rPr>
        <w:t xml:space="preserve">[EDIT 67] </w:t>
      </w:r>
    </w:p>
    <w:p>
      <w:pPr>
        <w:spacing w:after="140" w:line="300"/>
        <w:jc w:val="both"/>
      </w:pPr>
      <w:r>
        <w:rPr>
          <w:rFonts w:ascii="Cambria" w:cs="Cambria" w:eastAsia="Cambria" w:hAnsi="Cambria"/>
          <w:color w:val="C00000"/>
          <w:sz w:val="24"/>
          <w:szCs w:val="24"/>
        </w:rPr>
        <w:t xml:space="preserve">Status: Largely Completed. RO5 has moved from planned work to implemented capability. The consent validity interval [t_s, t_e] is now enforced by the temporal predicate VT at every access request and is additionally stored on-chain in the SBT as the notBefore and expiry fields, so temporal validity can be verified independently of the application. The consent lifecycle is implemented as an explicit state machine (PENDING_SIGNATURE, PENDING_TOKEN, NOT_STARTED, ACTIVE, EXPIRED,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 dynamic and delegated dimension of lifecycle trust, such as consent modification, delegation and guardian-set changes, rather than temporal enforcement itself.</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sz w:val="24"/>
          <w:szCs w:val="24"/>
        </w:rPr>
        <w:t xml:space="preserve">The consent lifecycle will also be extended to represent controlled transitions such as Specification → Verification → Approval → Active → Expiration/Revocation. The expected outcome is a lifecycle-aware consent mechanism capable of rejecting access after expiration or revocation and preventing unauthorised lifecycle transitions. This work will constitute a major component of next stage.</w:t>
      </w:r>
    </w:p>
    <w:p>
      <w:pPr>
        <w:pStyle w:val="Heading2"/>
        <w:spacing w:after="160" w:before="280"/>
      </w:pPr>
      <w:r>
        <w:t xml:space="preserve">7.6  Progress of RO6: Security Assurance and Validation</w:t>
      </w:r>
    </w:p>
    <w:p>
      <w:pPr>
        <w:spacing w:after="140" w:line="300"/>
        <w:jc w:val="both"/>
      </w:pPr>
      <w:r>
        <w:rPr>
          <w:rFonts w:ascii="Cambria" w:cs="Cambria" w:eastAsia="Cambria" w:hAnsi="Cambria"/>
          <w:sz w:val="24"/>
          <w:szCs w:val="24"/>
        </w:rPr>
        <w:t xml:space="preserve">Status: Partially Completed (RQ1-RQ3)</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The current validation focuses primarily on RQ1, RQ2, and RQ3. Representative scenarios include valid identity verification, invalid identity or credential submission, insufficient multiparty approval, and successful completion of the required approval threshold. The central decision model can be formulated as</w:t>
      </w:r>
    </w:p>
    <w:p>
      <w:pPr>
        <w:spacing w:after="40" w:before="60"/>
      </w:pPr>
      <w:r>
        <w:rPr>
          <w:rFonts w:ascii="Cambria" w:cs="Cambria" w:eastAsia="Cambria" w:hAnsi="Cambria"/>
          <w:b/>
          <w:bCs/>
          <w:color w:val="C00000"/>
          <w:sz w:val="18"/>
          <w:szCs w:val="18"/>
        </w:rPr>
        <w:t xml:space="preserve">[EDIT 68] </w:t>
      </w:r>
    </w:p>
    <w:p>
      <w:pPr>
        <w:spacing w:after="140" w:line="300"/>
        <w:jc w:val="both"/>
      </w:pPr>
      <w:r>
        <w:rPr>
          <w:rFonts w:ascii="Cambria" w:cs="Cambria" w:eastAsia="Cambria" w:hAnsi="Cambria"/>
          <w:color w:val="C00000"/>
          <w:sz w:val="24"/>
          <w:szCs w:val="24"/>
        </w:rPr>
        <w:t xml:space="preserve">Status: Partially Completed. Empirical validation now covers all six trust dimensions. A suite of 23 automated tests exercises per-dimension failures of the decision matrix, rejection of invalid EIP-712 guardian signatures, and tampered or expired zero-knowledge proofs. Live validation on Sepolia includes a negative demonstration in which a request declaring jurisdiction SA against a consent issued for AU is denied with VL named as the failed check, and a revocation scenario in which the same consent, once revoked on-chain, is subsequently denied through VA. An independent verification tool re-checks every ledger transaction hash against Sepolia receipts and reads each token back from the contract, reporting that all checks passed, and every granted access is accompanied by a real Groth16 proof generated and verified at request time. The implemented decision rule is Decision(C, R, t) = ALLOW iff VI ∧ VA ∧ VP ∧ VT ∧ VL. Formal security analysis and a systematic performance study remain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sz w:val="24"/>
          <w:szCs w:val="24"/>
        </w:rPr>
        <w:t xml:space="preserve">At the current stage, the experimental evidence primarily demonstrates the consistency between the implemented consent, identity, and multi-party authorisation mechanisms and their corresponding research questions.</w:t>
      </w:r>
    </w:p>
    <w:p>
      <w:pPr>
        <w:spacing w:after="140" w:line="300"/>
        <w:jc w:val="both"/>
      </w:pPr>
      <w:r>
        <w:rPr>
          <w:rFonts w:ascii="Cambria" w:cs="Cambria" w:eastAsia="Cambria" w:hAnsi="Cambria"/>
          <w:strike/>
          <w:color w:val="808080"/>
          <w:sz w:val="24"/>
          <w:szCs w:val="24"/>
        </w:rPr>
        <w:t xml:space="preserve">The remaining security assurance and comprehensive empirical evaluation will be conducted in next stage. These activities will include policy-violation scenarios, temporal expiration, revocation, invalid lifecycle transitions, formal security properties, and broader experimental validation.</w:t>
      </w:r>
    </w:p>
    <w:p>
      <w:pPr>
        <w:spacing w:after="40" w:before="60"/>
      </w:pPr>
      <w:r>
        <w:rPr>
          <w:rFonts w:ascii="Cambria" w:cs="Cambria" w:eastAsia="Cambria" w:hAnsi="Cambria"/>
          <w:b/>
          <w:bCs/>
          <w:color w:val="C00000"/>
          <w:sz w:val="18"/>
          <w:szCs w:val="18"/>
        </w:rPr>
        <w:t xml:space="preserve">[EDIT 69] </w:t>
      </w:r>
    </w:p>
    <w:p>
      <w:pPr>
        <w:spacing w:after="140" w:line="300"/>
        <w:jc w:val="both"/>
      </w:pPr>
      <w:r>
        <w:rPr>
          <w:rFonts w:ascii="Cambria" w:cs="Cambria" w:eastAsia="Cambria" w:hAnsi="Cambria"/>
          <w:color w:val="C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narrower: formal definition and verification of the security properties, a systematic performance and overhead study, and the removal of prototype limitations such as N-of-N approval, server-derived guardian keys and the unauthenticated requester role.</w:t>
      </w:r>
    </w:p>
    <w:p>
      <w:pPr>
        <w:pStyle w:val="Heading1"/>
        <w:pageBreakBefore/>
        <w:spacing w:after="160" w:before="400"/>
      </w:pPr>
      <w: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keepNext/>
        <w:spacing w:after="80" w:before="160"/>
        <w:jc w:val="center"/>
      </w:pPr>
      <w:r>
        <w:rPr>
          <w:rFonts w:ascii="Cambria" w:cs="Cambria" w:eastAsia="Cambria" w:hAnsi="Cambria"/>
          <w:b/>
          <w:bCs/>
          <w:sz w:val="21"/>
          <w:szCs w:val="21"/>
        </w:rPr>
        <w:t xml:space="preserve">Table 7: </w:t>
      </w:r>
      <w:r>
        <w:rPr>
          <w:rFonts w:ascii="Cambria" w:cs="Cambria" w:eastAsia="Cambria" w:hAnsi="Cambria"/>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addresses RQ1-RQ4 (Chapters 3-4).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Decentralised implementation and performance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evaluation (Chapter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Specialized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addresses formal security assurance (Chapter 6).</w:t>
            </w:r>
          </w:p>
        </w:tc>
      </w:tr>
    </w:tbl>
    <w:p>
      <w:pPr>
        <w:spacing w:after="180"/>
      </w:pPr>
    </w:p>
    <w:p>
      <w:pPr>
        <w:spacing w:after="40" w:before="60"/>
      </w:pPr>
      <w:r>
        <w:rPr>
          <w:rFonts w:ascii="Cambria" w:cs="Cambria" w:eastAsia="Cambria" w:hAnsi="Cambria"/>
          <w:b/>
          <w:bCs/>
          <w:color w:val="C00000"/>
          <w:sz w:val="18"/>
          <w:szCs w:val="18"/>
        </w:rPr>
        <w:t xml:space="preserve">[EDIT 70 — place at: Page 90, §8, Table 7] </w:t>
      </w:r>
    </w:p>
    <w:p>
      <w:pPr>
        <w:spacing w:after="140" w:line="300"/>
        <w:jc w:val="both"/>
      </w:pPr>
      <w:r>
        <w:rPr>
          <w:rFonts w:ascii="Cambria" w:cs="Cambria" w:eastAsia="Cambria" w:hAnsi="Cambria"/>
          <w:color w:val="C00000"/>
          <w:sz w:val="24"/>
          <w:szCs w:val="24"/>
        </w:rPr>
        <w:t xml:space="preserve">TABLE EDIT — status: “Decentralised implementation and scenario-based validation complete on the Sepolia public testnet; performance evaluation outstanding.” The paper’s empirical section can now draw on the deployed contract, the two minted tokens and the verified transaction trail as delivered evidence.</w:t>
      </w: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t xml:space="preserve">9.1  Current Stage: Completed and Current Work</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spacing w:after="140" w:line="300"/>
        <w:jc w:val="both"/>
      </w:pPr>
      <w:r>
        <w:rPr>
          <w:rFonts w:ascii="Cambria" w:cs="Cambria" w:eastAsia="Cambria" w:hAnsi="Cambria"/>
          <w:sz w:val="24"/>
          <w:szCs w:val="24"/>
        </w:rPr>
        <w:t xml:space="preserve">The progression is RO1, RO2, RO3 and then RO4, in which RO1, RO2, and RO3 have been implemented and initially validated through the HALAH prototype. RO4 represents the current transition towards policy-aware access control.</w:t>
      </w:r>
    </w:p>
    <w:p>
      <w:pPr>
        <w:spacing w:after="40" w:before="60"/>
      </w:pPr>
      <w:r>
        <w:rPr>
          <w:rFonts w:ascii="Cambria" w:cs="Cambria" w:eastAsia="Cambria" w:hAnsi="Cambria"/>
          <w:b/>
          <w:bCs/>
          <w:color w:val="C00000"/>
          <w:sz w:val="18"/>
          <w:szCs w:val="18"/>
        </w:rPr>
        <w:t xml:space="preserve">[EDIT 71] </w:t>
      </w:r>
    </w:p>
    <w:p>
      <w:pPr>
        <w:spacing w:after="140" w:line="300"/>
        <w:jc w:val="both"/>
      </w:pPr>
      <w:r>
        <w:rPr>
          <w:rFonts w:ascii="Cambria" w:cs="Cambria" w:eastAsia="Cambria" w:hAnsi="Cambria"/>
          <w:color w:val="C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publicly inspectable on Etherscan.</w:t>
      </w:r>
    </w:p>
    <w:p>
      <w:pPr>
        <w:pStyle w:val="Heading2"/>
        <w:spacing w:after="160" w:before="280"/>
      </w:pPr>
      <w:r>
        <w:t xml:space="preserve">9.2  Next Stage: Planned Work</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sz w:val="24"/>
          <w:szCs w:val="24"/>
          <w:highlight w:val="yellow"/>
        </w:rPr>
        <w:t xml:space="preserve">The first major focus of next stageis the introduction of temporal and lifecycle trust. In the current framework, identity, multi-party approval, and policy compliance provide the principal conditions for an authorisation decision. However, authorisation is not necessarily permanent. A consent decision may become invalid because its validity period has expired, because the patient or an authorised participant has revoked the consent, or because the consent has transitioned into a state in which access should no longer be permitted. Next stage will therefore extend the consent model to explicitly represent temporal constraints and controlled lifecycle transitions. This extension will allow the framework to distinguish between a consent that was previously valid and a consent that remains valid at the time of a particular access request.</w:t>
      </w:r>
    </w:p>
    <w:p>
      <w:pPr>
        <w:spacing w:after="100" w:before="40"/>
        <w:ind w:left="240"/>
      </w:pPr>
      <w:r>
        <w:rPr>
          <w:rFonts w:ascii="Cambria" w:cs="Cambria" w:eastAsia="Cambria" w:hAnsi="Cambria"/>
          <w:b/>
          <w:bCs/>
          <w:sz w:val="19"/>
          <w:szCs w:val="19"/>
          <w:highlight w:val="yellow"/>
        </w:rPr>
        <w:t xml:space="preserve">⚠ REVIEW: Source typo: 'next stageis' should read 'next stage is'.</w:t>
      </w:r>
    </w:p>
    <w:p>
      <w:pPr>
        <w:spacing w:after="40" w:before="60"/>
      </w:pPr>
      <w:r>
        <w:rPr>
          <w:rFonts w:ascii="Cambria" w:cs="Cambria" w:eastAsia="Cambria" w:hAnsi="Cambria"/>
          <w:b/>
          <w:bCs/>
          <w:color w:val="C00000"/>
          <w:sz w:val="18"/>
          <w:szCs w:val="18"/>
        </w:rPr>
        <w:t xml:space="preserve">[EDIT 72] </w:t>
      </w:r>
    </w:p>
    <w:p>
      <w:pPr>
        <w:spacing w:after="140" w:line="300"/>
        <w:jc w:val="both"/>
      </w:pPr>
      <w:r>
        <w:rPr>
          <w:rFonts w:ascii="Cambria" w:cs="Cambria" w:eastAsia="Cambria" w:hAnsi="Cambria"/>
          <w:color w:val="C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The next stage accordingly concentrates on two remaining foci: formal security assurance and comprehensive empirical validation, including performance measurement.</w:t>
      </w:r>
    </w:p>
    <w:p>
      <w:pPr>
        <w:spacing w:after="140" w:line="300"/>
        <w:jc w:val="both"/>
      </w:pPr>
      <w:r>
        <w:rPr>
          <w:rFonts w:ascii="Cambria" w:cs="Cambria" w:eastAsia="Cambria" w:hAnsi="Cambria"/>
          <w:sz w:val="24"/>
          <w:szCs w:val="24"/>
        </w:rPr>
        <w:t xml:space="preserve">The second focus is formal security assurance. The current stage framework establishes the conceptual relationship between identity verification, collective authorisation, and policy enforcement. next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third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8.</w:t>
      </w:r>
    </w:p>
    <w:p>
      <w:pPr>
        <w:keepNext/>
        <w:spacing w:after="80" w:before="160"/>
        <w:jc w:val="center"/>
      </w:pPr>
      <w:r>
        <w:rPr>
          <w:rFonts w:ascii="Cambria" w:cs="Cambria" w:eastAsia="Cambria" w:hAnsi="Cambria"/>
          <w:b/>
          <w:bCs/>
          <w:sz w:val="21"/>
          <w:szCs w:val="21"/>
        </w:rPr>
        <w:t xml:space="preserve">Table 8: </w:t>
      </w:r>
      <w:r>
        <w:rPr>
          <w:rFonts w:ascii="Cambria" w:cs="Cambria" w:eastAsia="Cambria" w:hAnsi="Cambria"/>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and Lifecycle Trust
(Dynamic Consent States)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consent model to incorporate validity periods, dynamic expiration, immediate revocation, and controlled lifecycle transitions.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Trust Computing framework providing secure, multi-party patient consent and decentralised healthcare data sharing.</w:t>
            </w:r>
          </w:p>
        </w:tc>
      </w:tr>
    </w:tbl>
    <w:p>
      <w:pPr>
        <w:spacing w:after="180"/>
      </w:pPr>
    </w:p>
    <w:p>
      <w:pPr>
        <w:spacing w:after="40" w:before="60"/>
      </w:pPr>
      <w:r>
        <w:rPr>
          <w:rFonts w:ascii="Cambria" w:cs="Cambria" w:eastAsia="Cambria" w:hAnsi="Cambria"/>
          <w:b/>
          <w:bCs/>
          <w:color w:val="C00000"/>
          <w:sz w:val="18"/>
          <w:szCs w:val="18"/>
        </w:rPr>
        <w:t xml:space="preserve">[EDIT 73 — place at: Page 92, Table 8] </w:t>
      </w:r>
    </w:p>
    <w:p>
      <w:pPr>
        <w:spacing w:after="140" w:line="300"/>
        <w:jc w:val="both"/>
      </w:pPr>
      <w:r>
        <w:rPr>
          <w:rFonts w:ascii="Cambria" w:cs="Cambria" w:eastAsia="Cambria" w:hAnsi="Cambria"/>
          <w:color w:val="C00000"/>
          <w:sz w:val="24"/>
          <w:szCs w:val="24"/>
        </w:rPr>
        <w:t xml:space="preserve">TABLE EDIT — mark Temporal and Lifecycle Trust as Completed (evidence: on-chain notBefore/expiry; revoke transaction in block 11,771,307; state machine); annotate Comprehensive Empirical Validation as partially delivered (23 automated tests; live jurisdiction denial and revocation-then-denial on Sepolia; independent chain verification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next stagewill complete the transition from the foundational authorisation mechanisms established in current stage to a dynamically managed, formally reasoned, and empirically validated Trust Computing framework.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t xml:space="preserve">Appendix A — Traceability to the Implemented System (generated)</w:t>
      </w:r>
    </w:p>
    <w:p>
      <w:pPr>
        <w:spacing w:after="140" w:line="300"/>
        <w:jc w:val="both"/>
      </w:pPr>
      <w:r>
        <w:rPr>
          <w:rFonts w:ascii="Cambria" w:cs="Cambria" w:eastAsia="Cambria" w:hAnsi="Cambria"/>
          <w:color w:val="C00000"/>
          <w:sz w:val="24"/>
          <w:szCs w:val="24"/>
        </w:rPr>
        <w:t xml:space="preserve">Table A summarises how each formal artefact of this report is realised in the implemented HALAH v1.2 subsystem, as documented in the companion chapter HALAH Implementation v1.3,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Guardian subsystem: EIP-712 typed-data signatures, off-chain signer recovery per guardian DID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Decision rule and trust predicates, Eq. (59), Figure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§5.2,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§6.4 (next stage)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Six-state lifecycle with on-chain revocation (Figure A)</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60-event ledger; RESULT: ALL CHECKS PASSED; token #2, block 11,771,581</w:t>
            </w:r>
          </w:p>
        </w:tc>
      </w:tr>
    </w:tbl>
    <w:p>
      <w:pPr>
        <w:spacing w:before="60"/>
        <w:jc w:val="center"/>
      </w:pPr>
      <w:r>
        <w:rPr>
          <w:rFonts w:ascii="Cambria" w:cs="Cambria" w:eastAsia="Cambria" w:hAnsi="Cambria"/>
          <w:i/>
          <w:iCs/>
          <w:color w:val="C00000"/>
          <w:sz w:val="19"/>
          <w:szCs w:val="19"/>
        </w:rPr>
        <w:t xml:space="preserve">Table A: Traceability from the formal artefacts of this report to the implemented mechanisms and their on-chain evidence.</w:t>
      </w:r>
    </w:p>
    <w:p>
      <w:pPr>
        <w:pStyle w:val="Heading1"/>
        <w:pageBreakBefore/>
        <w:spacing w:after="160" w:before="400"/>
      </w:pPr>
      <w:r>
        <w:t xml:space="preserve">References</w:t>
      </w:r>
    </w:p>
    <w:p>
      <w:pPr>
        <w:spacing w:after="160"/>
      </w:pPr>
      <w:r>
        <w:rPr>
          <w:rFonts w:ascii="Cambria" w:cs="Cambria" w:eastAsia="Cambria" w:hAnsi="Cambria"/>
          <w:b/>
          <w:bCs/>
          <w:sz w:val="19"/>
          <w:szCs w:val="19"/>
          <w:highlight w:val="green"/>
        </w:rPr>
        <w:t xml:space="preserve">✔ CITATION AUDIT (six-agent review): all 33 references are present and numbered sequentially; every reference is cited at least once in the body (158 in-text citations; none outside [1]–[33]); the PRISMA counts (125 → 83 → 43 → 40 → 33) are arithmetically consistent with the 33 listed studies.</w:t>
      </w:r>
    </w:p>
    <w:p>
      <w:pPr>
        <w:spacing w:after="140" w:line="300"/>
        <w:jc w:val="both"/>
      </w:pPr>
      <w:r>
        <w:rPr>
          <w:rFonts w:ascii="Cambria" w:cs="Cambria" w:eastAsia="Cambria" w:hAnsi="Cambria"/>
          <w:sz w:val="24"/>
          <w:szCs w:val="24"/>
        </w:rPr>
        <w:t xml:space="preserve">[1] Abdullah Al Mamun, Sami Azam, and Clementine Gritti. Blockchain-based electronic health records management: a comprehensive review and future research direction.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bCs/>
          <w:color w:val="007A00"/>
          <w:sz w:val="24"/>
          <w:szCs w:val="24"/>
        </w:rPr>
        <w:t xml:space="preserve">IEEE Communications Surveys &amp; Tutorials</w:t>
      </w:r>
      <w:r>
        <w:rPr>
          <w:rFonts w:ascii="Cambria" w:cs="Cambria" w:eastAsia="Cambria" w:hAnsi="Cambria"/>
          <w:sz w:val="24"/>
          <w:szCs w:val="24"/>
        </w:rPr>
        <w:t xml:space="preserve">, 25(1):386–424, 2022.</w:t>
      </w:r>
    </w:p>
    <w:p>
      <w:pPr>
        <w:spacing w:after="140" w:line="300"/>
        <w:jc w:val="both"/>
      </w:pPr>
      <w:r>
        <w:rPr>
          <w:rFonts w:ascii="Cambria" w:cs="Cambria" w:eastAsia="Cambria" w:hAnsi="Cambria"/>
          <w:sz w:val="24"/>
          <w:szCs w:val="24"/>
        </w:rPr>
        <w:t xml:space="preserve">[4] Haotian Deng, Jinwen Liang, Chuan Zhang, Ximeng Liu, Liehuang Zhu, and Song Guo. Futuredid: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Blockchain application in healthcare systems: a review.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bCs/>
          <w:color w:val="007A00"/>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bCs/>
          <w:color w:val="007A00"/>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bCs/>
          <w:color w:val="007A00"/>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ucon-based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Glann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bCs/>
          <w:color w:val="007A00"/>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bCs/>
          <w:color w:val="007A00"/>
          <w:sz w:val="24"/>
          <w:szCs w:val="24"/>
        </w:rPr>
        <w:t xml:space="preserve">1(2):</w:t>
      </w:r>
      <w:r>
        <w:rPr>
          <w:rFonts w:ascii="Cambria" w:cs="Cambria" w:eastAsia="Cambria" w:hAnsi="Cambria"/>
          <w:sz w:val="24"/>
          <w:szCs w:val="24"/>
        </w:rPr>
        <w:t xml:space="preserve">244–271, 2023 </w:t>
      </w:r>
      <w:r>
        <w:rPr>
          <w:rFonts w:ascii="Cambria" w:cs="Cambria" w:eastAsia="Cambria" w:hAnsi="Cambria"/>
          <w:b/>
          <w:bCs/>
          <w:color w:val="007A00"/>
          <w:sz w:val="24"/>
          <w:szCs w:val="24"/>
        </w:rPr>
        <w:t xml:space="preserve">(volume/issue to be confirmed against the publisher's record)</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b/>
          <w:bCs/>
          <w:color w:val="007A00"/>
          <w:sz w:val="24"/>
          <w:szCs w:val="24"/>
        </w:rPr>
        <w:t xml:space="preserve">vol. 27,</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Andrei McCall. Privacy-preserving interoperability in healthcare data ecosystems: balancing data sharing with individual autonomy. </w:t>
      </w:r>
      <w:r>
        <w:rPr>
          <w:rFonts w:ascii="Cambria" w:cs="Cambria" w:eastAsia="Cambria" w:hAnsi="Cambria"/>
          <w:b/>
          <w:bCs/>
          <w:color w:val="007A00"/>
          <w:sz w:val="24"/>
          <w:szCs w:val="24"/>
        </w:rPr>
        <w:t xml:space="preserve">IEEE Journal of Biomedical and Health Informatics</w:t>
      </w:r>
      <w:r>
        <w:rPr>
          <w:rFonts w:ascii="Cambria" w:cs="Cambria" w:eastAsia="Cambria" w:hAnsi="Cambria"/>
          <w:sz w:val="24"/>
          <w:szCs w:val="24"/>
        </w:rPr>
        <w:t xml:space="preserve">, 28(3):1234–1245, 2024.</w:t>
      </w:r>
    </w:p>
    <w:p>
      <w:pPr>
        <w:spacing w:after="140" w:line="300"/>
        <w:jc w:val="both"/>
      </w:pPr>
      <w:r>
        <w:rPr>
          <w:rFonts w:ascii="Cambria" w:cs="Cambria" w:eastAsia="Cambria" w:hAnsi="Cambria"/>
          <w:sz w:val="24"/>
          <w:szCs w:val="24"/>
        </w:rPr>
        <w:t xml:space="preserve">[22] Roy McClelland and Colin M Harper. Information privacy in healthcare—the vital role of informed consent. </w:t>
      </w:r>
      <w:r>
        <w:rPr>
          <w:rFonts w:ascii="Cambria" w:cs="Cambria" w:eastAsia="Cambria" w:hAnsi="Cambria"/>
          <w:b/>
          <w:bCs/>
          <w:color w:val="007A00"/>
          <w:sz w:val="24"/>
          <w:szCs w:val="24"/>
        </w:rPr>
        <w:t xml:space="preserve">European Journal of Health Law</w:t>
      </w:r>
      <w:r>
        <w:rPr>
          <w:rFonts w:ascii="Cambria" w:cs="Cambria" w:eastAsia="Cambria" w:hAnsi="Cambria"/>
          <w:sz w:val="24"/>
          <w:szCs w:val="24"/>
        </w:rPr>
        <w:t xml:space="preserve">, 30(4):469–480, 2022.</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Enhancing patient autonomy in data ownership: privacy models and consent frameworks for healthcare. Journal of Digital Health, pages 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bCs/>
          <w:color w:val="007A00"/>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ACM Transactions on Management Information Systems (TMIS), 13(4):1–21, 2022.</w:t>
      </w:r>
    </w:p>
    <w:p>
      <w:pPr>
        <w:spacing w:after="140" w:line="300"/>
        <w:jc w:val="both"/>
      </w:pPr>
      <w:r>
        <w:rPr>
          <w:rFonts w:ascii="Cambria" w:cs="Cambria" w:eastAsia="Cambria" w:hAnsi="Cambria"/>
          <w:sz w:val="24"/>
          <w:szCs w:val="24"/>
        </w:rPr>
        <w:t xml:space="preserve">[28] Ahmed M Tawfik, Ayman Al-Ahwal, Adly S Tag Eldien, and Hala H Zayed. Blockchain-based access control and privacy preservation in healthcare: a comprehensive survey.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bCs/>
          <w:color w:val="007A00"/>
          <w:sz w:val="24"/>
          <w:szCs w:val="24"/>
        </w:rPr>
        <w:t xml:space="preserve">Pediatrics, 144(1):e20191359, 2019 (the source lists 2022; the article was published in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bCs/>
          <w:color w:val="007A00"/>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Dp-did: A dynamic and proactive decentralized identity system. IEEE Transactions on Information Forensics and Security, </w:t>
      </w:r>
      <w:r>
        <w:rPr>
          <w:rFonts w:ascii="Cambria" w:cs="Cambria" w:eastAsia="Cambria" w:hAnsi="Cambria"/>
          <w:b/>
          <w:bCs/>
          <w:color w:val="007A00"/>
          <w:sz w:val="24"/>
          <w:szCs w:val="24"/>
        </w:rPr>
        <w:t xml:space="preserve">20:</w:t>
      </w:r>
      <w:r>
        <w:rPr>
          <w:rFonts w:ascii="Cambria" w:cs="Cambria" w:eastAsia="Cambria" w:hAnsi="Cambria"/>
          <w:sz w:val="24"/>
          <w:szCs w:val="24"/>
        </w:rPr>
        <w:t xml:space="preserve">4999–5014, 2025.</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23c62232b6ceb20480e68f424d7993b0e2f73d8.png"/><Relationship Id="rId9" Type="http://schemas.openxmlformats.org/officeDocument/2006/relationships/image" Target="media/d4fcae5448728df700f7fcb56b8fc5a1fc56fa7f.png"/><Relationship Id="rId10" Type="http://schemas.openxmlformats.org/officeDocument/2006/relationships/image" Target="media/2b536558d832546ec393dd67925c929dd6236fad.png"/><Relationship Id="rId11" Type="http://schemas.openxmlformats.org/officeDocument/2006/relationships/image" Target="media/e698f47fea018ba4e2802cc16cd6dfd9035c7463.png"/><Relationship Id="rId12" Type="http://schemas.openxmlformats.org/officeDocument/2006/relationships/image" Target="media/580bfb808c41b68f58dd6143da2bda07a4fdfcd6.png"/><Relationship Id="rId13" Type="http://schemas.openxmlformats.org/officeDocument/2006/relationships/image" Target="media/cfb68299954ed8f8f5e10a9a9db637b9bb1e6943.png"/><Relationship Id="rId14" Type="http://schemas.openxmlformats.org/officeDocument/2006/relationships/image" Target="media/afac86a350f9945eeb94b9ee246e19d29bb41335.png"/><Relationship Id="rId15" Type="http://schemas.openxmlformats.org/officeDocument/2006/relationships/image" Target="media/ee95cfbafdc45fc97602cba6ccc94f86e621b2e0.png"/><Relationship Id="rId16" Type="http://schemas.openxmlformats.org/officeDocument/2006/relationships/image" Target="media/8a0259851c9ce9543a4dd4e70fbf6ef776d64c4f.png"/><Relationship Id="rId17" Type="http://schemas.openxmlformats.org/officeDocument/2006/relationships/image" Target="media/751a1c2ff4c695ebcf2d04aee2d3822c664dbd66.png"/><Relationship Id="rId18" Type="http://schemas.openxmlformats.org/officeDocument/2006/relationships/image" Target="media/6b2eed335569e4023d73a2acfc049e4652246425.png"/><Relationship Id="rId19" Type="http://schemas.openxmlformats.org/officeDocument/2006/relationships/image" Target="media/fcbfc7caea7791f142b62cd810e09ae43c0a3029.png"/><Relationship Id="rId20" Type="http://schemas.openxmlformats.org/officeDocument/2006/relationships/image" Target="media/098992a49f33b5863197c094b0274b3a570ac6b0.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Authorization Framework for Multi-Party Patient Consent in Healthcare Data Sharing</dc:title>
  <dc:creator>Yasir Dhaifallah O Alyoubi</dc:creator>
  <cp:lastModifiedBy>Un-named</cp:lastModifiedBy>
  <cp:revision>1</cp:revision>
  <dcterms:created xsi:type="dcterms:W3CDTF">2026-09-24T22:07:30.820Z</dcterms:created>
  <dcterms:modified xsi:type="dcterms:W3CDTF">2026-09-24T22:07:30.820Z</dcterms:modified>
</cp:coreProperties>
</file>

<file path=docProps/custom.xml><?xml version="1.0" encoding="utf-8"?>
<Properties xmlns="http://schemas.openxmlformats.org/officeDocument/2006/custom-properties" xmlns:vt="http://schemas.openxmlformats.org/officeDocument/2006/docPropsVTypes"/>
</file>