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64</w:t>
      </w:r>
    </w:p>
    <w:p>
      <w:pPr>
        <w:tabs>
          <w:tab w:val="right" w:pos="9128" w:leader="dot"/>
        </w:tabs>
        <w:spacing w:after="100"/>
      </w:pPr>
      <w:r>
        <w:rPr>
          <w:rFonts w:ascii="Times New Roman" w:cs="Times New Roman" w:eastAsia="Times New Roman" w:hAnsi="Times New Roman"/>
          <w:sz w:val="22"/>
          <w:szCs w:val="22"/>
        </w:rPr>
        <w:t xml:space="preserve">13. Research Plan	65</w:t>
      </w:r>
    </w:p>
    <w:p>
      <w:pPr>
        <w:tabs>
          <w:tab w:val="right" w:pos="9128" w:leader="dot"/>
        </w:tabs>
        <w:spacing w:after="100"/>
      </w:pPr>
      <w:r>
        <w:rPr>
          <w:rFonts w:ascii="Times New Roman" w:cs="Times New Roman" w:eastAsia="Times New Roman" w:hAnsi="Times New Roman"/>
          <w:sz w:val="22"/>
          <w:szCs w:val="22"/>
        </w:rPr>
        <w:t xml:space="preserve">References	67</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represents a particularly important and challenging example of this broader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[16]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[35]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covers the work delivered so far, while temporal and lifecycle trust, formal security assurance, and comprehensive empirical validation will be developed further in the next stage.</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Identifiers (DIDs)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We screened, coded, and assessed every record,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main searches were performed in August 2026.</w:t>
      </w:r>
      <w:r>
        <w:rPr>
          <w:rFonts w:ascii="Times New Roman" w:cs="Times New Roman" w:eastAsia="Times New Roman" w:hAnsi="Times New Roman"/>
          <w:color w:val="00A000"/>
          <w:sz w:val="22"/>
          <w:szCs w:val="22"/>
        </w:rPr>
        <w:t xml:space="preserve"> 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A saturation rule was also defined, under which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all 39 Tier A records and 25 further records had been assessed, and 44 reports had been fully coded and passed the quality gate.</w:t>
      </w:r>
      <w:r>
        <w:rPr>
          <w:rFonts w:ascii="Times New Roman" w:cs="Times New Roman" w:eastAsia="Times New Roman" w:hAnsi="Times New Roman"/>
          <w:color w:val="00A000"/>
          <w:sz w:val="22"/>
          <w:szCs w:val="22"/>
        </w:rPr>
        <w:t xml:space="preserve"> One full-text report could not be retrieved, and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Table 1 shows the quality items, how each one was scored, and the rule used for inclusion.</w:t>
      </w:r>
      <w:r>
        <w:rPr>
          <w:rFonts w:ascii="Times New Roman" w:cs="Times New Roman" w:eastAsia="Times New Roman" w:hAnsi="Times New Roman"/>
          <w:color w:val="00A000"/>
          <w:sz w:val="22"/>
          <w:szCs w:val="22"/>
        </w:rPr>
        <w:t xml:space="preserve">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 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one stream, normally the one on which it is coded most strongly</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S6 [52] is placed in the multi-party stream for its guardian access gate, although it is graded Partial on Req 3.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Two of the three studies of this stream are deployed platforms graded Partial.</w:t>
      </w:r>
      <w:r>
        <w:rPr>
          <w:rFonts w:ascii="Times New Roman" w:cs="Times New Roman" w:eastAsia="Times New Roman" w:hAnsi="Times New Roman"/>
          <w:color w:val="00A000"/>
          <w:sz w:val="22"/>
          <w:szCs w:val="22"/>
        </w:rPr>
        <w:t xml:space="preserve"> SooHoo et al. [58]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[59]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The two platforms are single-party systems.</w:t>
      </w:r>
      <w:r>
        <w:rPr>
          <w:rFonts w:ascii="Times New Roman" w:cs="Times New Roman" w:eastAsia="Times New Roman" w:hAnsi="Times New Roman"/>
          <w:color w:val="00A000"/>
          <w:sz w:val="22"/>
          <w:szCs w:val="22"/>
        </w:rPr>
        <w:t xml:space="preserve">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among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[60]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[61] apply a (t, n) investigator threshold to record admission and revocation, and Abbasi et al. [50]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[27] reports guardian co-consent at registration time, and [52] gates guardian access by the minor's consent and a clinician's capacity assessment.</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The trust dimension T4 is coded Yes in 11 studies, Partial in 10, and No in 4, and the Req 4 grade in Table 4 is Yes in 10, Partial in 11,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[28] present EdgeConsent, which enforces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[57]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28, 29],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although the proofs cover only the identity and authority fragment.</w:t>
      </w:r>
      <w:r>
        <w:rPr>
          <w:rFonts w:ascii="Times New Roman" w:cs="Times New Roman" w:eastAsia="Times New Roman" w:hAnsi="Times New Roman"/>
          <w:color w:val="00A000"/>
          <w:sz w:val="22"/>
          <w:szCs w:val="22"/>
        </w:rPr>
        <w:t xml:space="preserve"> Zhao and Su [53] and Maruthi and Singh [54] prove threshold gates in isolation, and Mei et al. [55]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We observed an inverse relation between predicate breadth and assurance strength.</w:t>
      </w:r>
      <w:r>
        <w:rPr>
          <w:rFonts w:ascii="Times New Roman" w:cs="Times New Roman" w:eastAsia="Times New Roman" w:hAnsi="Times New Roman"/>
          <w:color w:val="00A000"/>
          <w:sz w:val="22"/>
          <w:szCs w:val="22"/>
        </w:rPr>
        <w:t xml:space="preserve"> Few studies execute adversarial scenarios that examine whether security controls can resist deliberate attempts to circumvent the authorisation process. 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highlight w:val="yellow"/>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condition, whereas the proved schemes either omit policy, temporal validity, and lifecycle or, as in [55], prove only a static encryption predicate. Table 4 summarises the 25 studies against the six requirements, where Yes denotes satisfied, Partial partially satisfied, and No not satisfied.</w:t>
      </w:r>
      <w:r>
        <w:rPr>
          <w:rFonts w:ascii="Times New Roman" w:cs="Times New Roman" w:eastAsia="Times New Roman" w:hAnsi="Times New Roman"/>
          <w:color w:val="00A000"/>
          <w:sz w:val="22"/>
          <w:szCs w:val="22"/>
        </w:rPr>
        <w:t xml:space="preserve"> 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[53, 54].</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 Table 5 in Section 2.6 positions the proposed framework relative to these requirements.</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left for the next stage (Sections 10 and 11).</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color w:val="00A000"/>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Multi-party authorisation of patient consent is not absent from the literature, since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reporting checkpoint and a single round of coding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w:t>
      </w:r>
      <w:r>
        <w:rPr>
          <w:rFonts w:ascii="Times New Roman" w:cs="Times New Roman" w:eastAsia="Times New Roman" w:hAnsi="Times New Roman"/>
          <w:color w:val="00A000"/>
          <w:sz w:val="22"/>
          <w:szCs w:val="22"/>
        </w:rPr>
        <w:t xml:space="preserve">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w:t>
      </w:r>
      <w:r>
        <w:rPr>
          <w:rFonts w:ascii="Times New Roman" w:cs="Times New Roman" w:eastAsia="Times New Roman" w:hAnsi="Times New Roman"/>
          <w:color w:val="00A000"/>
          <w:sz w:val="22"/>
          <w:szCs w:val="22"/>
        </w:rPr>
        <w:t xml:space="preserve">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67] 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[21, 24, 28, 48, 67]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The six questions collectively establish a progression from consent modelling to formal security assurance and empirical validation.</w:t>
      </w:r>
      <w:r>
        <w:rPr>
          <w:rFonts w:ascii="Times New Roman" w:cs="Times New Roman" w:eastAsia="Times New Roman" w:hAnsi="Times New Roman"/>
          <w:color w:val="00A000"/>
          <w:sz w:val="22"/>
          <w:szCs w:val="22"/>
        </w:rPr>
        <w:t xml:space="preserv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[69] to verify, so a request that satisfies the five predicates is still denied when the proof fails, as in attack A9 (Section 11.4).</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the lifecycle transition check, a formal lifecycle model, and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00A000"/>
          <w:sz w:val="22"/>
          <w:szCs w:val="22"/>
        </w:rPr>
        <w:t xml:space="preserve"> RO1 to RO4 are delivered in this stage,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This distinction is important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 [16].</w:t>
      </w:r>
      <w:r>
        <w:rPr>
          <w:rFonts w:ascii="Times New Roman" w:cs="Times New Roman" w:eastAsia="Times New Roman" w:hAnsi="Times New Roman"/>
          <w:sz w:val="22"/>
          <w:szCs w:val="22"/>
        </w:rPr>
        <w:t xml:space="preserve"> Importantly, the framework explicitly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their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authorisation evidence set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(4),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therefore contains each member of G at most once, and an approval from a signer outside G does not enter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{g ∈ G |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submitted by g with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The flow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an important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is evaluated by the Controller before an access decision is produced,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 [21, 24, 28, 48, 67].</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color w:val="00A000"/>
          <w:sz w:val="22"/>
          <w:szCs w:val="22"/>
        </w:rPr>
        <w:t xml:space="preserv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The system then validates the guardian set G, which must contain at least one guardian with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This distinction is important because the research treats consent as a structured policy-bound object rather than as a simple Boolean permission.</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highlight w:val="yellow"/>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contributes to the trust-oriented framework by converting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have demonstrated the potential to strengthen the process through which identity claims are established or validated [40,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(14)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returns DENY and records the corresponding denial evidence. The exception is a consent that is not ACTIVE, whose refusal is reported only in the doctor interface in the prototype.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is important because it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requires the evidence supporting the access decision to be a Groth16 zero-knowledge proof that has verified</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color w:val="00A000"/>
          <w:sz w:val="22"/>
          <w:szCs w:val="22"/>
        </w:rPr>
        <w:t xml:space="preserve"> The proof shows that the prover knows the secret and the expiry time behind a Poseidon commitment [70]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the next stage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revocation and the token state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while the time-based states are evaluated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In particular,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the next stage.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The next stage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will record an unauthorised state-transition event and return INVALID, but this is the only step of the Figure 12 workflow that is not yet implemented.</w:t>
      </w:r>
      <w:r>
        <w:rPr>
          <w:rFonts w:ascii="Times New Roman" w:cs="Times New Roman" w:eastAsia="Times New Roman" w:hAnsi="Times New Roman"/>
          <w:sz w:val="22"/>
          <w:szCs w:val="22"/>
        </w:rPr>
        <w:t xml:space="preserve"> The implemented temporal and revocation checks already ensure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This work will be a major part of the next stage.</w:t>
      </w:r>
      <w:r>
        <w:rPr>
          <w:rFonts w:ascii="Times New Roman" w:cs="Times New Roman" w:eastAsia="Times New Roman" w:hAnsi="Times New Roman"/>
          <w:sz w:val="22"/>
          <w:szCs w:val="22"/>
        </w:rPr>
        <w:t xml:space="preserve"> The main activities of the next stage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This procedure establishes a distinction between functional correctness and security correctness.</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color w:val="00A000"/>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predicate of Section 10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[71] that follows ERC-5484 [72] and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f050c29a in block 11,771,243 (block 11,771,581 for consent 04da25f5 in Figure 16)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3352800" cy="3810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is refused by the doctor subsystem at the consent-state check, because the consent is no longer ACTIVE</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security properties that it is intended to evaluate.</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This confirms that a system may be conceptually correct but incorrectly implemented, or may pass functional tests while failing under invalid or adversarial conditions.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w:t>
      </w:r>
      <w:r>
        <w:rPr>
          <w:rFonts w:ascii="Times New Roman" w:cs="Times New Roman" w:eastAsia="Times New Roman" w:hAnsi="Times New Roman"/>
          <w:sz w:val="18"/>
          <w:szCs w:val="18"/>
        </w:rPr>
        <w:t xml:space="preserve">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the next stage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The next stage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The next stage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w:t>
      </w:r>
      <w:r>
        <w:rPr>
          <w:rFonts w:ascii="Times New Roman" w:cs="Times New Roman" w:eastAsia="Times New Roman" w:hAnsi="Times New Roman"/>
          <w:sz w:val="22"/>
          <w:szCs w:val="22"/>
        </w:rPr>
        <w:t xml:space="preserve">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the next stage.</w:t>
      </w:r>
      <w:r>
        <w:rPr>
          <w:rFonts w:ascii="Times New Roman" w:cs="Times New Roman" w:eastAsia="Times New Roman" w:hAnsi="Times New Roman"/>
          <w:sz w:val="22"/>
          <w:szCs w:val="22"/>
        </w:rPr>
        <w:t xml:space="preserve"> RO5 and RO6 constitute 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build upon the foundational trust-oriented authorisation framework established during current stage and extend the research towards dynamic consent governance, formal security assurance, and comprehensive empirical validation.</w:t>
      </w:r>
      <w:r>
        <w:rPr>
          <w:rFonts w:ascii="Times New Roman" w:cs="Times New Roman" w:eastAsia="Times New Roman" w:hAnsi="Times New Roman"/>
          <w:color w:val="00A000"/>
          <w:sz w:val="22"/>
          <w:szCs w:val="22"/>
        </w:rPr>
        <w:t xml:space="preserve"> The lifecycle transition check, the formal lifecycle model, and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cc1f3f18db430dce93f3fb19f346c61fa4eb17dd.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92573cd98c306213338e8eb3e9c4547f4ba94ff3.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0a67ab0366ae1729f7207a8df5eb71a59d233df2.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2026-10-06T04:47:29.994Z</dcterms:created>
  <dcterms:modified xsi:type="dcterms:W3CDTF">2026-10-06T04:47:29.995Z</dcterms:modified>
</cp:coreProperties>
</file>

<file path=docProps/custom.xml><?xml version="1.0" encoding="utf-8"?>
<Properties xmlns="http://schemas.openxmlformats.org/officeDocument/2006/custom-properties" xmlns:vt="http://schemas.openxmlformats.org/officeDocument/2006/docPropsVTypes"/>
</file>