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[16]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 (SRQ1 to SRQ6, referred to as RQ1 to RQ6).</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We carried out all screening, coding, and quality assessment up to the reporting checkpoint,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[52]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 Table 3 summarises the description and the issues and limitations of each primary study.</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4 is Yes in 10, Partial in 11,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28, 29], and the four stream-5 systems that enforce time inside the decision are all single-party, with [49] doing so through the credential rather than the consent.</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We observed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[55], prove only a static encryption predicate. Table 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color w:val="00A000"/>
          <w:sz w:val="22"/>
          <w:szCs w:val="22"/>
        </w:rPr>
        <w:t xml:space="preserve"> The rarity of multi-party approval and formal verification is also seen in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67] 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67]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throughout this report.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[69]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 guardians'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guardians whose approvals have been verified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set of verified approving guardians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Beyond the access decision shown in Figure 6, the prototype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evaluated by the Controller before an access decision is produced,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 67].</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be non-empty, and every guardian in it must have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authorised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approving guardians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the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color w:val="00A000"/>
          <w:sz w:val="22"/>
          <w:szCs w:val="22"/>
        </w:rPr>
        <w:t xml:space="preserve"> The proof shows that the prover knows the secret and the expiry time behind a Poseidon commitment [70]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 PENDING_TOKEN is the brief state between the last verified approval and the recording of the local token identifier</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At each evaluation,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check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be a major part of the next stage.</w:t>
      </w:r>
      <w:r>
        <w:rPr>
          <w:rFonts w:ascii="Times New Roman" w:cs="Times New Roman" w:eastAsia="Times New Roman" w:hAnsi="Times New Roman"/>
          <w:sz w:val="22"/>
          <w:szCs w:val="22"/>
        </w:rPr>
        <w:t xml:space="preserve"> The main activities of the next stage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of the five predicates of Equation (22)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[71] that follows ERC-5484 [72]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Figure 17 shows the evaluated consent f050c29a. 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f050c29a in block 11,771,243 (block 11,771,581 for consent 04da25f5 in Figure 16)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component of C that it targets, as listed in Table 11.</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purpose check that does not yet compare a separately declared request purpose,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the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2026-10-06T08:59:46.614Z</dcterms:created>
  <dcterms:modified xsi:type="dcterms:W3CDTF">2026-10-06T08:59:46.615Z</dcterms:modified>
</cp:coreProperties>
</file>

<file path=docProps/custom.xml><?xml version="1.0" encoding="utf-8"?>
<Properties xmlns="http://schemas.openxmlformats.org/officeDocument/2006/custom-properties" xmlns:vt="http://schemas.openxmlformats.org/officeDocument/2006/docPropsVTypes"/>
</file>