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50</w:t>
      </w:r>
    </w:p>
    <w:p>
      <w:pPr>
        <w:tabs>
          <w:tab w:val="right" w:pos="9128" w:leader="dot"/>
        </w:tabs>
        <w:spacing w:after="100"/>
      </w:pPr>
      <w:r>
        <w:rPr>
          <w:rFonts w:ascii="Times New Roman" w:cs="Times New Roman" w:eastAsia="Times New Roman" w:hAnsi="Times New Roman"/>
          <w:sz w:val="22"/>
          <w:szCs w:val="22"/>
        </w:rPr>
        <w:t xml:space="preserve">12. Publications Summary	65</w:t>
      </w:r>
    </w:p>
    <w:p>
      <w:pPr>
        <w:tabs>
          <w:tab w:val="right" w:pos="9128" w:leader="dot"/>
        </w:tabs>
        <w:spacing w:after="100"/>
      </w:pPr>
      <w:r>
        <w:rPr>
          <w:rFonts w:ascii="Times New Roman" w:cs="Times New Roman" w:eastAsia="Times New Roman" w:hAnsi="Times New Roman"/>
          <w:sz w:val="22"/>
          <w:szCs w:val="22"/>
        </w:rPr>
        <w:t xml:space="preserve">13. Research Plan	66</w:t>
      </w:r>
    </w:p>
    <w:p>
      <w:pPr>
        <w:tabs>
          <w:tab w:val="right" w:pos="9128" w:leader="dot"/>
        </w:tabs>
        <w:spacing w:after="100"/>
      </w:pPr>
      <w:r>
        <w:rPr>
          <w:rFonts w:ascii="Times New Roman" w:cs="Times New Roman" w:eastAsia="Times New Roman" w:hAnsi="Times New Roman"/>
          <w:sz w:val="22"/>
          <w:szCs w:val="22"/>
        </w:rPr>
        <w:t xml:space="preserve">References	68</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color w:val="FF0000"/>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color w:val="FF0000"/>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00B0F0"/>
          <w:sz w:val="22"/>
          <w:szCs w:val="22"/>
        </w:rPr>
        <w:t xml:space="preserve">We </w:t>
      </w:r>
      <w:r>
        <w:rPr>
          <w:rFonts w:ascii="Times New Roman" w:cs="Times New Roman" w:eastAsia="Times New Roman" w:hAnsi="Times New Roman"/>
          <w:color w:val="00B0F0"/>
          <w:sz w:val="22"/>
          <w:szCs w:val="22"/>
        </w:rPr>
        <w:t xml:space="preserve">carried out all screening, coding, and quality assessment up to the reporting checkpoint,</w:t>
      </w:r>
      <w:r>
        <w:rPr>
          <w:rFonts w:ascii="Times New Roman" w:cs="Times New Roman" w:eastAsia="Times New Roman" w:hAnsi="Times New Roman"/>
          <w:color w:val="00B0F0"/>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color w:val="FF0000"/>
          <w:sz w:val="22"/>
          <w:szCs w:val="22"/>
        </w:rPr>
        <w:t xml:space="preserve">One full-text report could not be retrieved, and the</w:t>
      </w:r>
      <w:r>
        <w:rPr>
          <w:rFonts w:ascii="Times New Roman" w:cs="Times New Roman" w:eastAsia="Times New Roman" w:hAnsi="Times New Roman"/>
          <w:color w:val="FF0000"/>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[49]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color w:val="FF0000"/>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w:t>
      </w:r>
      <w:r>
        <w:rPr>
          <w:rFonts w:ascii="Times New Roman" w:cs="Times New Roman" w:eastAsia="Times New Roman" w:hAnsi="Times New Roman"/>
          <w:color w:val="FF0000"/>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18"/>
          <w:szCs w:val="18"/>
        </w:rPr>
        <w:t xml:space="preserve">A</w:t>
      </w:r>
      <w:r>
        <w:rPr>
          <w:rFonts w:ascii="Cambria Math" w:cs="Cambria Math" w:eastAsia="Cambria Math" w:hAnsi="Cambria Math"/>
          <w:i w:val="false"/>
          <w:iCs w:val="false"/>
          <w:color w:val="00B0F0"/>
          <w:sz w:val="18"/>
          <w:szCs w:val="18"/>
          <w:vertAlign w:val="subscript"/>
        </w:rPr>
        <w:t xml:space="preserve">v</w:t>
      </w:r>
      <w:r>
        <w:rPr>
          <w:rFonts w:ascii="Cambria Math" w:cs="Cambria Math" w:eastAsia="Cambria Math" w:hAnsi="Cambria Math"/>
          <w:i w:val="false"/>
          <w:iCs w:val="false"/>
          <w:color w:val="00B0F0"/>
          <w:sz w:val="18"/>
          <w:szCs w:val="18"/>
        </w:rPr>
        <w:t xml:space="preserve"> = {g ∈ G | ∃ a</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 ∈ A</w:t>
      </w:r>
      <w:r>
        <w:rPr>
          <w:rFonts w:ascii="Cambria Math" w:cs="Cambria Math" w:eastAsia="Cambria Math" w:hAnsi="Cambria Math"/>
          <w:i w:val="false"/>
          <w:iCs w:val="false"/>
          <w:color w:val="00B0F0"/>
          <w:sz w:val="18"/>
          <w:szCs w:val="18"/>
          <w:vertAlign w:val="subscript"/>
        </w:rPr>
        <w:t xml:space="preserve">s</w:t>
      </w:r>
      <w:r>
        <w:rPr>
          <w:rFonts w:ascii="Cambria Math" w:cs="Cambria Math" w:eastAsia="Cambria Math" w:hAnsi="Cambria Math"/>
          <w:i w:val="false"/>
          <w:iCs w:val="false"/>
          <w:color w:val="00B0F0"/>
          <w:sz w:val="18"/>
          <w:szCs w:val="18"/>
        </w:rPr>
        <w:t xml:space="preserve"> submitted by g with V</w:t>
      </w:r>
      <w:r>
        <w:rPr>
          <w:rFonts w:ascii="Cambria Math" w:cs="Cambria Math" w:eastAsia="Cambria Math" w:hAnsi="Cambria Math"/>
          <w:i w:val="false"/>
          <w:iCs w:val="false"/>
          <w:color w:val="00B0F0"/>
          <w:sz w:val="18"/>
          <w:szCs w:val="18"/>
          <w:vertAlign w:val="subscript"/>
        </w:rPr>
        <w:t xml:space="preserve">I</w:t>
      </w:r>
      <w:r>
        <w:rPr>
          <w:rFonts w:ascii="Cambria Math" w:cs="Cambria Math" w:eastAsia="Cambria Math" w:hAnsi="Cambria Math"/>
          <w:i w:val="false"/>
          <w:iCs w:val="false"/>
          <w:color w:val="00B0F0"/>
          <w:sz w:val="18"/>
          <w:szCs w:val="18"/>
        </w:rPr>
        <w:t xml:space="preserve">(</w:t>
      </w:r>
      <w:r>
        <w:rPr>
          <w:rFonts w:ascii="Cambria Math" w:cs="Cambria Math" w:eastAsia="Cambria Math" w:hAnsi="Cambria Math"/>
          <w:i w:val="false"/>
          <w:iCs w:val="false"/>
          <w:color w:val="00B0F0"/>
          <w:sz w:val="18"/>
          <w:szCs w:val="18"/>
        </w:rPr>
        <w:t xml:space="preserve">g</w:t>
      </w:r>
      <w:r>
        <w:rPr>
          <w:rFonts w:ascii="Cambria Math" w:cs="Cambria Math" w:eastAsia="Cambria Math" w:hAnsi="Cambria Math"/>
          <w:i w:val="false"/>
          <w:iCs w:val="false"/>
          <w:color w:val="00B0F0"/>
          <w:sz w:val="18"/>
          <w:szCs w:val="18"/>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6,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67].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w:t>
      </w:r>
      <w:r>
        <w:rPr>
          <w:rFonts w:ascii="Times New Roman" w:cs="Times New Roman" w:eastAsia="Times New Roman" w:hAnsi="Times New Roman"/>
          <w:color w:val="FF0000"/>
          <w:sz w:val="22"/>
          <w:szCs w:val="22"/>
        </w:rPr>
        <w:t xml:space="preserve">remains for the next stage.</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Existing</w:t>
      </w:r>
      <w:r>
        <w:rPr>
          <w:rFonts w:ascii="Times New Roman" w:cs="Times New Roman" w:eastAsia="Times New Roman" w:hAnsi="Times New Roman"/>
          <w:sz w:val="22"/>
          <w:szCs w:val="22"/>
        </w:rPr>
        <w:t xml:space="preserve">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w:t>
      </w:r>
      <w:r>
        <w:rPr>
          <w:rFonts w:ascii="Times New Roman" w:cs="Times New Roman" w:eastAsia="Times New Roman" w:hAnsi="Times New Roman"/>
          <w:color w:val="00B0F0"/>
          <w:sz w:val="22"/>
          <w:szCs w:val="22"/>
        </w:rPr>
        <w:t xml:space="preserve">be non-empty, and every guardian in it must have a well-formed DID</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(21)</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color w:val="00B0F0"/>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color w:val="FF0000"/>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3 and Figure 10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color w:val="FF0000"/>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color w:val="FF0000"/>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color w:val="FF0000"/>
          <w:sz w:val="22"/>
          <w:szCs w:val="22"/>
        </w:rPr>
        <w:t xml:space="preserve">This work will be a major part of the next stage. The main activities of the next stage</w:t>
      </w:r>
      <w:r>
        <w:rPr>
          <w:rFonts w:ascii="Times New Roman" w:cs="Times New Roman" w:eastAsia="Times New Roman" w:hAnsi="Times New Roman"/>
          <w:sz w:val="22"/>
          <w:szCs w:val="22"/>
        </w:rPr>
        <w:t xml:space="preserve">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color w:val="FF0000"/>
          <w:sz w:val="22"/>
          <w:szCs w:val="22"/>
        </w:rPr>
        <w:t xml:space="preserve">will be conducted in the next stage.</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(22)</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17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color w:val="00B0F0"/>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9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color w:val="FF0000"/>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FF0000"/>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color w:val="FF0000"/>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color w:val="FF0000"/>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and extend the research towards dynamic consent governance, formal security assurance, and comprehensive empirical validation.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w:t>
      </w:r>
      <w:r>
        <w:rPr>
          <w:rFonts w:ascii="Times New Roman" w:cs="Times New Roman" w:eastAsia="Times New Roman" w:hAnsi="Times New Roman"/>
          <w:sz w:val="18"/>
          <w:szCs w:val="18"/>
        </w:rPr>
        <w:t xml:space="preserve">pages 1–2, </w:t>
      </w:r>
      <w:r>
        <w:rPr>
          <w:rFonts w:ascii="Times New Roman" w:cs="Times New Roman" w:eastAsia="Times New Roman" w:hAnsi="Times New Roman"/>
          <w:sz w:val="18"/>
          <w:szCs w:val="18"/>
        </w:rPr>
        <w:t xml:space="preserve">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w:t>
      </w:r>
      <w:r>
        <w:rPr>
          <w:rFonts w:ascii="Times New Roman" w:cs="Times New Roman" w:eastAsia="Times New Roman" w:hAnsi="Times New Roman"/>
          <w:color w:val="00B0F0"/>
          <w:sz w:val="18"/>
          <w:szCs w:val="18"/>
        </w:rPr>
        <w:t xml:space="preserve">:491</w:t>
      </w:r>
      <w:r>
        <w:rPr>
          <w:rFonts w:ascii="Times New Roman" w:cs="Times New Roman" w:eastAsia="Times New Roman" w:hAnsi="Times New Roman"/>
          <w:color w:val="00B0F0"/>
          <w:sz w:val="18"/>
          <w:szCs w:val="18"/>
        </w:rPr>
        <w:t xml:space="preserve">,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2026-10-06T08:59:44.410Z</dcterms:created>
  <dcterms:modified xsi:type="dcterms:W3CDTF">2026-10-06T08:59:44.411Z</dcterms:modified>
</cp:coreProperties>
</file>

<file path=docProps/custom.xml><?xml version="1.0" encoding="utf-8"?>
<Properties xmlns="http://schemas.openxmlformats.org/officeDocument/2006/custom-properties" xmlns:vt="http://schemas.openxmlformats.org/officeDocument/2006/docPropsVTypes"/>
</file>