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51</w:t>
      </w:r>
    </w:p>
    <w:p>
      <w:pPr>
        <w:tabs>
          <w:tab w:val="right" w:pos="9128" w:leader="dot"/>
        </w:tabs>
        <w:spacing w:after="100"/>
      </w:pPr>
      <w:r>
        <w:rPr>
          <w:rFonts w:ascii="Times New Roman" w:cs="Times New Roman" w:eastAsia="Times New Roman" w:hAnsi="Times New Roman"/>
          <w:sz w:val="22"/>
          <w:szCs w:val="22"/>
        </w:rPr>
        <w:t xml:space="preserve">12. Publications Summary	67</w:t>
      </w:r>
    </w:p>
    <w:p>
      <w:pPr>
        <w:tabs>
          <w:tab w:val="right" w:pos="9128" w:leader="dot"/>
        </w:tabs>
        <w:spacing w:after="100"/>
      </w:pPr>
      <w:r>
        <w:rPr>
          <w:rFonts w:ascii="Times New Roman" w:cs="Times New Roman" w:eastAsia="Times New Roman" w:hAnsi="Times New Roman"/>
          <w:sz w:val="22"/>
          <w:szCs w:val="22"/>
        </w:rPr>
        <w:t xml:space="preserve">13. Research Plan	68</w:t>
      </w:r>
    </w:p>
    <w:p>
      <w:pPr>
        <w:tabs>
          <w:tab w:val="right" w:pos="9128" w:leader="dot"/>
        </w:tabs>
        <w:spacing w:after="100"/>
      </w:pPr>
      <w:r>
        <w:rPr>
          <w:rFonts w:ascii="Times New Roman" w:cs="Times New Roman" w:eastAsia="Times New Roman" w:hAnsi="Times New Roman"/>
          <w:sz w:val="22"/>
          <w:szCs w:val="22"/>
        </w:rPr>
        <w:t xml:space="preserve">References	70</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color w:val="FF0000"/>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color w:val="FF0000"/>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00B0F0"/>
          <w:sz w:val="22"/>
          <w:szCs w:val="22"/>
        </w:rPr>
        <w:t xml:space="preserve">All screening, coding, and quality assessment up to the reporting checkpoint were carried out by the author,</w:t>
      </w:r>
      <w:r>
        <w:rPr>
          <w:rFonts w:ascii="Times New Roman" w:cs="Times New Roman" w:eastAsia="Times New Roman" w:hAnsi="Times New Roman"/>
          <w:color w:val="00B0F0"/>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color w:val="FF0000"/>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color w:val="FF0000"/>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w:t>
            </w:r>
            <w:r>
              <w:rPr>
                <w:rFonts w:ascii="Times New Roman" w:cs="Times New Roman" w:eastAsia="Times New Roman" w:hAnsi="Times New Roman"/>
                <w:b w:val="false"/>
                <w:bCs w:val="false"/>
                <w:color w:val="FF0000"/>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w:t>
            </w:r>
            <w:r>
              <w:rPr>
                <w:rFonts w:ascii="Times New Roman" w:cs="Times New Roman" w:eastAsia="Times New Roman" w:hAnsi="Times New Roman"/>
                <w:b w:val="false"/>
                <w:bCs w:val="false"/>
                <w:color w:val="FF0000"/>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w:t>
            </w:r>
            <w:r>
              <w:rPr>
                <w:rFonts w:ascii="Times New Roman" w:cs="Times New Roman" w:eastAsia="Times New Roman" w:hAnsi="Times New Roman"/>
                <w:b w:val="false"/>
                <w:bCs w:val="false"/>
                <w:color w:val="FF0000"/>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w:t>
            </w:r>
            <w:r>
              <w:rPr>
                <w:rFonts w:ascii="Times New Roman" w:cs="Times New Roman" w:eastAsia="Times New Roman" w:hAnsi="Times New Roman"/>
                <w:b w:val="false"/>
                <w:bCs w:val="false"/>
                <w:color w:val="FF0000"/>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w:t>
            </w:r>
            <w:r>
              <w:rPr>
                <w:rFonts w:ascii="Times New Roman" w:cs="Times New Roman" w:eastAsia="Times New Roman" w:hAnsi="Times New Roman"/>
                <w:b w:val="false"/>
                <w:bCs w:val="false"/>
                <w:color w:val="FF0000"/>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w:t>
            </w:r>
            <w:r>
              <w:rPr>
                <w:rFonts w:ascii="Times New Roman" w:cs="Times New Roman" w:eastAsia="Times New Roman" w:hAnsi="Times New Roman"/>
                <w:b w:val="false"/>
                <w:bCs w:val="false"/>
                <w:color w:val="FF0000"/>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w:t>
            </w:r>
            <w:r>
              <w:rPr>
                <w:rFonts w:ascii="Times New Roman" w:cs="Times New Roman" w:eastAsia="Times New Roman" w:hAnsi="Times New Roman"/>
                <w:b w:val="false"/>
                <w:bCs w:val="false"/>
                <w:color w:val="FF0000"/>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w:t>
      </w:r>
      <w:r>
        <w:rPr>
          <w:rFonts w:ascii="Times New Roman" w:cs="Times New Roman" w:eastAsia="Times New Roman" w:hAnsi="Times New Roman"/>
          <w:color w:val="00B0F0"/>
          <w:sz w:val="22"/>
          <w:szCs w:val="22"/>
        </w:rPr>
        <w:t xml:space="preserve">(Hagström et al. 2024)</w:t>
      </w:r>
      <w:r>
        <w:rPr>
          <w:rFonts w:ascii="Times New Roman" w:cs="Times New Roman" w:eastAsia="Times New Roman" w:hAnsi="Times New Roman"/>
          <w:color w:val="00B0F0"/>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w:t>
      </w:r>
      <w:r>
        <w:rPr>
          <w:rFonts w:ascii="Times New Roman" w:cs="Times New Roman" w:eastAsia="Times New Roman" w:hAnsi="Times New Roman"/>
          <w:color w:val="FF0000"/>
          <w:sz w:val="22"/>
          <w:szCs w:val="22"/>
        </w:rPr>
        <w:t xml:space="preserve">(2023)</w:t>
      </w:r>
      <w:r>
        <w:rPr>
          <w:rFonts w:ascii="Times New Roman" w:cs="Times New Roman" w:eastAsia="Times New Roman" w:hAnsi="Times New Roman"/>
          <w:color w:val="FF0000"/>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w:t>
      </w:r>
      <w:r>
        <w:rPr>
          <w:rFonts w:ascii="Times New Roman" w:cs="Times New Roman" w:eastAsia="Times New Roman" w:hAnsi="Times New Roman"/>
          <w:color w:val="00B0F0"/>
          <w:sz w:val="22"/>
          <w:szCs w:val="22"/>
        </w:rPr>
        <w:t xml:space="preserve">(Akter &amp; Sanam 2025; Prashanth et al. 2024)</w:t>
      </w:r>
      <w:r>
        <w:rPr>
          <w:rFonts w:ascii="Times New Roman" w:cs="Times New Roman" w:eastAsia="Times New Roman" w:hAnsi="Times New Roman"/>
          <w:color w:val="00B0F0"/>
          <w:sz w:val="22"/>
          <w:szCs w:val="22"/>
        </w:rPr>
        <w:t xml:space="preserve">, as conditions fixed at encryption time </w:t>
      </w:r>
      <w:r>
        <w:rPr>
          <w:rFonts w:ascii="Times New Roman" w:cs="Times New Roman" w:eastAsia="Times New Roman" w:hAnsi="Times New Roman"/>
          <w:color w:val="00B0F0"/>
          <w:sz w:val="22"/>
          <w:szCs w:val="22"/>
        </w:rPr>
        <w:t xml:space="preserve">(Zhang, Kan &amp; Huang 2022)</w:t>
      </w:r>
      <w:r>
        <w:rPr>
          <w:rFonts w:ascii="Times New Roman" w:cs="Times New Roman" w:eastAsia="Times New Roman" w:hAnsi="Times New Roman"/>
          <w:color w:val="00B0F0"/>
          <w:sz w:val="22"/>
          <w:szCs w:val="22"/>
        </w:rPr>
        <w:t xml:space="preserve">, or as a key issued by the patient for each request </w:t>
      </w:r>
      <w:r>
        <w:rPr>
          <w:rFonts w:ascii="Times New Roman" w:cs="Times New Roman" w:eastAsia="Times New Roman" w:hAnsi="Times New Roman"/>
          <w:color w:val="00B0F0"/>
          <w:sz w:val="22"/>
          <w:szCs w:val="22"/>
        </w:rPr>
        <w:t xml:space="preserve">(Teeda &amp; Subba Rao 2026)</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color w:val="FF0000"/>
          <w:sz w:val="22"/>
          <w:szCs w:val="22"/>
        </w:rPr>
        <w:t xml:space="preserve">(Ekholm et al. 2025)</w:t>
      </w:r>
      <w:r>
        <w:rPr>
          <w:rFonts w:ascii="Times New Roman" w:cs="Times New Roman" w:eastAsia="Times New Roman" w:hAnsi="Times New Roman"/>
          <w:color w:val="FF0000"/>
          <w:sz w:val="22"/>
          <w:szCs w:val="22"/>
        </w:rPr>
        <w:t xml:space="preserve"> reports guardian co-consent at registration time, and </w:t>
      </w:r>
      <w:r>
        <w:rPr>
          <w:rFonts w:ascii="Times New Roman" w:cs="Times New Roman" w:eastAsia="Times New Roman" w:hAnsi="Times New Roman"/>
          <w:color w:val="FF0000"/>
          <w:sz w:val="22"/>
          <w:szCs w:val="22"/>
        </w:rPr>
        <w:t xml:space="preserve">(Hagström et al. 2024)</w:t>
      </w:r>
      <w:r>
        <w:rPr>
          <w:rFonts w:ascii="Times New Roman" w:cs="Times New Roman" w:eastAsia="Times New Roman" w:hAnsi="Times New Roman"/>
          <w:color w:val="FF0000"/>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color w:val="00B0F0"/>
          <w:sz w:val="22"/>
          <w:szCs w:val="22"/>
        </w:rPr>
        <w:t xml:space="preserve">is demonstrated only by </w:t>
      </w:r>
      <w:r>
        <w:rPr>
          <w:rFonts w:ascii="Times New Roman" w:cs="Times New Roman" w:eastAsia="Times New Roman" w:hAnsi="Times New Roman"/>
          <w:color w:val="00B0F0"/>
          <w:sz w:val="22"/>
          <w:szCs w:val="22"/>
        </w:rPr>
        <w:t xml:space="preserve">(Phuyal et al. 2026b)</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An inverse relation between predicate breadth and assurance strength was observed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w:t>
            </w:r>
            <w:r>
              <w:rPr>
                <w:rFonts w:ascii="Times New Roman" w:cs="Times New Roman" w:eastAsia="Times New Roman" w:hAnsi="Times New Roman"/>
                <w:b w:val="false"/>
                <w:bCs w:val="false"/>
                <w:color w:val="FF0000"/>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w:t>
            </w:r>
            <w:r>
              <w:rPr>
                <w:rFonts w:ascii="Times New Roman" w:cs="Times New Roman" w:eastAsia="Times New Roman" w:hAnsi="Times New Roman"/>
                <w:b w:val="false"/>
                <w:bCs w:val="false"/>
                <w:color w:val="FF0000"/>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w:t>
            </w:r>
            <w:r>
              <w:rPr>
                <w:rFonts w:ascii="Times New Roman" w:cs="Times New Roman" w:eastAsia="Times New Roman" w:hAnsi="Times New Roman"/>
                <w:b w:val="false"/>
                <w:bCs w:val="false"/>
                <w:color w:val="FF0000"/>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w:t>
            </w:r>
            <w:r>
              <w:rPr>
                <w:rFonts w:ascii="Times New Roman" w:cs="Times New Roman" w:eastAsia="Times New Roman" w:hAnsi="Times New Roman"/>
                <w:b w:val="false"/>
                <w:bCs w:val="false"/>
                <w:color w:val="FF0000"/>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w:t>
            </w:r>
            <w:r>
              <w:rPr>
                <w:rFonts w:ascii="Times New Roman" w:cs="Times New Roman" w:eastAsia="Times New Roman" w:hAnsi="Times New Roman"/>
                <w:b w:val="false"/>
                <w:bCs w:val="false"/>
                <w:color w:val="FF0000"/>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w:t>
            </w:r>
            <w:r>
              <w:rPr>
                <w:rFonts w:ascii="Times New Roman" w:cs="Times New Roman" w:eastAsia="Times New Roman" w:hAnsi="Times New Roman"/>
                <w:b w:val="false"/>
                <w:bCs w:val="false"/>
                <w:color w:val="FF0000"/>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w:t>
            </w:r>
            <w:r>
              <w:rPr>
                <w:rFonts w:ascii="Times New Roman" w:cs="Times New Roman" w:eastAsia="Times New Roman" w:hAnsi="Times New Roman"/>
                <w:b w:val="false"/>
                <w:bCs w:val="false"/>
                <w:color w:val="FF0000"/>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color w:val="00B0F0"/>
          <w:sz w:val="22"/>
          <w:szCs w:val="22"/>
        </w:rPr>
        <w:t xml:space="preserve">(Mei et al. 2026)</w:t>
      </w:r>
      <w:r>
        <w:rPr>
          <w:rFonts w:ascii="Times New Roman" w:cs="Times New Roman" w:eastAsia="Times New Roman" w:hAnsi="Times New Roman"/>
          <w:color w:val="00B0F0"/>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color w:val="FF0000"/>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7.1.</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w:t>
            </w:r>
            <w:r>
              <w:rPr>
                <w:rFonts w:ascii="Times New Roman" w:cs="Times New Roman" w:eastAsia="Times New Roman" w:hAnsi="Times New Roman"/>
                <w:b w:val="false"/>
                <w:bCs w:val="false"/>
                <w:color w:val="00B0F0"/>
                <w:sz w:val="17"/>
                <w:szCs w:val="17"/>
              </w:rPr>
              <w:t xml:space="preserve">(Bloemen, Logvinov &amp; Evans 2017)</w:t>
            </w:r>
            <w:r>
              <w:rPr>
                <w:rFonts w:ascii="Times New Roman" w:cs="Times New Roman" w:eastAsia="Times New Roman" w:hAnsi="Times New Roman"/>
                <w:b w:val="false"/>
                <w:bCs w:val="false"/>
                <w:color w:val="00B0F0"/>
                <w:sz w:val="17"/>
                <w:szCs w:val="17"/>
              </w:rPr>
              <w:t xml:space="preserve">,</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9.1,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w:t>
      </w:r>
      <w:r>
        <w:rPr>
          <w:rFonts w:ascii="Times New Roman" w:cs="Times New Roman" w:eastAsia="Times New Roman" w:hAnsi="Times New Roman"/>
          <w:color w:val="00B0F0"/>
          <w:sz w:val="22"/>
          <w:szCs w:val="22"/>
        </w:rPr>
        <w:t xml:space="preserve">(Akter &amp; Sanam 2025; Prashanth et al. 2024)</w:t>
      </w:r>
      <w:r>
        <w:rPr>
          <w:rFonts w:ascii="Times New Roman" w:cs="Times New Roman" w:eastAsia="Times New Roman" w:hAnsi="Times New Roman"/>
          <w:color w:val="00B0F0"/>
          <w:sz w:val="22"/>
          <w:szCs w:val="22"/>
        </w:rPr>
        <w:t xml:space="preserve">, and some claim consent but leave it out of the access decision </w:t>
      </w:r>
      <w:r>
        <w:rPr>
          <w:rFonts w:ascii="Times New Roman" w:cs="Times New Roman" w:eastAsia="Times New Roman" w:hAnsi="Times New Roman"/>
          <w:color w:val="00B0F0"/>
          <w:sz w:val="22"/>
          <w:szCs w:val="22"/>
        </w:rPr>
        <w:t xml:space="preserve">(Sawant &amp; Gomes 2026)</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w:t>
      </w:r>
      <w:r>
        <w:rPr>
          <w:rFonts w:ascii="Times New Roman" w:cs="Times New Roman" w:eastAsia="Times New Roman" w:hAnsi="Times New Roman"/>
          <w:color w:val="00B0F0"/>
          <w:sz w:val="22"/>
          <w:szCs w:val="22"/>
        </w:rPr>
        <w:t xml:space="preserve">(Madine et al. 2020; Punia et al. 2025; Tan, Chi &amp; Lam 2024)</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w:t>
      </w:r>
      <w:r>
        <w:rPr>
          <w:rFonts w:ascii="Times New Roman" w:cs="Times New Roman" w:eastAsia="Times New Roman" w:hAnsi="Times New Roman"/>
          <w:color w:val="00B0F0"/>
          <w:sz w:val="22"/>
          <w:szCs w:val="22"/>
        </w:rPr>
        <w:t xml:space="preserve">(Groth 2016)</w:t>
      </w:r>
      <w:r>
        <w:rPr>
          <w:rFonts w:ascii="Times New Roman" w:cs="Times New Roman" w:eastAsia="Times New Roman" w:hAnsi="Times New Roman"/>
          <w:color w:val="00B0F0"/>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5.4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color w:val="00B0F0"/>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18"/>
          <w:szCs w:val="18"/>
        </w:rPr>
        <w:t xml:space="preserve">A</w:t>
      </w:r>
      <w:r>
        <w:rPr>
          <w:rFonts w:ascii="Cambria Math" w:cs="Cambria Math" w:eastAsia="Cambria Math" w:hAnsi="Cambria Math"/>
          <w:i w:val="false"/>
          <w:iCs w:val="false"/>
          <w:color w:val="00B0F0"/>
          <w:sz w:val="18"/>
          <w:szCs w:val="18"/>
          <w:vertAlign w:val="subscript"/>
        </w:rPr>
        <w:t xml:space="preserve">v</w:t>
      </w:r>
      <w:r>
        <w:rPr>
          <w:rFonts w:ascii="Cambria Math" w:cs="Cambria Math" w:eastAsia="Cambria Math" w:hAnsi="Cambria Math"/>
          <w:i w:val="false"/>
          <w:iCs w:val="false"/>
          <w:color w:val="00B0F0"/>
          <w:sz w:val="18"/>
          <w:szCs w:val="18"/>
        </w:rPr>
        <w:t xml:space="preserve"> = {g ∈ G | ∃ a</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 ∈ A</w:t>
      </w:r>
      <w:r>
        <w:rPr>
          <w:rFonts w:ascii="Cambria Math" w:cs="Cambria Math" w:eastAsia="Cambria Math" w:hAnsi="Cambria Math"/>
          <w:i w:val="false"/>
          <w:iCs w:val="false"/>
          <w:color w:val="00B0F0"/>
          <w:sz w:val="18"/>
          <w:szCs w:val="18"/>
          <w:vertAlign w:val="subscript"/>
        </w:rPr>
        <w:t xml:space="preserve">s</w:t>
      </w:r>
      <w:r>
        <w:rPr>
          <w:rFonts w:ascii="Cambria Math" w:cs="Cambria Math" w:eastAsia="Cambria Math" w:hAnsi="Cambria Math"/>
          <w:i w:val="false"/>
          <w:iCs w:val="false"/>
          <w:color w:val="00B0F0"/>
          <w:sz w:val="18"/>
          <w:szCs w:val="18"/>
        </w:rPr>
        <w:t xml:space="preserve"> submitted by g with V</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w:t>
      </w:r>
      <w:r>
        <w:rPr>
          <w:rFonts w:ascii="Cambria Math" w:cs="Cambria Math" w:eastAsia="Cambria Math" w:hAnsi="Cambria Math"/>
          <w:i w:val="false"/>
          <w:iCs w:val="false"/>
          <w:color w:val="00B0F0"/>
          <w:sz w:val="18"/>
          <w:szCs w:val="18"/>
        </w:rPr>
        <w:t xml:space="preserve">g</w:t>
      </w:r>
      <w:r>
        <w:rPr>
          <w:rFonts w:ascii="Cambria Math" w:cs="Cambria Math" w:eastAsia="Cambria Math" w:hAnsi="Cambria Math"/>
          <w:i w:val="false"/>
          <w:iCs w:val="false"/>
          <w:color w:val="00B0F0"/>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5.4,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color w:val="FF0000"/>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w:t>
      </w:r>
      <w:r>
        <w:rPr>
          <w:rFonts w:ascii="Times New Roman" w:cs="Times New Roman" w:eastAsia="Times New Roman" w:hAnsi="Times New Roman"/>
          <w:color w:val="00B0F0"/>
          <w:sz w:val="22"/>
          <w:szCs w:val="22"/>
        </w:rPr>
        <w:t xml:space="preserve">be non-empty, and every guardian in it must have a well-formed DID</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color w:val="00B0F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color w:val="00B0F0"/>
          <w:sz w:val="22"/>
          <w:szCs w:val="22"/>
        </w:rPr>
        <w:t xml:space="preserve">behind a Poseidon commitment </w:t>
      </w:r>
      <w:r>
        <w:rPr>
          <w:rFonts w:ascii="Times New Roman" w:cs="Times New Roman" w:eastAsia="Times New Roman" w:hAnsi="Times New Roman"/>
          <w:color w:val="00B0F0"/>
          <w:sz w:val="22"/>
          <w:szCs w:val="22"/>
        </w:rPr>
        <w:t xml:space="preserve">(Grassi et al. 2021)</w:t>
      </w:r>
      <w:r>
        <w:rPr>
          <w:rFonts w:ascii="Times New Roman" w:cs="Times New Roman" w:eastAsia="Times New Roman" w:hAnsi="Times New Roman"/>
          <w:color w:val="00B0F0"/>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color w:val="FF0000"/>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color w:val="FF0000"/>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color w:val="FF0000"/>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color w:val="FF0000"/>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color w:val="FF0000"/>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w:t>
      </w:r>
      <w:r>
        <w:rPr>
          <w:rFonts w:ascii="Times New Roman" w:cs="Times New Roman" w:eastAsia="Times New Roman" w:hAnsi="Times New Roman"/>
          <w:sz w:val="22"/>
          <w:szCs w:val="22"/>
        </w:rPr>
        <w:t xml:space="preserve">when the requested data scope falls outside the consent scope, or when the consent purpose is not a supported healthcare use</w:t>
      </w:r>
      <w:r>
        <w:rPr>
          <w:rFonts w:ascii="Times New Roman" w:cs="Times New Roman" w:eastAsia="Times New Roman" w:hAnsi="Times New Roman"/>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w:t>
      </w:r>
      <w:r>
        <w:rPr>
          <w:rFonts w:ascii="Times New Roman" w:cs="Times New Roman" w:eastAsia="Times New Roman" w:hAnsi="Times New Roman"/>
          <w:color w:val="00B0F0"/>
          <w:sz w:val="22"/>
          <w:szCs w:val="22"/>
        </w:rPr>
        <w:t xml:space="preserve">(Entriken et al. 2018)</w:t>
      </w:r>
      <w:r>
        <w:rPr>
          <w:rFonts w:ascii="Times New Roman" w:cs="Times New Roman" w:eastAsia="Times New Roman" w:hAnsi="Times New Roman"/>
          <w:color w:val="00B0F0"/>
          <w:sz w:val="22"/>
          <w:szCs w:val="22"/>
        </w:rPr>
        <w:t xml:space="preserve"> that follows ERC-5484 </w:t>
      </w:r>
      <w:r>
        <w:rPr>
          <w:rFonts w:ascii="Times New Roman" w:cs="Times New Roman" w:eastAsia="Times New Roman" w:hAnsi="Times New Roman"/>
          <w:color w:val="00B0F0"/>
          <w:sz w:val="22"/>
          <w:szCs w:val="22"/>
        </w:rPr>
        <w:t xml:space="preserve">(Cai 2022)</w:t>
      </w:r>
      <w:r>
        <w:rPr>
          <w:rFonts w:ascii="Times New Roman" w:cs="Times New Roman" w:eastAsia="Times New Roman" w:hAnsi="Times New Roman"/>
          <w:color w:val="00B0F0"/>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color w:val="00B0F0"/>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color w:val="FF0000"/>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color w:val="FF0000"/>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color w:val="FF0000"/>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color w:val="FF0000"/>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color w:val="00B0F0"/>
          <w:sz w:val="18"/>
          <w:szCs w:val="18"/>
        </w:rPr>
        <w:t xml:space="preserve">Bloemen, R., Logvinov, L. &amp; Evans, J. 2017, </w:t>
      </w:r>
      <w:r>
        <w:rPr>
          <w:rFonts w:ascii="Times New Roman" w:cs="Times New Roman" w:eastAsia="Times New Roman" w:hAnsi="Times New Roman"/>
          <w:i/>
          <w:iCs/>
          <w:color w:val="00B0F0"/>
          <w:sz w:val="18"/>
          <w:szCs w:val="18"/>
        </w:rPr>
        <w:t xml:space="preserve">EIP-712: Typed structured data hashing and signing</w:t>
      </w:r>
      <w:r>
        <w:rPr>
          <w:rFonts w:ascii="Times New Roman" w:cs="Times New Roman" w:eastAsia="Times New Roman" w:hAnsi="Times New Roman"/>
          <w:color w:val="00B0F0"/>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color w:val="00B0F0"/>
          <w:sz w:val="18"/>
          <w:szCs w:val="18"/>
        </w:rPr>
        <w:t xml:space="preserve">Cai, B. 2022, </w:t>
      </w:r>
      <w:r>
        <w:rPr>
          <w:rFonts w:ascii="Times New Roman" w:cs="Times New Roman" w:eastAsia="Times New Roman" w:hAnsi="Times New Roman"/>
          <w:i/>
          <w:iCs/>
          <w:color w:val="00B0F0"/>
          <w:sz w:val="18"/>
          <w:szCs w:val="18"/>
        </w:rPr>
        <w:t xml:space="preserve">ERC-5484: Consensual soulbound tokens</w:t>
      </w:r>
      <w:r>
        <w:rPr>
          <w:rFonts w:ascii="Times New Roman" w:cs="Times New Roman" w:eastAsia="Times New Roman" w:hAnsi="Times New Roman"/>
          <w:color w:val="00B0F0"/>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color w:val="00B0F0"/>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color w:val="00B0F0"/>
          <w:sz w:val="18"/>
          <w:szCs w:val="18"/>
        </w:rPr>
        <w:t xml:space="preserve">Scientific Reports</w:t>
      </w:r>
      <w:r>
        <w:rPr>
          <w:rFonts w:ascii="Times New Roman" w:cs="Times New Roman" w:eastAsia="Times New Roman" w:hAnsi="Times New Roman"/>
          <w:color w:val="00B0F0"/>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color w:val="00B0F0"/>
          <w:sz w:val="18"/>
          <w:szCs w:val="18"/>
        </w:rPr>
        <w:t xml:space="preserve">Entriken, W., Shirley, D., Evans, J. &amp; Sachs, N. 2018, </w:t>
      </w:r>
      <w:r>
        <w:rPr>
          <w:rFonts w:ascii="Times New Roman" w:cs="Times New Roman" w:eastAsia="Times New Roman" w:hAnsi="Times New Roman"/>
          <w:i/>
          <w:iCs/>
          <w:color w:val="00B0F0"/>
          <w:sz w:val="18"/>
          <w:szCs w:val="18"/>
        </w:rPr>
        <w:t xml:space="preserve">ERC-721: Non-fungible token standard</w:t>
      </w:r>
      <w:r>
        <w:rPr>
          <w:rFonts w:ascii="Times New Roman" w:cs="Times New Roman" w:eastAsia="Times New Roman" w:hAnsi="Times New Roman"/>
          <w:color w:val="00B0F0"/>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color w:val="00B0F0"/>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color w:val="00B0F0"/>
          <w:sz w:val="18"/>
          <w:szCs w:val="18"/>
        </w:rPr>
        <w:t xml:space="preserve">Proceedings of the 30th USENIX Security Symposium</w:t>
      </w:r>
      <w:r>
        <w:rPr>
          <w:rFonts w:ascii="Times New Roman" w:cs="Times New Roman" w:eastAsia="Times New Roman" w:hAnsi="Times New Roman"/>
          <w:color w:val="00B0F0"/>
          <w:sz w:val="18"/>
          <w:szCs w:val="18"/>
        </w:rPr>
        <w:t xml:space="preserve">, pp. 519–535.</w:t>
      </w:r>
    </w:p>
    <w:p>
      <w:pPr>
        <w:spacing w:after="80" w:line="240"/>
        <w:ind w:left="560" w:hanging="560"/>
        <w:jc w:val="left"/>
      </w:pPr>
      <w:r>
        <w:rPr>
          <w:rFonts w:ascii="Times New Roman" w:cs="Times New Roman" w:eastAsia="Times New Roman" w:hAnsi="Times New Roman"/>
          <w:color w:val="00B0F0"/>
          <w:sz w:val="18"/>
          <w:szCs w:val="18"/>
        </w:rPr>
        <w:t xml:space="preserve">Groth, J. 2016, 'On the size of pairing-based non-interactive arguments', </w:t>
      </w:r>
      <w:r>
        <w:rPr>
          <w:rFonts w:ascii="Times New Roman" w:cs="Times New Roman" w:eastAsia="Times New Roman" w:hAnsi="Times New Roman"/>
          <w:i/>
          <w:iCs/>
          <w:color w:val="00B0F0"/>
          <w:sz w:val="18"/>
          <w:szCs w:val="18"/>
        </w:rPr>
        <w:t xml:space="preserve">Advances in Cryptology – EUROCRYPT 2016, LNCS</w:t>
      </w:r>
      <w:r>
        <w:rPr>
          <w:rFonts w:ascii="Times New Roman" w:cs="Times New Roman" w:eastAsia="Times New Roman" w:hAnsi="Times New Roman"/>
          <w:color w:val="00B0F0"/>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color w:val="00B0F0"/>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color w:val="00B0F0"/>
          <w:sz w:val="18"/>
          <w:szCs w:val="18"/>
        </w:rPr>
        <w:t xml:space="preserve">BMC Nursing</w:t>
      </w:r>
      <w:r>
        <w:rPr>
          <w:rFonts w:ascii="Times New Roman" w:cs="Times New Roman" w:eastAsia="Times New Roman" w:hAnsi="Times New Roman"/>
          <w:color w:val="00B0F0"/>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color w:val="00B0F0"/>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color w:val="00B0F0"/>
          <w:sz w:val="18"/>
          <w:szCs w:val="18"/>
        </w:rPr>
        <w:t xml:space="preserve">Electronics</w:t>
      </w:r>
      <w:r>
        <w:rPr>
          <w:rFonts w:ascii="Times New Roman" w:cs="Times New Roman" w:eastAsia="Times New Roman" w:hAnsi="Times New Roman"/>
          <w:color w:val="00B0F0"/>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color w:val="00B0F0"/>
          <w:sz w:val="18"/>
          <w:szCs w:val="18"/>
        </w:rPr>
        <w:t xml:space="preserve">Kharlamov, A., Hohmann, R. &amp; Parry, G. 2023, 'Data sharing decisions: Perceptions and intentions in healthcare', </w:t>
      </w:r>
      <w:r>
        <w:rPr>
          <w:rFonts w:ascii="Times New Roman" w:cs="Times New Roman" w:eastAsia="Times New Roman" w:hAnsi="Times New Roman"/>
          <w:i/>
          <w:iCs/>
          <w:color w:val="00B0F0"/>
          <w:sz w:val="18"/>
          <w:szCs w:val="18"/>
        </w:rPr>
        <w:t xml:space="preserve">Strategic Change</w:t>
      </w:r>
      <w:r>
        <w:rPr>
          <w:rFonts w:ascii="Times New Roman" w:cs="Times New Roman" w:eastAsia="Times New Roman" w:hAnsi="Times New Roman"/>
          <w:color w:val="00B0F0"/>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color w:val="00B0F0"/>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color w:val="00B0F0"/>
          <w:sz w:val="18"/>
          <w:szCs w:val="18"/>
        </w:rPr>
        <w:t xml:space="preserve">IFIP International Conference on Distributed Applications and Interoperable Systems (DAIS 2022), LNCS</w:t>
      </w:r>
      <w:r>
        <w:rPr>
          <w:rFonts w:ascii="Times New Roman" w:cs="Times New Roman" w:eastAsia="Times New Roman" w:hAnsi="Times New Roman"/>
          <w:color w:val="00B0F0"/>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color w:val="00B0F0"/>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color w:val="00B0F0"/>
          <w:sz w:val="18"/>
          <w:szCs w:val="18"/>
        </w:rPr>
        <w:t xml:space="preserve">ACM Computing Surveys</w:t>
      </w:r>
      <w:r>
        <w:rPr>
          <w:rFonts w:ascii="Times New Roman" w:cs="Times New Roman" w:eastAsia="Times New Roman" w:hAnsi="Times New Roman"/>
          <w:color w:val="00B0F0"/>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color w:val="00B0F0"/>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color w:val="00B0F0"/>
          <w:sz w:val="18"/>
          <w:szCs w:val="18"/>
        </w:rPr>
        <w:t xml:space="preserve">BMJ</w:t>
      </w:r>
      <w:r>
        <w:rPr>
          <w:rFonts w:ascii="Times New Roman" w:cs="Times New Roman" w:eastAsia="Times New Roman" w:hAnsi="Times New Roman"/>
          <w:color w:val="00B0F0"/>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color w:val="00B0F0"/>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color w:val="00B0F0"/>
          <w:sz w:val="18"/>
          <w:szCs w:val="18"/>
        </w:rPr>
        <w:t xml:space="preserve">Blockchain in Healthcare Today</w:t>
      </w:r>
      <w:r>
        <w:rPr>
          <w:rFonts w:ascii="Times New Roman" w:cs="Times New Roman" w:eastAsia="Times New Roman" w:hAnsi="Times New Roman"/>
          <w:color w:val="00B0F0"/>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color w:val="00B0F0"/>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color w:val="00B0F0"/>
          <w:sz w:val="18"/>
          <w:szCs w:val="18"/>
        </w:rPr>
        <w:t xml:space="preserve">Journal of Cloud Computing</w:t>
      </w:r>
      <w:r>
        <w:rPr>
          <w:rFonts w:ascii="Times New Roman" w:cs="Times New Roman" w:eastAsia="Times New Roman" w:hAnsi="Times New Roman"/>
          <w:color w:val="00B0F0"/>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color w:val="00B0F0"/>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color w:val="00B0F0"/>
          <w:sz w:val="18"/>
          <w:szCs w:val="18"/>
        </w:rPr>
        <w:t xml:space="preserve">Iranian Journal of Science and Technology, Transactions of Electrical Engineering</w:t>
      </w:r>
      <w:r>
        <w:rPr>
          <w:rFonts w:ascii="Times New Roman" w:cs="Times New Roman" w:eastAsia="Times New Roman" w:hAnsi="Times New Roman"/>
          <w:color w:val="00B0F0"/>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color w:val="00B0F0"/>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color w:val="00B0F0"/>
          <w:sz w:val="18"/>
          <w:szCs w:val="18"/>
        </w:rPr>
        <w:t xml:space="preserve">2026 3rd International Conference on Emerging Trends in Engineering and Medical Sciences (ICETEMS)</w:t>
      </w:r>
      <w:r>
        <w:rPr>
          <w:rFonts w:ascii="Times New Roman" w:cs="Times New Roman" w:eastAsia="Times New Roman" w:hAnsi="Times New Roman"/>
          <w:color w:val="00B0F0"/>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color w:val="00B0F0"/>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color w:val="00B0F0"/>
          <w:sz w:val="18"/>
          <w:szCs w:val="18"/>
        </w:rPr>
        <w:t xml:space="preserve">JAMIA Open</w:t>
      </w:r>
      <w:r>
        <w:rPr>
          <w:rFonts w:ascii="Times New Roman" w:cs="Times New Roman" w:eastAsia="Times New Roman" w:hAnsi="Times New Roman"/>
          <w:color w:val="00B0F0"/>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color w:val="00B0F0"/>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color w:val="00B0F0"/>
          <w:sz w:val="18"/>
          <w:szCs w:val="18"/>
        </w:rPr>
        <w:t xml:space="preserve">Cluster Computing</w:t>
      </w:r>
      <w:r>
        <w:rPr>
          <w:rFonts w:ascii="Times New Roman" w:cs="Times New Roman" w:eastAsia="Times New Roman" w:hAnsi="Times New Roman"/>
          <w:color w:val="00B0F0"/>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color w:val="00B0F0"/>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color w:val="00B0F0"/>
          <w:sz w:val="18"/>
          <w:szCs w:val="18"/>
        </w:rPr>
        <w:t xml:space="preserve">Proceedings of the International Conference on Deep Learning, Big Data and Blockchain (DBB 2022), LNNS</w:t>
      </w:r>
      <w:r>
        <w:rPr>
          <w:rFonts w:ascii="Times New Roman" w:cs="Times New Roman" w:eastAsia="Times New Roman" w:hAnsi="Times New Roman"/>
          <w:color w:val="00B0F0"/>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2026-10-07T08:42:09.018Z</dcterms:created>
  <dcterms:modified xsi:type="dcterms:W3CDTF">2026-10-07T08:42:09.018Z</dcterms:modified>
</cp:coreProperties>
</file>

<file path=docProps/custom.xml><?xml version="1.0" encoding="utf-8"?>
<Properties xmlns="http://schemas.openxmlformats.org/officeDocument/2006/custom-properties" xmlns:vt="http://schemas.openxmlformats.org/officeDocument/2006/docPropsVTypes"/>
</file>