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w:t>
      </w:r>
      <w:r>
        <w:rPr>
          <w:rFonts w:ascii="Times New Roman" w:cs="Times New Roman" w:eastAsia="Times New Roman" w:hAnsi="Times New Roman"/>
          <w:b/>
          <w:bCs/>
          <w:sz w:val="40"/>
          <w:szCs w:val="40"/>
        </w:rPr>
        <w:t xml:space="preserve">Authorisation</w:t>
      </w:r>
      <w:r>
        <w:rPr>
          <w:rFonts w:ascii="Times New Roman" w:cs="Times New Roman" w:eastAsia="Times New Roman" w:hAnsi="Times New Roman"/>
          <w:b/>
          <w:bCs/>
          <w:sz w:val="40"/>
          <w:szCs w:val="40"/>
        </w:rPr>
        <w:t xml:space="preserve">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23</w:t>
      </w:r>
    </w:p>
    <w:p>
      <w:pPr>
        <w:tabs>
          <w:tab w:val="right" w:pos="9128" w:leader="dot"/>
        </w:tabs>
        <w:spacing w:after="100"/>
      </w:pPr>
      <w:r>
        <w:rPr>
          <w:rFonts w:ascii="Times New Roman" w:cs="Times New Roman" w:eastAsia="Times New Roman" w:hAnsi="Times New Roman"/>
          <w:sz w:val="22"/>
          <w:szCs w:val="22"/>
        </w:rPr>
        <w:t xml:space="preserve">6. The Proposed Solution for RO1	31</w:t>
      </w:r>
    </w:p>
    <w:p>
      <w:pPr>
        <w:tabs>
          <w:tab w:val="right" w:pos="9128" w:leader="dot"/>
        </w:tabs>
        <w:spacing w:after="100"/>
      </w:pPr>
      <w:r>
        <w:rPr>
          <w:rFonts w:ascii="Times New Roman" w:cs="Times New Roman" w:eastAsia="Times New Roman" w:hAnsi="Times New Roman"/>
          <w:sz w:val="22"/>
          <w:szCs w:val="22"/>
        </w:rPr>
        <w:t xml:space="preserve">7. The Proposed Solution for RO2	35</w:t>
      </w:r>
    </w:p>
    <w:p>
      <w:pPr>
        <w:tabs>
          <w:tab w:val="right" w:pos="9128" w:leader="dot"/>
        </w:tabs>
        <w:spacing w:after="100"/>
      </w:pPr>
      <w:r>
        <w:rPr>
          <w:rFonts w:ascii="Times New Roman" w:cs="Times New Roman" w:eastAsia="Times New Roman" w:hAnsi="Times New Roman"/>
          <w:sz w:val="22"/>
          <w:szCs w:val="22"/>
        </w:rPr>
        <w:t xml:space="preserve">8. The Proposed Solution for RO3	39</w:t>
      </w:r>
    </w:p>
    <w:p>
      <w:pPr>
        <w:tabs>
          <w:tab w:val="right" w:pos="9128" w:leader="dot"/>
        </w:tabs>
        <w:spacing w:after="100"/>
      </w:pPr>
      <w:r>
        <w:rPr>
          <w:rFonts w:ascii="Times New Roman" w:cs="Times New Roman" w:eastAsia="Times New Roman" w:hAnsi="Times New Roman"/>
          <w:sz w:val="22"/>
          <w:szCs w:val="22"/>
        </w:rPr>
        <w:t xml:space="preserve">9. The Proposed Solution for RO4	44</w:t>
      </w:r>
    </w:p>
    <w:p>
      <w:pPr>
        <w:tabs>
          <w:tab w:val="right" w:pos="9128" w:leader="dot"/>
        </w:tabs>
        <w:spacing w:after="100"/>
      </w:pPr>
      <w:r>
        <w:rPr>
          <w:rFonts w:ascii="Times New Roman" w:cs="Times New Roman" w:eastAsia="Times New Roman" w:hAnsi="Times New Roman"/>
          <w:sz w:val="22"/>
          <w:szCs w:val="22"/>
        </w:rPr>
        <w:t xml:space="preserve">10. The Proposed Solution for RO5	49</w:t>
      </w:r>
    </w:p>
    <w:p>
      <w:pPr>
        <w:tabs>
          <w:tab w:val="right" w:pos="9128" w:leader="dot"/>
        </w:tabs>
        <w:spacing w:after="100"/>
      </w:pPr>
      <w:r>
        <w:rPr>
          <w:rFonts w:ascii="Times New Roman" w:cs="Times New Roman" w:eastAsia="Times New Roman" w:hAnsi="Times New Roman"/>
          <w:sz w:val="22"/>
          <w:szCs w:val="22"/>
        </w:rPr>
        <w:t xml:space="preserve">11. The Proposed Solution for RO6	54</w:t>
      </w:r>
    </w:p>
    <w:p>
      <w:pPr>
        <w:tabs>
          <w:tab w:val="right" w:pos="9128" w:leader="dot"/>
        </w:tabs>
        <w:spacing w:after="100"/>
      </w:pPr>
      <w:r>
        <w:rPr>
          <w:rFonts w:ascii="Times New Roman" w:cs="Times New Roman" w:eastAsia="Times New Roman" w:hAnsi="Times New Roman"/>
          <w:sz w:val="22"/>
          <w:szCs w:val="22"/>
        </w:rPr>
        <w:t xml:space="preserve">12. Publications Summary	73</w:t>
      </w:r>
    </w:p>
    <w:p>
      <w:pPr>
        <w:tabs>
          <w:tab w:val="right" w:pos="9128" w:leader="dot"/>
        </w:tabs>
        <w:spacing w:after="100"/>
      </w:pPr>
      <w:r>
        <w:rPr>
          <w:rFonts w:ascii="Times New Roman" w:cs="Times New Roman" w:eastAsia="Times New Roman" w:hAnsi="Times New Roman"/>
          <w:sz w:val="22"/>
          <w:szCs w:val="22"/>
        </w:rPr>
        <w:t xml:space="preserve">13. Research Plan	74</w:t>
      </w:r>
    </w:p>
    <w:p>
      <w:pPr>
        <w:tabs>
          <w:tab w:val="right" w:pos="9128" w:leader="dot"/>
        </w:tabs>
        <w:spacing w:after="100"/>
      </w:pPr>
      <w:r>
        <w:rPr>
          <w:rFonts w:ascii="Times New Roman" w:cs="Times New Roman" w:eastAsia="Times New Roman" w:hAnsi="Times New Roman"/>
          <w:sz w:val="22"/>
          <w:szCs w:val="22"/>
        </w:rPr>
        <w:t xml:space="preserve">References	76</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Secure and trustworthy data sharing is now needed</w:t>
      </w:r>
      <w:r>
        <w:rPr>
          <w:rFonts w:ascii="Times New Roman" w:cs="Times New Roman" w:eastAsia="Times New Roman" w:hAnsi="Times New Roman"/>
          <w:sz w:val="22"/>
          <w:szCs w:val="22"/>
        </w:rPr>
        <w:t xml:space="preserve">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rPr>
        <w:t xml:space="preserve">(Ghafoor et al. 2025; Lomotey, Kumi &amp; Deters 2022;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Digital services make collaboration easier, but they also raise a governance question</w:t>
      </w:r>
      <w:r>
        <w:rPr>
          <w:rFonts w:ascii="Times New Roman" w:cs="Times New Roman" w:eastAsia="Times New Roman" w:hAnsi="Times New Roman"/>
          <w:sz w:val="22"/>
          <w:szCs w:val="22"/>
        </w:rPr>
        <w:t xml:space="preserve">: how can data access be authorised and trusted when the participating entities do not belong to a single administrative or institutional domain? </w:t>
      </w:r>
      <w:r>
        <w:rPr>
          <w:rFonts w:ascii="Times New Roman" w:cs="Times New Roman" w:eastAsia="Times New Roman" w:hAnsi="Times New Roman"/>
          <w:sz w:val="22"/>
          <w:szCs w:val="22"/>
        </w:rPr>
        <w:t xml:space="preserve">Healthcare is a clear example of this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rPr>
        <w:t xml:space="preserve">(Webber et al. 2019; Welzel et al. 2025)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rPr>
        <w:t xml:space="preserve">(Ibrahim et al. 2024; Webber et al. 2019)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these settings, authorisation is a distributed governance problem, not just a check of a user's login and a static permission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(Theodorakopoulos, Theodoropoulou &amp; Halkiopoulos 2024)</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rPr>
        <w:t xml:space="preserve">(Al Mamun, Azam &amp; Gritti 2022; Hellstern et al. 2022; Li, Liu &amp; Shrestha 2026;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while decentralised identifiers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w:t>
      </w:r>
      <w:r>
        <w:rPr>
          <w:rFonts w:ascii="Times New Roman" w:cs="Times New Roman" w:eastAsia="Times New Roman" w:hAnsi="Times New Roman"/>
          <w:sz w:val="22"/>
          <w:szCs w:val="22"/>
        </w:rPr>
        <w:t xml:space="preserve">Consent must therefore be treated as an active, evaluable part of the authorisation process, not as a static record of permission</w:t>
      </w:r>
      <w:r>
        <w:rPr>
          <w:rFonts w:ascii="Times New Roman" w:cs="Times New Roman" w:eastAsia="Times New Roman" w:hAnsi="Times New Roman"/>
          <w:sz w:val="22"/>
          <w:szCs w:val="22"/>
        </w:rPr>
        <w:t xml:space="preserve">, extending the dynamic consent perspective </w:t>
      </w:r>
      <w:r>
        <w:rPr>
          <w:rFonts w:ascii="Times New Roman" w:cs="Times New Roman" w:eastAsia="Times New Roman" w:hAnsi="Times New Roman"/>
          <w:sz w:val="22"/>
          <w:szCs w:val="22"/>
        </w:rPr>
        <w:t xml:space="preserve">(Khalid et al. 2023; Narkhede, Wankhede &amp; Kamble 2025)</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rPr>
        <w:t xml:space="preserve">(Jesus &amp; Pandit 2022; Khalid et al. 2023)</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rPr>
        <w:t xml:space="preserve">(Phuyal et al. 2026b; Wu &amp; Zhang 2025)</w:t>
      </w:r>
      <w:r>
        <w:rPr>
          <w:rFonts w:ascii="Times New Roman" w:cs="Times New Roman" w:eastAsia="Times New Roman" w:hAnsi="Times New Roman"/>
          <w:sz w:val="22"/>
          <w:szCs w:val="22"/>
        </w:rPr>
        <w:t xml:space="preserve">, blockchain-based records, multi-party approval mechanisms </w:t>
      </w:r>
      <w:r>
        <w:rPr>
          <w:rFonts w:ascii="Times New Roman" w:cs="Times New Roman" w:eastAsia="Times New Roman" w:hAnsi="Times New Roman"/>
          <w:sz w:val="22"/>
          <w:szCs w:val="22"/>
        </w:rPr>
        <w:t xml:space="preserve">(Ekholm et al. 2025; Punia et al. 2025; Tan, Chi &amp; Lam 2024)</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rPr>
        <w:t xml:space="preserve">(Eneh et al. 2026; Khayer et al. 2025; Panagoulias et al. 2026; Román-Martínez et al. 2023)</w:t>
      </w:r>
      <w:r>
        <w:rPr>
          <w:rFonts w:ascii="Times New Roman" w:cs="Times New Roman" w:eastAsia="Times New Roman" w:hAnsi="Times New Roman"/>
          <w:sz w:val="22"/>
          <w:szCs w:val="22"/>
        </w:rPr>
        <w:t xml:space="preserve">,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rPr>
        <w:t xml:space="preserve">(Li et al. 2026b; Ménétrey et al. 2022)</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w:t>
      </w:r>
      <w:r>
        <w:rPr>
          <w:rFonts w:ascii="Times New Roman" w:cs="Times New Roman" w:eastAsia="Times New Roman" w:hAnsi="Times New Roman"/>
          <w:sz w:val="22"/>
          <w:szCs w:val="22"/>
        </w:rPr>
        <w:t xml:space="preserve">Time and lifecycle concern whether the consent is still within its validity window and has not expired or been revoked.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Together, these conditions decide whether an authorisation decision has enough basis to be trusted, not only whether access was requested.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w:t>
      </w:r>
      <w:r>
        <w:rPr>
          <w:rFonts w:ascii="Times New Roman" w:cs="Times New Roman" w:eastAsia="Times New Roman" w:hAnsi="Times New Roman"/>
          <w:sz w:val="22"/>
          <w:szCs w:val="22"/>
        </w:rPr>
        <w:t xml:space="preserve">temporal and lifecycle conditions</w:t>
      </w:r>
      <w:r>
        <w:rPr>
          <w:rFonts w:ascii="Times New Roman" w:cs="Times New Roman" w:eastAsia="Times New Roman" w:hAnsi="Times New Roman"/>
          <w:sz w:val="22"/>
          <w:szCs w:val="22"/>
        </w:rPr>
        <w:t xml:space="preserve">, and evidence associated with an authorisation decision. </w:t>
      </w:r>
      <w:r>
        <w:rPr>
          <w:rFonts w:ascii="Times New Roman" w:cs="Times New Roman" w:eastAsia="Times New Roman" w:hAnsi="Times New Roman"/>
          <w:sz w:val="22"/>
          <w:szCs w:val="22"/>
        </w:rPr>
        <w:t xml:space="preserve">In C, I is identity and A is authorisation, which holds the guardian set G and the threshold N. P is policy, which covers purpose and data scope. T is time, L is the lifecycle state of the consent, and E is evidence.</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w:t>
      </w:r>
      <w:r>
        <w:rPr>
          <w:rFonts w:ascii="Times New Roman" w:cs="Times New Roman" w:eastAsia="Times New Roman" w:hAnsi="Times New Roman"/>
          <w:sz w:val="22"/>
          <w:szCs w:val="22"/>
        </w:rPr>
        <w:t xml:space="preserve">RO5 is in progress, and part of it</w:t>
      </w:r>
      <w:r>
        <w:rPr>
          <w:rFonts w:ascii="Times New Roman" w:cs="Times New Roman" w:eastAsia="Times New Roman" w:hAnsi="Times New Roman"/>
          <w:sz w:val="22"/>
          <w:szCs w:val="22"/>
        </w:rPr>
        <w:t xml:space="preserve">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review does not only list technologies that can be applied to healthcare data sharing. It examines</w:t>
      </w:r>
      <w:r>
        <w:rPr>
          <w:rFonts w:ascii="Times New Roman" w:cs="Times New Roman" w:eastAsia="Times New Roman" w:hAnsi="Times New Roman"/>
          <w:sz w:val="22"/>
          <w:szCs w:val="22"/>
        </w:rPr>
        <w:t xml:space="preserv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rPr>
        <w:t xml:space="preserve">(Kaplow et al. 2024; Kharlamov, Hohmann &amp; Parry 2023; McClelland &amp; Harper 2023; Narkhede, Wankhede &amp; Kamble 2025; Webber et al. 2019)</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rPr>
        <w:t xml:space="preserve">(Andrew et al. 2023; Arbabi et al. 2023; Ghosh et al. 2023; Nguyen et al. 2025; Turan, Hashimzai &amp; Qiam 2025)</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rPr>
        <w:t xml:space="preserve">(Deng et al. 2024; Flamini et al. 2024; Mazzocca et al. 2025; Nassar Kyriakidou, Papathanasiou &amp; Polyzos 2023; Parameswarath, Gope &amp; Sikdar 2022; Yin et al. 2025)</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rPr>
        <w:t xml:space="preserve">(Jiang et al. 2023; Nazir et al. 2026; Tawfik et al. 2025; Yin et al. 2024)</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w:t>
      </w:r>
      <w:r>
        <w:rPr>
          <w:rFonts w:ascii="Times New Roman" w:cs="Times New Roman" w:eastAsia="Times New Roman" w:hAnsi="Times New Roman"/>
          <w:sz w:val="22"/>
          <w:szCs w:val="22"/>
        </w:rPr>
        <w:t xml:space="preserve">Having the security mechanisms is one thing</w:t>
      </w:r>
      <w:r>
        <w:rPr>
          <w:rFonts w:ascii="Times New Roman" w:cs="Times New Roman" w:eastAsia="Times New Roman" w:hAnsi="Times New Roman"/>
          <w:sz w:val="22"/>
          <w:szCs w:val="22"/>
        </w:rPr>
        <w:t xml:space="preserve">. C</w:t>
      </w:r>
      <w:r>
        <w:rPr>
          <w:rFonts w:ascii="Times New Roman" w:cs="Times New Roman" w:eastAsia="Times New Roman" w:hAnsi="Times New Roman"/>
          <w:sz w:val="22"/>
          <w:szCs w:val="22"/>
        </w:rPr>
        <w:t xml:space="preserve">ombining them into one trustworthy authorisation decision is another.</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w:t>
      </w:r>
      <w:r>
        <w:rPr>
          <w:rFonts w:ascii="Times New Roman" w:cs="Times New Roman" w:eastAsia="Times New Roman" w:hAnsi="Times New Roman"/>
          <w:sz w:val="22"/>
          <w:szCs w:val="22"/>
        </w:rPr>
        <w:t xml:space="preserve">purpose and data scope</w:t>
      </w:r>
      <w:r>
        <w:rPr>
          <w:rFonts w:ascii="Times New Roman" w:cs="Times New Roman" w:eastAsia="Times New Roman" w:hAnsi="Times New Roman"/>
          <w:sz w:val="22"/>
          <w:szCs w:val="22"/>
        </w:rPr>
        <w:t xml:space="preserve">, temporal validity, </w:t>
      </w:r>
      <w:r>
        <w:rPr>
          <w:rFonts w:ascii="Times New Roman" w:cs="Times New Roman" w:eastAsia="Times New Roman" w:hAnsi="Times New Roman"/>
          <w:sz w:val="22"/>
          <w:szCs w:val="22"/>
        </w:rPr>
        <w:t xml:space="preserve">lifecycle state, </w:t>
      </w:r>
      <w:r>
        <w:rPr>
          <w:rFonts w:ascii="Times New Roman" w:cs="Times New Roman" w:eastAsia="Times New Roman" w:hAnsi="Times New Roman"/>
          <w:sz w:val="22"/>
          <w:szCs w:val="22"/>
        </w:rPr>
        <w:t xml:space="preserve">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w:t>
      </w:r>
      <w:r>
        <w:rPr>
          <w:rFonts w:ascii="Times New Roman" w:cs="Times New Roman" w:eastAsia="Times New Roman" w:hAnsi="Times New Roman"/>
          <w:sz w:val="22"/>
          <w:szCs w:val="22"/>
        </w:rPr>
        <w:t xml:space="preserve">This applies to every request</w:t>
      </w:r>
      <w:r>
        <w:rPr>
          <w:rFonts w:ascii="Times New Roman" w:cs="Times New Roman" w:eastAsia="Times New Roman" w:hAnsi="Times New Roman"/>
          <w:sz w:val="22"/>
          <w:szCs w:val="22"/>
        </w:rPr>
        <w:t xml:space="preserve">, because many unauthorised disclosures are caused by legitimate requesters who exceed their scope </w:t>
      </w:r>
      <w:r>
        <w:rPr>
          <w:rFonts w:ascii="Times New Roman" w:cs="Times New Roman" w:eastAsia="Times New Roman" w:hAnsi="Times New Roman"/>
          <w:sz w:val="22"/>
          <w:szCs w:val="22"/>
        </w:rPr>
        <w:t xml:space="preserve">(Jiang et al. 2023)</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rPr>
        <w:t xml:space="preserve">(Page et al. 2021)</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rPr>
        <w:t xml:space="preserve">All screening, coding, and quality assessment up to the reporting checkpoint were carried out by the author,</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w:t>
      </w:r>
      <w:r>
        <w:rPr>
          <w:rFonts w:ascii="Times New Roman" w:cs="Times New Roman" w:eastAsia="Times New Roman" w:hAnsi="Times New Roman"/>
          <w:sz w:val="22"/>
          <w:szCs w:val="22"/>
        </w:rPr>
        <w:t xml:space="preserve">The questions follow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rPr>
        <w:t xml:space="preserve">(Albalwy, Brass &amp; Davies 2021; Jaiman &amp; Urovi 2020; Madine et al. 2020; Tith et al. 2020)</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t>
      </w:r>
      <w:r>
        <w:rPr>
          <w:rFonts w:ascii="Times New Roman" w:cs="Times New Roman" w:eastAsia="Times New Roman" w:hAnsi="Times New Roman"/>
          <w:sz w:val="22"/>
          <w:szCs w:val="22"/>
        </w:rPr>
        <w:t xml:space="preserve">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2.1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w:t>
      </w:r>
      <w:r>
        <w:rPr>
          <w:rFonts w:ascii="Times New Roman" w:cs="Times New Roman" w:eastAsia="Times New Roman" w:hAnsi="Times New Roman"/>
          <w:sz w:val="22"/>
          <w:szCs w:val="22"/>
        </w:rPr>
        <w:t xml:space="preserve">, 64 in total,</w:t>
      </w:r>
      <w:r>
        <w:rPr>
          <w:rFonts w:ascii="Times New Roman" w:cs="Times New Roman" w:eastAsia="Times New Roman" w:hAnsi="Times New Roman"/>
          <w:sz w:val="22"/>
          <w:szCs w:val="22"/>
        </w:rPr>
        <w:t xml:space="preserve"> had been assessed</w:t>
      </w:r>
      <w:r>
        <w:rPr>
          <w:rFonts w:ascii="Times New Roman" w:cs="Times New Roman" w:eastAsia="Times New Roman" w:hAnsi="Times New Roman"/>
          <w:sz w:val="22"/>
          <w:szCs w:val="22"/>
        </w:rPr>
        <w:t xml:space="preserve">. Of these, 17 were excluded and 47 met the criteria. Among the 47,</w:t>
      </w:r>
      <w:r>
        <w:rPr>
          <w:rFonts w:ascii="Times New Roman" w:cs="Times New Roman" w:eastAsia="Times New Roman" w:hAnsi="Times New Roman"/>
          <w:sz w:val="22"/>
          <w:szCs w:val="22"/>
        </w:rPr>
        <w:t xml:space="preserve"> 44 reports had been fully coded and passed the quality gate</w:t>
      </w:r>
      <w:r>
        <w:rPr>
          <w:rFonts w:ascii="Times New Roman" w:cs="Times New Roman" w:eastAsia="Times New Roman" w:hAnsi="Times New Roman"/>
          <w:sz w:val="22"/>
          <w:szCs w:val="22"/>
        </w:rPr>
        <w:t xml:space="preserve">, and 3 secondary studies were kept for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One full-text report could not be retrieved, and 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2.1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rPr>
        <w:t xml:space="preserve">(Albalwy, Brass &amp; Davies 2021; Li et al. 2026a)</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sz w:val="22"/>
          <w:szCs w:val="22"/>
        </w:rPr>
        <w:t xml:space="preserve">Table 2.2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2.1: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5715000" cy="521970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9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w:t>
            </w:r>
            <w:r>
              <w:rPr>
                <w:rFonts w:ascii="Times New Roman" w:cs="Times New Roman" w:eastAsia="Times New Roman" w:hAnsi="Times New Roman"/>
                <w:b w:val="false"/>
                <w:bCs w:val="false"/>
                <w:sz w:val="17"/>
                <w:szCs w:val="17"/>
              </w:rPr>
              <w:t xml:space="preserve">(2021)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(2026b)</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w:t>
            </w:r>
            <w:r>
              <w:rPr>
                <w:rFonts w:ascii="Times New Roman" w:cs="Times New Roman" w:eastAsia="Times New Roman" w:hAnsi="Times New Roman"/>
                <w:b w:val="false"/>
                <w:bCs w:val="false"/>
                <w:sz w:val="17"/>
                <w:szCs w:val="17"/>
              </w:rPr>
              <w:t xml:space="preserve">(2022)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S6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as conditions fixed at encryption time </w:t>
      </w:r>
      <w:r>
        <w:rPr>
          <w:rFonts w:ascii="Times New Roman" w:cs="Times New Roman" w:eastAsia="Times New Roman" w:hAnsi="Times New Roman"/>
          <w:sz w:val="22"/>
          <w:szCs w:val="22"/>
        </w:rPr>
        <w:t xml:space="preserve">(Zhang, Kan &amp; Huang 2022)</w:t>
      </w:r>
      <w:r>
        <w:rPr>
          <w:rFonts w:ascii="Times New Roman" w:cs="Times New Roman" w:eastAsia="Times New Roman" w:hAnsi="Times New Roman"/>
          <w:sz w:val="22"/>
          <w:szCs w:val="22"/>
        </w:rPr>
        <w:t xml:space="preserve">, or as a key issued by the patient for each request </w:t>
      </w:r>
      <w:r>
        <w:rPr>
          <w:rFonts w:ascii="Times New Roman" w:cs="Times New Roman" w:eastAsia="Times New Roman" w:hAnsi="Times New Roman"/>
          <w:sz w:val="22"/>
          <w:szCs w:val="22"/>
        </w:rPr>
        <w:t xml:space="preserve">(Teeda &amp; Subba Rao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sz w:val="22"/>
          <w:szCs w:val="22"/>
        </w:rPr>
        <w:t xml:space="preserve"> Table 2.3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2.4,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rPr>
        <w:t xml:space="preserve">(2026b)</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rPr>
        <w:t xml:space="preserve">(Phuyal et al. 2026a)</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rPr>
        <w:t xml:space="preserve">(2022)</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sz w:val="22"/>
          <w:szCs w:val="22"/>
        </w:rPr>
        <w:t xml:space="preserve">(Ekholm et al. 2025)</w:t>
      </w:r>
      <w:r>
        <w:rPr>
          <w:rFonts w:ascii="Times New Roman" w:cs="Times New Roman" w:eastAsia="Times New Roman" w:hAnsi="Times New Roman"/>
          <w:sz w:val="22"/>
          <w:szCs w:val="22"/>
        </w:rPr>
        <w:t xml:space="preserve"> reports guardian co-consent at registration time, and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conditions. </w:t>
      </w:r>
      <w:r>
        <w:rPr>
          <w:rFonts w:ascii="Times New Roman" w:cs="Times New Roman" w:eastAsia="Times New Roman" w:hAnsi="Times New Roman"/>
          <w:sz w:val="22"/>
          <w:szCs w:val="22"/>
        </w:rPr>
        <w:t xml:space="preserve">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Tith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rPr>
        <w:t xml:space="preserve">(2021)</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2.4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rPr>
        <w:t xml:space="preserve">(Eneh et al. 2026; Panagoulias et al. 2026)</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w:t>
      </w:r>
      <w:r>
        <w:rPr>
          <w:rFonts w:ascii="Times New Roman" w:cs="Times New Roman" w:eastAsia="Times New Roman" w:hAnsi="Times New Roman"/>
          <w:sz w:val="22"/>
          <w:szCs w:val="22"/>
        </w:rPr>
        <w:t xml:space="preserve">(Phuyal et al. 2026b)</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Li et al. </w:t>
      </w:r>
      <w:r>
        <w:rPr>
          <w:rFonts w:ascii="Times New Roman" w:cs="Times New Roman" w:eastAsia="Times New Roman" w:hAnsi="Times New Roman"/>
          <w:sz w:val="22"/>
          <w:szCs w:val="22"/>
        </w:rPr>
        <w:t xml:space="preserve">(2026a)</w:t>
      </w:r>
      <w:r>
        <w:rPr>
          <w:rFonts w:ascii="Times New Roman" w:cs="Times New Roman" w:eastAsia="Times New Roman" w:hAnsi="Times New Roman"/>
          <w:sz w:val="22"/>
          <w:szCs w:val="22"/>
        </w:rPr>
        <w:t xml:space="preserve">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rPr>
        <w:t xml:space="preserve">An inverse relation between predicate breadth and assurance strength was observed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p>
    <w:p>
      <w:pPr>
        <w:keepNext/>
        <w:spacing w:after="80" w:before="200"/>
        <w:jc w:val="center"/>
      </w:pPr>
      <w:r>
        <w:rPr>
          <w:rFonts w:ascii="Times New Roman" w:cs="Times New Roman" w:eastAsia="Times New Roman" w:hAnsi="Times New Roman"/>
          <w:b/>
          <w:bCs/>
          <w:sz w:val="18"/>
          <w:szCs w:val="18"/>
        </w:rPr>
        <w:t xml:space="preserve">Table 2.3: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w:t>
            </w:r>
            <w:r>
              <w:rPr>
                <w:rFonts w:ascii="Times New Roman" w:cs="Times New Roman" w:eastAsia="Times New Roman" w:hAnsi="Times New Roman"/>
                <w:b w:val="false"/>
                <w:bCs w:val="false"/>
                <w:sz w:val="17"/>
                <w:szCs w:val="17"/>
              </w:rPr>
              <w:t xml:space="preserve">(2021)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rPr>
              <w:t xml:space="preserve">. P</w:t>
            </w:r>
            <w:r>
              <w:rPr>
                <w:rFonts w:ascii="Times New Roman" w:cs="Times New Roman" w:eastAsia="Times New Roman" w:hAnsi="Times New Roman"/>
                <w:b w:val="false"/>
                <w:bCs w:val="false"/>
                <w:sz w:val="17"/>
                <w:szCs w:val="17"/>
              </w:rPr>
              <w:t xml:space="preserve">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w:t>
            </w:r>
            <w:r>
              <w:rPr>
                <w:rFonts w:ascii="Times New Roman" w:cs="Times New Roman" w:eastAsia="Times New Roman" w:hAnsi="Times New Roman"/>
                <w:b w:val="false"/>
                <w:bCs w:val="false"/>
                <w:sz w:val="17"/>
                <w:szCs w:val="17"/>
              </w:rPr>
              <w:t xml:space="preserve">(2026b)</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w:t>
            </w:r>
            <w:r>
              <w:rPr>
                <w:rFonts w:ascii="Times New Roman" w:cs="Times New Roman" w:eastAsia="Times New Roman" w:hAnsi="Times New Roman"/>
                <w:b w:val="false"/>
                <w:bCs w:val="false"/>
                <w:sz w:val="17"/>
                <w:szCs w:val="17"/>
              </w:rPr>
              <w:t xml:space="preserve">(2022)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Existing approaches solve single dimensions of trustworthy data sharing, each at a different layer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sz w:val="22"/>
          <w:szCs w:val="22"/>
        </w:rPr>
        <w:t xml:space="preserve">(Mei et al. 2026)</w:t>
      </w:r>
      <w:r>
        <w:rPr>
          <w:rFonts w:ascii="Times New Roman" w:cs="Times New Roman" w:eastAsia="Times New Roman" w:hAnsi="Times New Roman"/>
          <w:sz w:val="22"/>
          <w:szCs w:val="22"/>
        </w:rPr>
        <w:t xml:space="preserve">, prove only a static encryption predicate.</w:t>
      </w:r>
      <w:r>
        <w:rPr>
          <w:rFonts w:ascii="Times New Roman" w:cs="Times New Roman" w:eastAsia="Times New Roman" w:hAnsi="Times New Roman"/>
          <w:sz w:val="22"/>
          <w:szCs w:val="22"/>
        </w:rPr>
        <w:t xml:space="preserve"> Table 2.4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2.4: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(2026</w:t>
            </w:r>
            <w:r>
              <w:rPr>
                <w:rFonts w:ascii="Times New Roman" w:cs="Times New Roman" w:eastAsia="Times New Roman" w:hAnsi="Times New Roman"/>
                <w:b w:val="false"/>
                <w:bCs w:val="false"/>
                <w:sz w:val="17"/>
                <w:szCs w:val="17"/>
              </w:rPr>
              <w:t xml:space="preserve">b</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rPr>
        <w:t xml:space="preserve">(Madine et al. 2020)</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(Panagoulias et al. 2026)</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rPr>
        <w:t xml:space="preserve">(Punia et al. 2025)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rPr>
        <w:t xml:space="preserve">(Maruthi &amp; Singh 2025; Zhao &amp; Su 2024)</w:t>
      </w:r>
      <w:r>
        <w:rPr>
          <w:rFonts w:ascii="Times New Roman" w:cs="Times New Roman" w:eastAsia="Times New Roman" w:hAnsi="Times New Roman"/>
          <w:sz w:val="22"/>
          <w:szCs w:val="22"/>
        </w:rPr>
        <w:t xml:space="preserve">. Fourth, the two quadruples are complementary, since </w:t>
      </w:r>
      <w:r>
        <w:rPr>
          <w:rFonts w:ascii="Times New Roman" w:cs="Times New Roman" w:eastAsia="Times New Roman" w:hAnsi="Times New Roman"/>
          <w:sz w:val="22"/>
          <w:szCs w:val="22"/>
        </w:rPr>
        <w:t xml:space="preserve">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 full</w:t>
      </w:r>
      <w:r>
        <w:rPr>
          <w:rFonts w:ascii="Times New Roman" w:cs="Times New Roman" w:eastAsia="Times New Roman" w:hAnsi="Times New Roman"/>
          <w:sz w:val="22"/>
          <w:szCs w:val="22"/>
        </w:rPr>
        <w:t xml:space="preserve"> policy and assurance, whereas </w:t>
      </w:r>
      <w:r>
        <w:rPr>
          <w:rFonts w:ascii="Times New Roman" w:cs="Times New Roman" w:eastAsia="Times New Roman" w:hAnsi="Times New Roman"/>
          <w:sz w:val="22"/>
          <w:szCs w:val="22"/>
        </w:rPr>
        <w:t xml:space="preserve">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w:t>
      </w:r>
      <w:r>
        <w:rPr>
          <w:rFonts w:ascii="Times New Roman" w:cs="Times New Roman" w:eastAsia="Times New Roman" w:hAnsi="Times New Roman"/>
          <w:sz w:val="22"/>
          <w:szCs w:val="22"/>
        </w:rPr>
        <w:t xml:space="preserve"> multi-party approval and </w:t>
      </w:r>
      <w:r>
        <w:rPr>
          <w:rFonts w:ascii="Times New Roman" w:cs="Times New Roman" w:eastAsia="Times New Roman" w:hAnsi="Times New Roman"/>
          <w:sz w:val="22"/>
          <w:szCs w:val="22"/>
        </w:rPr>
        <w:t xml:space="preserve">full </w:t>
      </w:r>
      <w:r>
        <w:rPr>
          <w:rFonts w:ascii="Times New Roman" w:cs="Times New Roman" w:eastAsia="Times New Roman" w:hAnsi="Times New Roman"/>
          <w:sz w:val="22"/>
          <w:szCs w:val="22"/>
        </w:rPr>
        <w:t xml:space="preserve">identity depth.</w:t>
      </w:r>
    </w:p>
    <w:p>
      <w:pPr>
        <w:spacing w:after="110" w:line="264"/>
        <w:jc w:val="both"/>
      </w:pPr>
      <w:r>
        <w:rPr>
          <w:rFonts w:ascii="Times New Roman" w:cs="Times New Roman" w:eastAsia="Times New Roman" w:hAnsi="Times New Roman"/>
          <w:sz w:val="22"/>
          <w:szCs w:val="22"/>
        </w:rPr>
        <w:t xml:space="preserve">The comparison shows that the contribution of this research is the explicit relationship it establishes among existing technologies, not their replacement.</w:t>
      </w:r>
      <w:r>
        <w:rPr>
          <w:rFonts w:ascii="Times New Roman" w:cs="Times New Roman" w:eastAsia="Times New Roman" w:hAnsi="Times New Roman"/>
          <w:sz w:val="22"/>
          <w:szCs w:val="22"/>
        </w:rPr>
        <w:t xml:space="preserve">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2.5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2.4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rarity of multi-party approval and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w:t>
      </w:r>
      <w:r>
        <w:rPr>
          <w:rFonts w:ascii="Times New Roman" w:cs="Times New Roman" w:eastAsia="Times New Roman" w:hAnsi="Times New Roman"/>
          <w:sz w:val="22"/>
          <w:szCs w:val="22"/>
        </w:rPr>
        <w:t xml:space="preserve">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4572000" cy="2295525"/>
            <wp:effectExtent t="0" r="0" b="0" l="0"/>
            <wp:docPr id="1"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955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2.4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w:t>
      </w:r>
      <w:r>
        <w:rPr>
          <w:rFonts w:ascii="Times New Roman" w:cs="Times New Roman" w:eastAsia="Times New Roman" w:hAnsi="Times New Roman"/>
          <w:sz w:val="22"/>
          <w:szCs w:val="22"/>
        </w:rPr>
        <w:t xml:space="preserve">in progress or</w:t>
      </w:r>
      <w:r>
        <w:rPr>
          <w:rFonts w:ascii="Times New Roman" w:cs="Times New Roman" w:eastAsia="Times New Roman" w:hAnsi="Times New Roman"/>
          <w:sz w:val="22"/>
          <w:szCs w:val="22"/>
        </w:rPr>
        <w:t xml:space="preserve">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2.5: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2.</w:t>
            </w:r>
            <w:r>
              <w:rPr>
                <w:rFonts w:ascii="Times New Roman" w:cs="Times New Roman" w:eastAsia="Times New Roman" w:hAnsi="Times New Roman"/>
                <w:b w:val="false"/>
                <w:bCs w:val="false"/>
                <w:sz w:val="17"/>
                <w:szCs w:val="17"/>
              </w:rPr>
              <w:t xml:space="preserve"> The prototype checks the DID format</w:t>
            </w:r>
            <w:r>
              <w:rPr>
                <w:rFonts w:ascii="Times New Roman" w:cs="Times New Roman" w:eastAsia="Times New Roman" w:hAnsi="Times New Roman"/>
                <w:b w:val="false"/>
                <w:bCs w:val="false"/>
                <w:sz w:val="17"/>
                <w:szCs w:val="17"/>
              </w:rPr>
              <w:t xml:space="preserve">, verifies each guardian's credential before the signature is added, and verifies the requesting doctor's credential at every access request. Full DID resolution is</w:t>
            </w:r>
            <w:r>
              <w:rPr>
                <w:rFonts w:ascii="Times New Roman" w:cs="Times New Roman" w:eastAsia="Times New Roman" w:hAnsi="Times New Roman"/>
                <w:b w:val="false"/>
                <w:bCs w:val="false"/>
                <w:sz w:val="17"/>
                <w:szCs w:val="17"/>
              </w:rPr>
              <w:t xml:space="preserv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w:t>
            </w:r>
            <w:r>
              <w:rPr>
                <w:rFonts w:ascii="Times New Roman" w:cs="Times New Roman" w:eastAsia="Times New Roman" w:hAnsi="Times New Roman"/>
                <w:b w:val="false"/>
                <w:bCs w:val="false"/>
                <w:sz w:val="17"/>
                <w:szCs w:val="17"/>
              </w:rPr>
              <w:t xml:space="preserve">(Bloemen, Logvinov &amp; Evans 2017)</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through Algorithm 4.</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w:t>
            </w:r>
            <w:r>
              <w:rPr>
                <w:rFonts w:ascii="Times New Roman" w:cs="Times New Roman" w:eastAsia="Times New Roman" w:hAnsi="Times New Roman"/>
                <w:b w:val="false"/>
                <w:bCs w:val="false"/>
                <w:sz w:val="17"/>
                <w:szCs w:val="17"/>
              </w:rPr>
              <w:t xml:space="preserve">, as specified in Algorithm 5</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The SUSPENDED state and the lifecycle transition check are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 Progress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w:t>
            </w:r>
            <w:r>
              <w:rPr>
                <w:rFonts w:ascii="Times New Roman" w:cs="Times New Roman" w:eastAsia="Times New Roman" w:hAnsi="Times New Roman"/>
                <w:b w:val="false"/>
                <w:bCs w:val="false"/>
                <w:sz w:val="17"/>
                <w:szCs w:val="17"/>
              </w:rPr>
              <w:t xml:space="preserve">and 46 automated tests, including thirteen attack scenarios A1 to A13</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The testing part of Algorithm 6 is done.</w:t>
            </w:r>
            <w:r>
              <w:rPr>
                <w:rFonts w:ascii="Times New Roman" w:cs="Times New Roman" w:eastAsia="Times New Roman" w:hAnsi="Times New Roman"/>
                <w:b w:val="false"/>
                <w:bCs w:val="false"/>
                <w:sz w:val="17"/>
                <w:szCs w:val="17"/>
              </w:rPr>
              <w:t xml:space="preserve">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shows much work on individual mechanisms for securing healthcare data sharing, but also a conceptual and architectural fragmentation</w:t>
      </w:r>
      <w:r>
        <w:rPr>
          <w:rFonts w:ascii="Times New Roman" w:cs="Times New Roman" w:eastAsia="Times New Roman" w:hAnsi="Times New Roman"/>
          <w:sz w:val="22"/>
          <w:szCs w:val="22"/>
        </w:rPr>
        <w:t xml:space="preserve">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rPr>
        <w:t xml:space="preserve">(Ferreira et al. 2025; Panagoulias et al. 2026; Phuyal et al. 2026b; Punia et al. 2025; Shanmugham &amp; Senthilkumar 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 not make multi-party approval a standing condition of that decision. Some of them test their own decisions empirically,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 absence of an integrated model</w:t>
      </w:r>
      <w:r>
        <w:rPr>
          <w:rFonts w:ascii="Times New Roman" w:cs="Times New Roman" w:eastAsia="Times New Roman" w:hAnsi="Times New Roman"/>
          <w:sz w:val="22"/>
          <w:szCs w:val="22"/>
        </w:rPr>
        <w:t xml:space="preserve">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and some claim consent but leave it out of the access decision </w:t>
      </w:r>
      <w:r>
        <w:rPr>
          <w:rFonts w:ascii="Times New Roman" w:cs="Times New Roman" w:eastAsia="Times New Roman" w:hAnsi="Times New Roman"/>
          <w:sz w:val="22"/>
          <w:szCs w:val="22"/>
        </w:rPr>
        <w:t xml:space="preserve">(Sawant &amp; Gomes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rPr>
        <w:t xml:space="preserve">(Albalwy, Brass &amp; Davies 2021; Eneh et al. 2026; Phuyal et al. 2026b; Shanmugham &amp; Senthilkumar 2026; Tith et al. 2020)</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are two different security problems.</w:t>
      </w:r>
      <w:r>
        <w:rPr>
          <w:rFonts w:ascii="Times New Roman" w:cs="Times New Roman" w:eastAsia="Times New Roman" w:hAnsi="Times New Roman"/>
          <w:sz w:val="22"/>
          <w:szCs w:val="22"/>
        </w:rPr>
        <w:t xml:space="preserve"> A blockchain may provide an immutable representation of a consent event </w:t>
      </w:r>
      <w:r>
        <w:rPr>
          <w:rFonts w:ascii="Times New Roman" w:cs="Times New Roman" w:eastAsia="Times New Roman" w:hAnsi="Times New Roman"/>
          <w:sz w:val="22"/>
          <w:szCs w:val="22"/>
        </w:rPr>
        <w:t xml:space="preserve">(Andrew et al. 2023; Tawfik et al. 2025)</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rPr>
        <w:t xml:space="preserve">(Mazzocca et al. 2025)</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w:t>
      </w:r>
      <w:r>
        <w:rPr>
          <w:rFonts w:ascii="Times New Roman" w:cs="Times New Roman" w:eastAsia="Times New Roman" w:hAnsi="Times New Roman"/>
          <w:sz w:val="22"/>
          <w:szCs w:val="22"/>
        </w:rPr>
        <w:t xml:space="preserve">(Madine et al. 2020; Punia et al. 2025; Tan, Chi &amp; Lam 2024)</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w:t>
      </w:r>
      <w:r>
        <w:rPr>
          <w:rFonts w:ascii="Times New Roman" w:cs="Times New Roman" w:eastAsia="Times New Roman" w:hAnsi="Times New Roman"/>
          <w:sz w:val="22"/>
          <w:szCs w:val="22"/>
        </w:rPr>
        <w:t xml:space="preserve">In this research, trust is a property of a verifiable authorisation process, not an attribute of one entity or technology.</w:t>
      </w:r>
    </w:p>
    <w:p>
      <w:pPr>
        <w:spacing w:after="110" w:line="264"/>
        <w:jc w:val="both"/>
      </w:pPr>
      <w:r>
        <w:rPr>
          <w:rFonts w:ascii="Times New Roman" w:cs="Times New Roman" w:eastAsia="Times New Roman" w:hAnsi="Times New Roman"/>
          <w:sz w:val="22"/>
          <w:szCs w:val="22"/>
        </w:rPr>
        <w:t xml:space="preserve">The identified gap can therefore be stated as follows: existing</w:t>
      </w:r>
      <w:r>
        <w:rPr>
          <w:rFonts w:ascii="Times New Roman" w:cs="Times New Roman" w:eastAsia="Times New Roman" w:hAnsi="Times New Roman"/>
          <w:sz w:val="22"/>
          <w:szCs w:val="22"/>
        </w:rPr>
        <w:t xml:space="preserve"> healthcare consent and access-control research provides </w:t>
      </w:r>
      <w:r>
        <w:rPr>
          <w:rFonts w:ascii="Times New Roman" w:cs="Times New Roman" w:eastAsia="Times New Roman" w:hAnsi="Times New Roman"/>
          <w:sz w:val="22"/>
          <w:szCs w:val="22"/>
        </w:rPr>
        <w:t xml:space="preserve">many of the necessary technological building blocks, but there remains a need for</w:t>
      </w:r>
      <w:r>
        <w:rPr>
          <w:rFonts w:ascii="Times New Roman" w:cs="Times New Roman" w:eastAsia="Times New Roman" w:hAnsi="Times New Roman"/>
          <w:sz w:val="22"/>
          <w:szCs w:val="22"/>
        </w:rPr>
        <w:t xml:space="preserve">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t>
      </w:r>
      <w:r>
        <w:rPr>
          <w:rFonts w:ascii="Times New Roman" w:cs="Times New Roman" w:eastAsia="Times New Roman" w:hAnsi="Times New Roman"/>
          <w:sz w:val="22"/>
          <w:szCs w:val="22"/>
        </w:rPr>
        <w:t xml:space="preserve">where required</w:t>
      </w:r>
      <w:r>
        <w:rPr>
          <w:rFonts w:ascii="Times New Roman" w:cs="Times New Roman" w:eastAsia="Times New Roman" w:hAnsi="Times New Roman"/>
          <w:sz w:val="22"/>
          <w:szCs w:val="22"/>
        </w:rPr>
        <w:t xml:space="preserve">, and enforcing the policy and data-scope constraints associated with the consent. In this framework, the consent object carries identity, authority,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rPr>
        <w:t xml:space="preserve">(Punia et al. 2025; Wu et al. 2022; Zhao &amp; Su 2024)</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rPr>
        <w:t xml:space="preserve">(Maruthi &amp; Singh 2025; Tan, Chi &amp; Lam 2024)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Purpose and data-scope</w:t>
      </w:r>
      <w:r>
        <w:rPr>
          <w:rFonts w:ascii="Times New Roman" w:cs="Times New Roman" w:eastAsia="Times New Roman" w:hAnsi="Times New Roman"/>
          <w:sz w:val="22"/>
          <w:szCs w:val="22"/>
        </w:rPr>
        <w:t xml:space="preserve">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w:t>
      </w:r>
      <w:r>
        <w:rPr>
          <w:rFonts w:ascii="Times New Roman" w:cs="Times New Roman" w:eastAsia="Times New Roman" w:hAnsi="Times New Roman"/>
          <w:sz w:val="22"/>
          <w:szCs w:val="22"/>
        </w:rPr>
        <w:t xml:space="preserve">Depending on the consent configuration, G may contain healthcare professionals, guardians, institutional representatives, or other authorised parties. In the current prototype, the members of G are guardians.</w:t>
      </w:r>
      <w:r>
        <w:rPr>
          <w:rFonts w:ascii="Times New Roman" w:cs="Times New Roman" w:eastAsia="Times New Roman" w:hAnsi="Times New Roman"/>
          <w:sz w:val="22"/>
          <w:szCs w:val="22"/>
        </w:rPr>
        <w:t xml:space="preserve"> Each </w:t>
      </w:r>
      <w:r>
        <w:rPr>
          <w:rFonts w:ascii="Times New Roman" w:cs="Times New Roman" w:eastAsia="Times New Roman" w:hAnsi="Times New Roman"/>
          <w:sz w:val="22"/>
          <w:szCs w:val="22"/>
        </w:rPr>
        <w:t xml:space="preserve">member of G</w:t>
      </w:r>
      <w:r>
        <w:rPr>
          <w:rFonts w:ascii="Times New Roman" w:cs="Times New Roman" w:eastAsia="Times New Roman" w:hAnsi="Times New Roman"/>
          <w:sz w:val="22"/>
          <w:szCs w:val="22"/>
        </w:rPr>
        <w:t xml:space="preserve"> is checked to determine whether the individual or entity possesses the required authority to participate in consent-related decisions. The threshold N is the number of valid </w:t>
      </w:r>
      <w:r>
        <w:rPr>
          <w:rFonts w:ascii="Times New Roman" w:cs="Times New Roman" w:eastAsia="Times New Roman" w:hAnsi="Times New Roman"/>
          <w:sz w:val="22"/>
          <w:szCs w:val="22"/>
        </w:rPr>
        <w:t xml:space="preserve">approvals from members of G</w:t>
      </w:r>
      <w:r>
        <w:rPr>
          <w:rFonts w:ascii="Times New Roman" w:cs="Times New Roman" w:eastAsia="Times New Roman" w:hAnsi="Times New Roman"/>
          <w:sz w:val="22"/>
          <w:szCs w:val="22"/>
        </w:rPr>
        <w:t xml:space="preserve">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w:t>
      </w:r>
      <w:r>
        <w:rPr>
          <w:rFonts w:ascii="Times New Roman" w:cs="Times New Roman" w:eastAsia="Times New Roman" w:hAnsi="Times New Roman"/>
          <w:sz w:val="22"/>
          <w:szCs w:val="22"/>
        </w:rPr>
        <w:t xml:space="preserve">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w:t>
      </w:r>
      <w:r>
        <w:rPr>
          <w:rFonts w:ascii="Times New Roman" w:cs="Times New Roman" w:eastAsia="Times New Roman" w:hAnsi="Times New Roman"/>
          <w:sz w:val="22"/>
          <w:szCs w:val="22"/>
        </w:rPr>
        <w:t xml:space="preserve">T is the temporal validity window, and L represents the current state of the consent object and its permissible transitions, including whether the consent remains active or has been revoked.</w:t>
      </w:r>
      <w:r>
        <w:rPr>
          <w:rFonts w:ascii="Times New Roman" w:cs="Times New Roman" w:eastAsia="Times New Roman" w:hAnsi="Times New Roman"/>
          <w:sz w:val="22"/>
          <w:szCs w:val="22"/>
        </w:rPr>
        <w:t xml:space="preserve">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(3.1)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consent lifecycle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(3.2)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rPr>
        <w:t xml:space="preserve">requires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(Section 9.5) to pass and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Groth16 ZK proof </w:t>
      </w:r>
      <w:r>
        <w:rPr>
          <w:rFonts w:ascii="Times New Roman" w:cs="Times New Roman" w:eastAsia="Times New Roman" w:hAnsi="Times New Roman"/>
          <w:sz w:val="22"/>
          <w:szCs w:val="22"/>
        </w:rPr>
        <w:t xml:space="preserve">(Groth 2016)</w:t>
      </w:r>
      <w:r>
        <w:rPr>
          <w:rFonts w:ascii="Times New Roman" w:cs="Times New Roman" w:eastAsia="Times New Roman" w:hAnsi="Times New Roman"/>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w:t>
      </w:r>
      <w:r>
        <w:rPr>
          <w:rFonts w:ascii="Times New Roman" w:cs="Times New Roman" w:eastAsia="Times New Roman" w:hAnsi="Times New Roman"/>
          <w:sz w:val="22"/>
          <w:szCs w:val="22"/>
        </w:rPr>
        <w:t xml:space="preserve">either fails, as in Scenario 4 (Section </w:t>
      </w: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 and</w:t>
      </w:r>
      <w:r>
        <w:rPr>
          <w:rFonts w:ascii="Times New Roman" w:cs="Times New Roman" w:eastAsia="Times New Roman" w:hAnsi="Times New Roman"/>
          <w:sz w:val="22"/>
          <w:szCs w:val="22"/>
        </w:rPr>
        <w:t xml:space="preserve"> attack A9 (Section </w:t>
      </w:r>
      <w:r>
        <w:rPr>
          <w:rFonts w:ascii="Times New Roman" w:cs="Times New Roman" w:eastAsia="Times New Roman" w:hAnsi="Times New Roman"/>
          <w:sz w:val="22"/>
          <w:szCs w:val="22"/>
        </w:rPr>
        <w:t xml:space="preserve">11.6</w:t>
      </w:r>
      <w:r>
        <w:rPr>
          <w:rFonts w:ascii="Times New Roman" w:cs="Times New Roman" w:eastAsia="Times New Roman" w:hAnsi="Times New Roman"/>
          <w:sz w:val="22"/>
          <w:szCs w:val="22"/>
        </w:rPr>
        <w:t xml:space="preserve">).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turn the research gap into concrete research and development activities.</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w:t>
      </w:r>
      <w:r>
        <w:rPr>
          <w:rFonts w:ascii="Times New Roman" w:cs="Times New Roman" w:eastAsia="Times New Roman" w:hAnsi="Times New Roman"/>
          <w:sz w:val="22"/>
          <w:szCs w:val="22"/>
        </w:rPr>
        <w:t xml:space="preserve">and guardians</w:t>
      </w:r>
      <w:r>
        <w:rPr>
          <w:rFonts w:ascii="Times New Roman" w:cs="Times New Roman" w:eastAsia="Times New Roman" w:hAnsi="Times New Roman"/>
          <w:sz w:val="22"/>
          <w:szCs w:val="22"/>
        </w:rPr>
        <w:t xml:space="preserve">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w:t>
      </w:r>
      <w:r>
        <w:rPr>
          <w:rFonts w:ascii="Times New Roman" w:cs="Times New Roman" w:eastAsia="Times New Roman" w:hAnsi="Times New Roman"/>
          <w:sz w:val="22"/>
          <w:szCs w:val="22"/>
        </w:rPr>
        <w:t xml:space="preserve">In the current prototype, a</w:t>
      </w:r>
      <w:r>
        <w:rPr>
          <w:rFonts w:ascii="Times New Roman" w:cs="Times New Roman" w:eastAsia="Times New Roman" w:hAnsi="Times New Roman"/>
          <w:sz w:val="22"/>
          <w:szCs w:val="22"/>
        </w:rPr>
        <w:t xml:space="preserve">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w:t>
      </w:r>
      <w:r>
        <w:rPr>
          <w:rFonts w:ascii="Times New Roman" w:cs="Times New Roman" w:eastAsia="Times New Roman" w:hAnsi="Times New Roman"/>
          <w:sz w:val="22"/>
          <w:szCs w:val="22"/>
        </w:rPr>
        <w:t xml:space="preserve">Access can be granted only in the ACTIVE state,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checks this state at every access decision.</w:t>
      </w:r>
      <w:r>
        <w:rPr>
          <w:rFonts w:ascii="Times New Roman" w:cs="Times New Roman" w:eastAsia="Times New Roman" w:hAnsi="Times New Roman"/>
          <w:sz w:val="22"/>
          <w:szCs w:val="22"/>
        </w:rPr>
        <w:t xml:space="preserv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rPr>
        <w:t xml:space="preserve">the SUSPENDED state,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w:t>
      </w:r>
      <w:r>
        <w:rPr>
          <w:rFonts w:ascii="Times New Roman" w:cs="Times New Roman" w:eastAsia="Times New Roman" w:hAnsi="Times New Roman"/>
          <w:sz w:val="22"/>
          <w:szCs w:val="22"/>
        </w:rPr>
        <w:t xml:space="preserve">The prototype must execute valid consent workflows, and it must also behave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 In particular, </w:t>
      </w:r>
      <w:r>
        <w:rPr>
          <w:rFonts w:ascii="Times New Roman" w:cs="Times New Roman" w:eastAsia="Times New Roman" w:hAnsi="Times New Roman"/>
          <w:sz w:val="22"/>
          <w:szCs w:val="22"/>
        </w:rPr>
        <w:t xml:space="preserve">46</w:t>
      </w:r>
      <w:r>
        <w:rPr>
          <w:rFonts w:ascii="Times New Roman" w:cs="Times New Roman" w:eastAsia="Times New Roman" w:hAnsi="Times New Roman"/>
          <w:sz w:val="22"/>
          <w:szCs w:val="22"/>
        </w:rPr>
        <w:t xml:space="preserve"> automated tests cover signature rejection, proof tampering, </w:t>
      </w:r>
      <w:r>
        <w:rPr>
          <w:rFonts w:ascii="Times New Roman" w:cs="Times New Roman" w:eastAsia="Times New Roman" w:hAnsi="Times New Roman"/>
          <w:sz w:val="22"/>
          <w:szCs w:val="22"/>
        </w:rPr>
        <w:t xml:space="preserve">credential checks,</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thirteen attack scenarios, A1 to A13,</w:t>
      </w:r>
      <w:r>
        <w:rPr>
          <w:rFonts w:ascii="Times New Roman" w:cs="Times New Roman" w:eastAsia="Times New Roman" w:hAnsi="Times New Roman"/>
          <w:sz w:val="22"/>
          <w:szCs w:val="22"/>
        </w:rPr>
        <w:t xml:space="preserve"> against the components of C and the contract. </w:t>
      </w:r>
      <w:r>
        <w:rPr>
          <w:rFonts w:ascii="Times New Roman" w:cs="Times New Roman" w:eastAsia="Times New Roman" w:hAnsi="Times New Roman"/>
          <w:sz w:val="22"/>
          <w:szCs w:val="22"/>
        </w:rPr>
        <w:t xml:space="preserve">Twelve of the attacks are refused. A11 is neutral, not refused, because rewriting an audit event changes its digest but nothing checks the digest yet.</w:t>
      </w:r>
      <w:r>
        <w:rPr>
          <w:rFonts w:ascii="Times New Roman" w:cs="Times New Roman" w:eastAsia="Times New Roman" w:hAnsi="Times New Roman"/>
          <w:sz w:val="22"/>
          <w:szCs w:val="22"/>
        </w:rPr>
        <w:t xml:space="preserve"> Preliminary measurements of on-chain cost, confirmation latency, and processing time have been obtained, and a live out-of-jurisdiction request against a consent anchored on the deployed Sepolia contract was refused by the </w:t>
      </w:r>
      <w:r>
        <w:rPr>
          <w:rFonts w:ascii="Times New Roman" w:cs="Times New Roman" w:eastAsia="Times New Roman" w:hAnsi="Times New Roman"/>
          <w:sz w:val="22"/>
          <w:szCs w:val="22"/>
        </w:rPr>
        <w:t xml:space="preserve">exploratory jurisdiction check of the</w:t>
      </w:r>
      <w:r>
        <w:rPr>
          <w:rFonts w:ascii="Times New Roman" w:cs="Times New Roman" w:eastAsia="Times New Roman" w:hAnsi="Times New Roman"/>
          <w:sz w:val="22"/>
          <w:szCs w:val="22"/>
        </w:rPr>
        <w:t xml:space="preserve"> application </w:t>
      </w:r>
      <w:r>
        <w:rPr>
          <w:rFonts w:ascii="Times New Roman" w:cs="Times New Roman" w:eastAsia="Times New Roman" w:hAnsi="Times New Roman"/>
          <w:sz w:val="22"/>
          <w:szCs w:val="22"/>
        </w:rPr>
        <w:t xml:space="preserve">(Section 9.5)</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t>
      </w:r>
      <w:r>
        <w:rPr>
          <w:rFonts w:ascii="Times New Roman" w:cs="Times New Roman" w:eastAsia="Times New Roman" w:hAnsi="Times New Roman"/>
          <w:sz w:val="22"/>
          <w:szCs w:val="22"/>
        </w:rPr>
        <w:t xml:space="preserve">and a larger evaluation under load</w:t>
      </w:r>
      <w:r>
        <w:rPr>
          <w:rFonts w:ascii="Times New Roman" w:cs="Times New Roman" w:eastAsia="Times New Roman" w:hAnsi="Times New Roman"/>
          <w:sz w:val="22"/>
          <w:szCs w:val="22"/>
        </w:rPr>
        <w:t xml:space="preserve">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relationship between the six research questions and the six research objectives, with the status of each objective, is summarised in Table 4.1.</w:t>
      </w:r>
      <w:r>
        <w:rPr>
          <w:rFonts w:ascii="Times New Roman" w:cs="Times New Roman" w:eastAsia="Times New Roman" w:hAnsi="Times New Roman"/>
          <w:sz w:val="22"/>
          <w:szCs w:val="22"/>
        </w:rPr>
        <w:t xml:space="preserve">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w:t>
      </w:r>
      <w:r>
        <w:rPr>
          <w:rFonts w:ascii="Times New Roman" w:cs="Times New Roman" w:eastAsia="Times New Roman" w:hAnsi="Times New Roman"/>
          <w:sz w:val="22"/>
          <w:szCs w:val="22"/>
        </w:rPr>
        <w:t xml:space="preserve">Each research question therefore has one research activity, and each objective contributes to the framework.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w:t>
      </w:r>
      <w:r>
        <w:rPr>
          <w:rFonts w:ascii="Times New Roman" w:cs="Times New Roman" w:eastAsia="Times New Roman" w:hAnsi="Times New Roman"/>
          <w:sz w:val="22"/>
          <w:szCs w:val="22"/>
        </w:rPr>
        <w:t xml:space="preserve">RO5 is in progress and RO6 is partially completed</w:t>
      </w:r>
      <w:r>
        <w:rPr>
          <w:rFonts w:ascii="Times New Roman" w:cs="Times New Roman" w:eastAsia="Times New Roman" w:hAnsi="Times New Roman"/>
          <w:sz w:val="22"/>
          <w:szCs w:val="22"/>
        </w:rPr>
        <w:t xml:space="preserve">.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keepNext/>
        <w:spacing w:after="80" w:before="200"/>
        <w:jc w:val="center"/>
      </w:pPr>
      <w:r>
        <w:rPr>
          <w:rFonts w:ascii="Times New Roman" w:cs="Times New Roman" w:eastAsia="Times New Roman" w:hAnsi="Times New Roman"/>
          <w:b/>
          <w:bCs/>
          <w:sz w:val="18"/>
          <w:szCs w:val="18"/>
        </w:rPr>
        <w:t xml:space="preserve">Table 4.1: </w:t>
      </w:r>
      <w:r>
        <w:rPr>
          <w:rFonts w:ascii="Times New Roman" w:cs="Times New Roman" w:eastAsia="Times New Roman" w:hAnsi="Times New Roman"/>
          <w:sz w:val="18"/>
          <w:szCs w:val="18"/>
        </w:rPr>
        <w:t xml:space="preserve">Research questions, research objectives, and the status of each objective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2340"/>
        <w:gridCol w:w="4544"/>
        <w:gridCol w:w="1562"/>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RQ</w:t>
            </w:r>
          </w:p>
        </w:tc>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45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Description</w:t>
            </w:r>
          </w:p>
        </w:tc>
        <w:tc>
          <w:tcPr>
            <w:tcW w:type="dxa" w:w="156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Status</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RQ1</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 Trust-Centric Consent Model</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To develop a trust-aware consent model that represents patient consent as a structured and evaluable authorisation object.</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RQ2</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 Decentralised Identity and Authority Trust</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To develop a decentralised identity and authority verification mechanism using decentralised identifiers and verifiable credentials.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RQ3</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 Trustworthy Multi-Party Authorisation</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To develop a threshold-based multi-party authorisation mechanism through which multiple independently verified participants and guardians can jointly establish a trustworthy consent decision.</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RQ4</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 Policy- and Context-Aware Access Control</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To develop a policy-aware authorisation mechanism that evaluates the purpose and data scope of a requested operation against the constraints defined by the consent.</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RQ5</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 Temporal and Lifecycle Trust</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To extend the trust-oriented framework with temporal validity and consent lifecycle controls.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In Progress</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RQ6</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Formal Security Assurance and Empirical Validation</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To formally analyse and empirically evaluate whether the implemented framework satisfies its defined trust and authorisation properties under representative healthcare data-sharing scenarios.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w:t>
      </w:r>
      <w:r>
        <w:rPr>
          <w:rFonts w:ascii="Times New Roman" w:cs="Times New Roman" w:eastAsia="Times New Roman" w:hAnsi="Times New Roman"/>
          <w:sz w:val="22"/>
          <w:szCs w:val="22"/>
        </w:rPr>
        <w:t xml:space="preserve">In the proposed framework, MVC does more than separate data, interfaces, and application logic. It is extended to support a separation</w:t>
      </w:r>
      <w:r>
        <w:rPr>
          <w:rFonts w:ascii="Times New Roman" w:cs="Times New Roman" w:eastAsia="Times New Roman" w:hAnsi="Times New Roman"/>
          <w:sz w:val="22"/>
          <w:szCs w:val="22"/>
        </w:rPr>
        <w:t xml:space="preserve"> between the representation of consent, the interaction of independent stakeholders, and the enforcement of security-critical authorisation decisions. </w:t>
      </w:r>
      <w:r>
        <w:rPr>
          <w:rFonts w:ascii="Times New Roman" w:cs="Times New Roman" w:eastAsia="Times New Roman" w:hAnsi="Times New Roman"/>
          <w:sz w:val="22"/>
          <w:szCs w:val="22"/>
        </w:rPr>
        <w:t xml:space="preserve">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w:t>
      </w:r>
      <w:r>
        <w:rPr>
          <w:rFonts w:ascii="Times New Roman" w:cs="Times New Roman" w:eastAsia="Times New Roman" w:hAnsi="Times New Roman"/>
          <w:sz w:val="22"/>
          <w:szCs w:val="22"/>
        </w:rPr>
        <w:t xml:space="preserve">Instead, the authorisation decision is the result of evaluating independently verifiable security conditions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5.1 describes the layers and their components, Section 5.2 explains where trust is evaluated and where the architectural boundaries lie, Section 5.3 walks through the authorisation workflow, and Section 5.4 maps the architecture to the research objectives.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5.1: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5.2: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w:t>
      </w:r>
      <w:r>
        <w:rPr>
          <w:rFonts w:ascii="Times New Roman" w:cs="Times New Roman" w:eastAsia="Times New Roman" w:hAnsi="Times New Roman"/>
          <w:sz w:val="22"/>
          <w:szCs w:val="22"/>
        </w:rPr>
        <w:t xml:space="preserve">anchors the Sepolia mint as a background process. A revoke transaction is sent when the patient revokes a consent, and the patient view waits for its confirmation</w:t>
      </w:r>
      <w:r>
        <w:rPr>
          <w:rFonts w:ascii="Times New Roman" w:cs="Times New Roman" w:eastAsia="Times New Roman" w:hAnsi="Times New Roman"/>
          <w:sz w:val="22"/>
          <w:szCs w:val="22"/>
        </w:rPr>
        <w:t xml:space="preserve">. The Model correspondingly contains the ConsentSBTv3 soulbound contract deployed on Sepolia together with the application audit ledger, both of which an independent verification tool reads, as described in Section 11. </w:t>
      </w:r>
      <w:r>
        <w:rPr>
          <w:rFonts w:ascii="Times New Roman" w:cs="Times New Roman" w:eastAsia="Times New Roman" w:hAnsi="Times New Roman"/>
          <w:sz w:val="22"/>
          <w:szCs w:val="22"/>
        </w:rPr>
        <w:t xml:space="preserve">In the present prototype, each DID must be well formed, and the doctor and each guardian must hold a valid verifiable credential from a demo issuer. The guardian's credential is checked before the guardian signs,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the doctor's credential check</w:t>
      </w:r>
      <w:r>
        <w:rPr>
          <w:rFonts w:ascii="Times New Roman" w:cs="Times New Roman" w:eastAsia="Times New Roman" w:hAnsi="Times New Roman"/>
          <w:sz w:val="22"/>
          <w:szCs w:val="22"/>
        </w:rPr>
        <w:t xml:space="preserve"> with the EIP-712 verification of each listed guardian's signature. The requester's </w:t>
      </w:r>
      <w:r>
        <w:rPr>
          <w:rFonts w:ascii="Times New Roman" w:cs="Times New Roman" w:eastAsia="Times New Roman" w:hAnsi="Times New Roman"/>
          <w:sz w:val="22"/>
          <w:szCs w:val="22"/>
        </w:rPr>
        <w:t xml:space="preserve">DID</w:t>
      </w:r>
      <w:r>
        <w:rPr>
          <w:rFonts w:ascii="Times New Roman" w:cs="Times New Roman" w:eastAsia="Times New Roman" w:hAnsi="Times New Roman"/>
          <w:sz w:val="22"/>
          <w:szCs w:val="22"/>
        </w:rPr>
        <w:t xml:space="preserve"> and jurisdiction are declared in the interface rather than authenticated, and wallet-held signing keys</w:t>
      </w:r>
      <w:r>
        <w:rPr>
          <w:rFonts w:ascii="Times New Roman" w:cs="Times New Roman" w:eastAsia="Times New Roman" w:hAnsi="Times New Roman"/>
          <w:sz w:val="22"/>
          <w:szCs w:val="22"/>
        </w:rPr>
        <w:t xml:space="preserve">, full DID resolution and proof that the user controls the DID are deferred to the next stage</w:t>
      </w:r>
      <w:r>
        <w:rPr>
          <w:rFonts w:ascii="Times New Roman" w:cs="Times New Roman" w:eastAsia="Times New Roman" w:hAnsi="Times New Roman"/>
          <w:sz w:val="22"/>
          <w:szCs w:val="22"/>
        </w:rPr>
        <w:t xml:space="preserve">.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w:t>
      </w:r>
      <w:r>
        <w:rPr>
          <w:rFonts w:ascii="Times New Roman" w:cs="Times New Roman" w:eastAsia="Times New Roman" w:hAnsi="Times New Roman"/>
          <w:sz w:val="22"/>
          <w:szCs w:val="22"/>
        </w:rPr>
        <w:t xml:space="preserve">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determines whether the consent remains in a valid lifecycle state.</w:t>
      </w:r>
      <w:r>
        <w:rPr>
          <w:rFonts w:ascii="Times New Roman" w:cs="Times New Roman" w:eastAsia="Times New Roman" w:hAnsi="Times New Roman"/>
          <w:sz w:val="22"/>
          <w:szCs w:val="22"/>
        </w:rPr>
        <w:t xml:space="preserve"> The integrated decision can therefore be expressed as Equation (3.2). </w:t>
      </w:r>
      <w:r>
        <w:rPr>
          <w:rFonts w:ascii="Times New Roman" w:cs="Times New Roman" w:eastAsia="Times New Roman" w:hAnsi="Times New Roman"/>
          <w:sz w:val="22"/>
          <w:szCs w:val="22"/>
        </w:rPr>
        <w:t xml:space="preserve">In the current prototype, the Consent Engine derives the lifecycle state, a request proceeds only when this state is ACTIVE, and the revocation flag and the token are also checked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 prototype interface also shows a check labelled VL, which compares the jurisdiction declared in the request with the jurisdiction recorded in the consent. This report denotes that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and treats jurisdiction as a contextual policy condition for the next stage (Section 9.5).</w:t>
      </w:r>
    </w:p>
    <w:p>
      <w:pPr>
        <w:keepNext/>
        <w:spacing w:after="60" w:before="160"/>
        <w:jc w:val="center"/>
      </w:pPr>
      <w:r>
        <w:drawing>
          <wp:inline distT="0" distB="0" distL="0" distR="0">
            <wp:extent cx="3676650" cy="5334000"/>
            <wp:effectExtent t="0" r="0" b="0" l="0"/>
            <wp:docPr id="1"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5.3: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w:t>
      </w:r>
      <w:r>
        <w:rPr>
          <w:rFonts w:ascii="Times New Roman" w:cs="Times New Roman" w:eastAsia="Times New Roman" w:hAnsi="Times New Roman"/>
          <w:sz w:val="18"/>
          <w:szCs w:val="18"/>
        </w:rPr>
        <w:t xml:space="preserve">recorded in the audit ledger like any other refusal</w:t>
      </w:r>
      <w:r>
        <w:rPr>
          <w:rFonts w:ascii="Times New Roman" w:cs="Times New Roman" w:eastAsia="Times New Roman" w:hAnsi="Times New Roman"/>
          <w:sz w:val="18"/>
          <w:szCs w:val="18"/>
        </w:rPr>
        <w:t xml:space="preserve">, while the check labelled VL in the prototype interface is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w:t>
      </w:r>
      <w:r>
        <w:rPr>
          <w:rFonts w:ascii="Times New Roman" w:cs="Times New Roman" w:eastAsia="Times New Roman" w:hAnsi="Times New Roman"/>
          <w:sz w:val="22"/>
          <w:szCs w:val="22"/>
        </w:rPr>
        <w:t xml:space="preserve">For the interpretation of the architecture</w:t>
      </w:r>
      <w:r>
        <w:rPr>
          <w:rFonts w:ascii="Times New Roman" w:cs="Times New Roman" w:eastAsia="Times New Roman" w:hAnsi="Times New Roman"/>
          <w:sz w:val="22"/>
          <w:szCs w:val="22"/>
        </w:rPr>
        <w:t xml:space="preserv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w:t>
      </w:r>
      <w:r>
        <w:rPr>
          <w:rFonts w:ascii="Times New Roman" w:cs="Times New Roman" w:eastAsia="Times New Roman" w:hAnsi="Times New Roman"/>
          <w:sz w:val="22"/>
          <w:szCs w:val="22"/>
        </w:rPr>
        <w:t xml:space="preserve">Figure 5.4 puts the same conditions in the order a request meets them. A DID answers who is asking, a verifiable credential and a signed approval answer what that participant may do, the threshold answers whether </w:t>
      </w:r>
      <w:r>
        <w:rPr>
          <w:rFonts w:ascii="Times New Roman" w:cs="Times New Roman" w:eastAsia="Times New Roman" w:hAnsi="Times New Roman"/>
          <w:sz w:val="22"/>
          <w:szCs w:val="22"/>
        </w:rPr>
        <w:t xml:space="preserve">the members of G</w:t>
      </w:r>
      <w:r>
        <w:rPr>
          <w:rFonts w:ascii="Times New Roman" w:cs="Times New Roman" w:eastAsia="Times New Roman" w:hAnsi="Times New Roman"/>
          <w:sz w:val="22"/>
          <w:szCs w:val="22"/>
        </w:rPr>
        <w:t xml:space="preserve"> agreed, and the policy,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checks with the zero-knowledge proof answer whether the consent is still valid for this request. The figure also states, gate by gate, what the current prototype checks, so the reader can see where the design and the prototype differ before the detailed sections.</w:t>
      </w:r>
    </w:p>
    <w:p>
      <w:pPr>
        <w:keepNext/>
        <w:spacing w:after="60" w:before="160"/>
        <w:jc w:val="center"/>
      </w:pPr>
      <w:r>
        <w:drawing>
          <wp:inline distT="0" distB="0" distL="0" distR="0">
            <wp:extent cx="5715000" cy="5000625"/>
            <wp:effectExtent t="0" r="0" b="0" l="0"/>
            <wp:docPr id="1"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006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5.4: </w:t>
      </w:r>
      <w:r>
        <w:rPr>
          <w:rFonts w:ascii="Times New Roman" w:cs="Times New Roman" w:eastAsia="Times New Roman" w:hAnsi="Times New Roman"/>
          <w:sz w:val="18"/>
          <w:szCs w:val="18"/>
        </w:rPr>
        <w:t xml:space="preserve">The four gates that an access request passes before data are released: identity (DID), authority (VC and signed approval), collective approval (threshold), and validity of the consent for the request (policy, time, </w:t>
      </w:r>
      <w:r>
        <w:rPr>
          <w:rFonts w:ascii="Times New Roman" w:cs="Times New Roman" w:eastAsia="Times New Roman" w:hAnsi="Times New Roman"/>
          <w:sz w:val="18"/>
          <w:szCs w:val="18"/>
        </w:rPr>
        <w:t xml:space="preserve">lifecycle</w:t>
      </w:r>
      <w:r>
        <w:rPr>
          <w:rFonts w:ascii="Times New Roman" w:cs="Times New Roman" w:eastAsia="Times New Roman" w:hAnsi="Times New Roman"/>
          <w:sz w:val="18"/>
          <w:szCs w:val="18"/>
        </w:rPr>
        <w:t xml:space="preserve"> and the zero-knowledge proof). Each gate names what the current prototype checks, and a failure at any gate produces DENY</w:t>
      </w:r>
      <w:r>
        <w:rPr>
          <w:rFonts w:ascii="Times New Roman" w:cs="Times New Roman" w:eastAsia="Times New Roman" w:hAnsi="Times New Roman"/>
          <w:sz w:val="18"/>
          <w:szCs w:val="18"/>
        </w:rPr>
        <w:t xml:space="preserve">. The prototype records the decision matrix in the audit ledger for every request, including one against a consent that is not ACTIVE</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rPr>
        <w:t xml:space="preserve">The framework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 The framework then collects </w:t>
      </w:r>
      <w:r>
        <w:rPr>
          <w:rFonts w:ascii="Times New Roman" w:cs="Times New Roman" w:eastAsia="Times New Roman" w:hAnsi="Times New Roman"/>
          <w:sz w:val="22"/>
          <w:szCs w:val="22"/>
        </w:rPr>
        <w:t xml:space="preserve">the participants'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rPr>
        <w:t xml:space="preserve">participants whose approvals have been verified</w:t>
      </w:r>
      <w:r>
        <w:rPr>
          <w:rFonts w:ascii="Times New Roman" w:cs="Times New Roman" w:eastAsia="Times New Roman" w:hAnsi="Times New Roman"/>
          <w:sz w:val="22"/>
          <w:szCs w:val="22"/>
        </w:rPr>
        <w:t xml:space="preserve"> and let N denote the required authorisation threshold, as in Equation (5.1). Here, Token(C) ≠ ∅ means that C has been assigned a token identifier, and Revoked(C) = 0 means that the consent has not been revoked.</w:t>
      </w:r>
    </w:p>
    <w:p>
      <w:pPr>
        <w:keepNext/>
        <w:spacing w:after="60" w:before="160"/>
        <w:jc w:val="center"/>
      </w:pPr>
      <w:r>
        <w:drawing>
          <wp:inline distT="0" distB="0" distL="0" distR="0">
            <wp:extent cx="3305175" cy="533400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5.5: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(5.1)</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w:t>
      </w:r>
      <w:r>
        <w:rPr>
          <w:rFonts w:ascii="Times New Roman" w:cs="Times New Roman" w:eastAsia="Times New Roman" w:hAnsi="Times New Roman"/>
          <w:sz w:val="22"/>
          <w:szCs w:val="22"/>
        </w:rPr>
        <w:t xml:space="preserve">participants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(5.2),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w:t>
      </w:r>
      <w:r>
        <w:rPr>
          <w:rFonts w:ascii="Times New Roman" w:cs="Times New Roman" w:eastAsia="Times New Roman" w:hAnsi="Times New Roman"/>
          <w:sz w:val="22"/>
          <w:szCs w:val="22"/>
        </w:rPr>
        <w:t xml:space="preserve">a registration-time co-consent, a documentation-time gate on guardian access, an institution-side admission gate, a custodial M-of-N signature, a key-share reconstruction, or a threshold proxy re-encryption.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(5.2)</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w:t>
      </w:r>
      <w:r>
        <w:rPr>
          <w:rFonts w:ascii="Times New Roman" w:cs="Times New Roman" w:eastAsia="Times New Roman" w:hAnsi="Times New Roman"/>
          <w:sz w:val="22"/>
          <w:szCs w:val="22"/>
        </w:rPr>
        <w:t xml:space="preserve">The policy, temporal and lifecycle checks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together with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5.5,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w:t>
      </w:r>
      <w:r>
        <w:rPr>
          <w:rFonts w:ascii="Times New Roman" w:cs="Times New Roman" w:eastAsia="Times New Roman" w:hAnsi="Times New Roman"/>
          <w:sz w:val="22"/>
          <w:szCs w:val="22"/>
        </w:rPr>
        <w:t xml:space="preserve">This step addresses a limitation of identity-based and approval-based access control:</w:t>
      </w:r>
      <w:r>
        <w:rPr>
          <w:rFonts w:ascii="Times New Roman" w:cs="Times New Roman" w:eastAsia="Times New Roman" w:hAnsi="Times New Roman"/>
          <w:sz w:val="22"/>
          <w:szCs w:val="22"/>
        </w:rPr>
        <w:t xml:space="preserve">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w:t>
      </w:r>
      <w:r>
        <w:rPr>
          <w:rFonts w:ascii="Times New Roman" w:cs="Times New Roman" w:eastAsia="Times New Roman" w:hAnsi="Times New Roman"/>
          <w:sz w:val="22"/>
          <w:szCs w:val="22"/>
        </w:rPr>
        <w:t xml:space="preserve">Similarly, the purpose must be a supported healthcare use. The full design also requires the requested purpose to match the purpose recorded in the consent, which the prototype does not yet compare, as Section 9.4 explains.</w:t>
      </w:r>
      <w:r>
        <w:rPr>
          <w:rFonts w:ascii="Times New Roman" w:cs="Times New Roman" w:eastAsia="Times New Roman" w:hAnsi="Times New Roman"/>
          <w:sz w:val="22"/>
          <w:szCs w:val="22"/>
        </w:rPr>
        <w:t xml:space="preserve">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w:t>
      </w:r>
      <w:r>
        <w:rPr>
          <w:rFonts w:ascii="Times New Roman" w:cs="Times New Roman" w:eastAsia="Times New Roman" w:hAnsi="Times New Roman"/>
          <w:sz w:val="22"/>
          <w:szCs w:val="22"/>
        </w:rPr>
        <w:t xml:space="preserve">In the prototype, every denial, including one against a consent that is not ACTIVE,</w:t>
      </w:r>
      <w:r>
        <w:rPr>
          <w:rFonts w:ascii="Times New Roman" w:cs="Times New Roman" w:eastAsia="Times New Roman" w:hAnsi="Times New Roman"/>
          <w:sz w:val="22"/>
          <w:szCs w:val="22"/>
        </w:rPr>
        <w:t xml:space="preserve">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w:t>
      </w:r>
      <w:r>
        <w:rPr>
          <w:rFonts w:ascii="Times New Roman" w:cs="Times New Roman" w:eastAsia="Times New Roman" w:hAnsi="Times New Roman"/>
          <w:sz w:val="22"/>
          <w:szCs w:val="22"/>
        </w:rPr>
        <w:t xml:space="preserv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5.1: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contribution of the proposed architecture is the way MVC is used to carry a trust-oriented authorisation model, not the use of MVC itself.</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section presents the solution for RO1, the consent object on which the other objectives build.</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(6.1)</w:t>
      </w:r>
    </w:p>
    <w:p>
      <w:pPr>
        <w:spacing w:after="110" w:line="264"/>
        <w:jc w:val="both"/>
      </w:pPr>
      <w:r>
        <w:rPr>
          <w:rFonts w:ascii="Times New Roman" w:cs="Times New Roman" w:eastAsia="Times New Roman" w:hAnsi="Times New Roman"/>
          <w:sz w:val="22"/>
          <w:szCs w:val="22"/>
        </w:rPr>
        <w:t xml:space="preserve">In Equation (6.1), I represents patient and participant identity information, A represents authorisation requirements, P represents policy constraints, and E represents authorisation evidence. T represents the temporal validity window, and </w:t>
      </w:r>
      <w:r>
        <w:rPr>
          <w:rFonts w:ascii="Times New Roman" w:cs="Times New Roman" w:eastAsia="Times New Roman" w:hAnsi="Times New Roman"/>
          <w:sz w:val="22"/>
          <w:szCs w:val="22"/>
        </w:rPr>
        <w:t xml:space="preserve">L represents the current state of the consent object and its permissible transitions.</w:t>
      </w:r>
      <w:r>
        <w:rPr>
          <w:rFonts w:ascii="Times New Roman" w:cs="Times New Roman" w:eastAsia="Times New Roman" w:hAnsi="Times New Roman"/>
          <w:sz w:val="22"/>
          <w:szCs w:val="22"/>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w:t>
      </w:r>
      <w:r>
        <w:rPr>
          <w:rFonts w:ascii="Times New Roman" w:cs="Times New Roman" w:eastAsia="Times New Roman" w:hAnsi="Times New Roman"/>
          <w:sz w:val="22"/>
          <w:szCs w:val="22"/>
        </w:rPr>
        <w:t xml:space="preserve">It then specifies the purpose and data scope of the consent.</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495550" cy="5334000"/>
            <wp:effectExtent t="0" r="0" b="0" l="0"/>
            <wp:docPr id="1"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955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6.1: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w:t>
      </w:r>
      <w:r>
        <w:rPr>
          <w:rFonts w:ascii="Times New Roman" w:cs="Times New Roman" w:eastAsia="Times New Roman" w:hAnsi="Times New Roman"/>
          <w:sz w:val="22"/>
          <w:szCs w:val="22"/>
        </w:rPr>
        <w:t xml:space="preserve">, the data scope must not be empty, and each guardian DID must be well formed</w:t>
      </w:r>
      <w:r>
        <w:rPr>
          <w:rFonts w:ascii="Times New Roman" w:cs="Times New Roman" w:eastAsia="Times New Roman" w:hAnsi="Times New Roman"/>
          <w:sz w:val="22"/>
          <w:szCs w:val="22"/>
        </w:rPr>
        <w:t xml:space="preserv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w:t>
      </w:r>
      <w:r>
        <w:rPr>
          <w:rFonts w:ascii="Times New Roman" w:cs="Times New Roman" w:eastAsia="Times New Roman" w:hAnsi="Times New Roman"/>
          <w:sz w:val="22"/>
          <w:szCs w:val="22"/>
        </w:rPr>
        <w:t xml:space="preserve">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6.2 shows how the validated information is combined to construct the consent object. </w:t>
      </w:r>
      <w:r>
        <w:rPr>
          <w:rFonts w:ascii="Times New Roman" w:cs="Times New Roman" w:eastAsia="Times New Roman" w:hAnsi="Times New Roman"/>
          <w:sz w:val="22"/>
          <w:szCs w:val="22"/>
        </w:rPr>
        <w:t xml:space="preserve">The resulting object therefore captures the patient's preference and the evidence needed for later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6.2: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 where L is the lifecycle state</w:t>
      </w:r>
      <w:r>
        <w:rPr>
          <w:rFonts w:ascii="Times New Roman" w:cs="Times New Roman" w:eastAsia="Times New Roman" w:hAnsi="Times New Roman"/>
          <w:sz w:val="18"/>
          <w:szCs w:val="18"/>
        </w:rPr>
        <w:t xml:space="preserve">. T</w:t>
      </w:r>
      <w:r>
        <w:rPr>
          <w:rFonts w:ascii="Times New Roman" w:cs="Times New Roman" w:eastAsia="Times New Roman" w:hAnsi="Times New Roman"/>
          <w:sz w:val="18"/>
          <w:szCs w:val="18"/>
        </w:rPr>
        <w:t xml:space="preserve">he states shown are those of the design, and the states implemented in the prototype are given in Section </w:t>
      </w:r>
      <w:r>
        <w:rPr>
          <w:rFonts w:ascii="Times New Roman" w:cs="Times New Roman" w:eastAsia="Times New Roman" w:hAnsi="Times New Roman"/>
          <w:sz w:val="18"/>
          <w:szCs w:val="18"/>
        </w:rPr>
        <w:t xml:space="preserve">10.3</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Unlike the consent objects reported in the literature, this object carries the guardian set and threshold together with the purpose, data scope, </w:t>
      </w:r>
      <w:r>
        <w:rPr>
          <w:rFonts w:ascii="Times New Roman" w:cs="Times New Roman" w:eastAsia="Times New Roman" w:hAnsi="Times New Roman"/>
          <w:sz w:val="22"/>
          <w:szCs w:val="22"/>
        </w:rPr>
        <w:t xml:space="preserve">validity interval,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w:t>
      </w:r>
      <w:r>
        <w:rPr>
          <w:rFonts w:ascii="Times New Roman" w:cs="Times New Roman" w:eastAsia="Times New Roman" w:hAnsi="Times New Roman"/>
          <w:sz w:val="22"/>
          <w:szCs w:val="22"/>
        </w:rPr>
        <w:t xml:space="preserve">, whose DID must hold a valid doctor credential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z w:val="22"/>
          <w:szCs w:val="22"/>
        </w:rPr>
        <w:t xml:space="preserve">be non-empty, and every guardian in it must have a well-formed DID</w:t>
      </w:r>
      <w:r>
        <w:rPr>
          <w:rFonts w:ascii="Times New Roman" w:cs="Times New Roman" w:eastAsia="Times New Roman" w:hAnsi="Times New Roman"/>
          <w:sz w:val="22"/>
          <w:szCs w:val="22"/>
        </w:rPr>
        <w:t xml:space="preserve"> that holds a valid guardian credential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 </w:t>
      </w:r>
      <w:r>
        <w:rPr>
          <w:rFonts w:ascii="Times New Roman" w:cs="Times New Roman" w:eastAsia="Times New Roman" w:hAnsi="Times New Roman"/>
          <w:sz w:val="22"/>
          <w:szCs w:val="22"/>
        </w:rPr>
        <w:t xml:space="preserve">If any of D, G,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or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invalid, the consent request is rejected and no consent is created.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 → A</w:t>
      </w:r>
      <w:r>
        <w:rPr>
          <w:rFonts w:ascii="Times New Roman" w:cs="Times New Roman" w:eastAsia="Times New Roman" w:hAnsi="Times New Roman"/>
          <w:sz w:val="22"/>
          <w:szCs w:val="22"/>
        </w:rPr>
        <w:t xml:space="preserve">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w:t>
      </w:r>
      <w:r>
        <w:rPr>
          <w:rFonts w:ascii="Times New Roman" w:cs="Times New Roman" w:eastAsia="Times New Roman" w:hAnsi="Times New Roman"/>
          <w:sz w:val="22"/>
          <w:szCs w:val="22"/>
        </w:rPr>
        <w:t xml:space="preserve">Consent is therefore created only after the identity, authority, purpose, scope, and temporal fields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validity interval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sz w:val="19"/>
          <w:szCs w:val="19"/>
        </w:rPr>
        <w:t xml:space="preserve">Validate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data scope S</w:t>
      </w:r>
      <w:r>
        <w:rPr>
          <w:rFonts w:ascii="Times New Roman" w:cs="Times New Roman" w:eastAsia="Times New Roman" w:hAnsi="Times New Roman"/>
          <w:sz w:val="19"/>
          <w:szCs w:val="19"/>
          <w:vertAlign w:val="subscript"/>
        </w:rPr>
        <w:t xml:space="preserve">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any of them is invalid</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Define authorisation requirement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rPr>
        <w:t xml:space="preserve">Construct C = (I, A, P, T, L, 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Persist 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rPr>
        <w:t xml:space="preserve">Record consent creation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1 formalises the creation process. The algorithm does not grant data access directly. Instead, it creates a consent object that can later be evaluated by the authorisation mechanism. </w:t>
      </w:r>
      <w:r>
        <w:rPr>
          <w:rFonts w:ascii="Times New Roman" w:cs="Times New Roman" w:eastAsia="Times New Roman" w:hAnsi="Times New Roman"/>
          <w:sz w:val="22"/>
          <w:szCs w:val="22"/>
        </w:rPr>
        <w:t xml:space="preserve">The consent is placed in the </w:t>
      </w:r>
      <w:r>
        <w:rPr>
          <w:rFonts w:ascii="Times New Roman" w:cs="Times New Roman" w:eastAsia="Times New Roman" w:hAnsi="Times New Roman"/>
          <w:sz w:val="22"/>
          <w:szCs w:val="22"/>
        </w:rPr>
        <w:t xml:space="preserve">PENDING state (PENDING_SIGNATURE in the prototype)</w:t>
      </w:r>
      <w:r>
        <w:rPr>
          <w:rFonts w:ascii="Times New Roman" w:cs="Times New Roman" w:eastAsia="Times New Roman" w:hAnsi="Times New Roman"/>
          <w:sz w:val="22"/>
          <w:szCs w:val="22"/>
        </w:rPr>
        <w:t xml:space="preserv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w:t>
      </w:r>
      <w:r>
        <w:rPr>
          <w:rFonts w:ascii="Times New Roman" w:cs="Times New Roman" w:eastAsia="Times New Roman" w:hAnsi="Times New Roman"/>
          <w:sz w:val="22"/>
          <w:szCs w:val="22"/>
        </w:rPr>
        <w:t xml:space="preserve">The main contribution of RO1 is that consent is represented as an evaluable authorisation object rather than as a binary permission.</w:t>
      </w:r>
      <w:r>
        <w:rPr>
          <w:rFonts w:ascii="Times New Roman" w:cs="Times New Roman" w:eastAsia="Times New Roman" w:hAnsi="Times New Roman"/>
          <w:sz w:val="22"/>
          <w:szCs w:val="22"/>
        </w:rPr>
        <w:t xml:space="preserve"> In the current prototype, the patient DID is selected from the loaded record set</w:t>
      </w:r>
      <w:r>
        <w:rPr>
          <w:rFonts w:ascii="Times New Roman" w:cs="Times New Roman" w:eastAsia="Times New Roman" w:hAnsi="Times New Roman"/>
          <w:sz w:val="22"/>
          <w:szCs w:val="22"/>
        </w:rPr>
        <w:t xml:space="preserve">. The doctor DID and each guardian DID must be well formed and must hold a valid credential for its role, issued by a demo issuer, before the consent is stored</w:t>
      </w:r>
      <w:r>
        <w:rPr>
          <w:rFonts w:ascii="Times New Roman" w:cs="Times New Roman" w:eastAsia="Times New Roman" w:hAnsi="Times New Roman"/>
          <w:sz w:val="22"/>
          <w:szCs w:val="22"/>
        </w:rPr>
        <w:t xml:space="preserve">, as qualified in Section 7. The validation evidence for consent creation, including the demonstration scenarios and the unit-level tests, is presented in Section 11. </w:t>
      </w:r>
      <w:r>
        <w:rPr>
          <w:rFonts w:ascii="Times New Roman" w:cs="Times New Roman" w:eastAsia="Times New Roman" w:hAnsi="Times New Roman"/>
          <w:sz w:val="22"/>
          <w:szCs w:val="22"/>
        </w:rPr>
        <w:t xml:space="preserve">The next section presents the solution for RO2, which verifies who the participants are and what authority they hold.</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(7.1)</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w:t>
      </w:r>
      <w:r>
        <w:rPr>
          <w:rFonts w:ascii="Times New Roman" w:cs="Times New Roman" w:eastAsia="Times New Roman" w:hAnsi="Times New Roman"/>
          <w:sz w:val="22"/>
          <w:szCs w:val="22"/>
        </w:rPr>
        <w:t xml:space="preserve"> In the current prototype this check is structural, as Section 7.4 explains.</w:t>
      </w:r>
      <w:r>
        <w:rPr>
          <w:rFonts w:ascii="Times New Roman" w:cs="Times New Roman" w:eastAsia="Times New Roman" w:hAnsi="Times New Roman"/>
          <w:sz w:val="22"/>
          <w:szCs w:val="22"/>
        </w:rPr>
        <w:t xml:space="preserve">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(7.2)</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w:t>
      </w:r>
      <w:r>
        <w:rPr>
          <w:rFonts w:ascii="Times New Roman" w:cs="Times New Roman" w:eastAsia="Times New Roman" w:hAnsi="Times New Roman"/>
          <w:sz w:val="22"/>
          <w:szCs w:val="22"/>
        </w:rPr>
        <w:t xml:space="preserve">In the HALAH implementation, the Guardian workflow uses a selected guardian DID and invokes VC verification before adding the guardian's signature to the consent.</w:t>
      </w:r>
      <w:r>
        <w:rPr>
          <w:rFonts w:ascii="Times New Roman" w:cs="Times New Roman" w:eastAsia="Times New Roman" w:hAnsi="Times New Roman"/>
          <w:sz w:val="22"/>
          <w:szCs w:val="22"/>
        </w:rPr>
        <w:t xml:space="preserve">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3581400" cy="5334000"/>
            <wp:effectExtent t="0" r="0" b="0" l="0"/>
            <wp:docPr id="1"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8140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7.1: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rPr>
        <w:t xml:space="preserve">, with full DID resolution planned for the next stage, whereas</w:t>
      </w:r>
      <w:r>
        <w:rPr>
          <w:rFonts w:ascii="Times New Roman" w:cs="Times New Roman" w:eastAsia="Times New Roman" w:hAnsi="Times New Roman"/>
          <w:sz w:val="18"/>
          <w:szCs w:val="18"/>
        </w:rPr>
        <w:t xml:space="preserve"> the current prototype performs a DID-format check</w:t>
      </w:r>
      <w:r>
        <w:rPr>
          <w:rFonts w:ascii="Times New Roman" w:cs="Times New Roman" w:eastAsia="Times New Roman" w:hAnsi="Times New Roman"/>
          <w:sz w:val="18"/>
          <w:szCs w:val="18"/>
        </w:rPr>
        <w:t xml:space="preserve">, a check of a demo-issuer credential</w:t>
      </w:r>
      <w:r>
        <w:rPr>
          <w:rFonts w:ascii="Times New Roman" w:cs="Times New Roman" w:eastAsia="Times New Roman" w:hAnsi="Times New Roman"/>
          <w:sz w:val="18"/>
          <w:szCs w:val="18"/>
        </w:rPr>
        <w:t xml:space="preserve">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w:t>
      </w:r>
      <w:r>
        <w:rPr>
          <w:rFonts w:ascii="Times New Roman" w:cs="Times New Roman" w:eastAsia="Times New Roman" w:hAnsi="Times New Roman"/>
          <w:sz w:val="22"/>
          <w:szCs w:val="22"/>
        </w:rPr>
        <w:t xml:space="preserve">Formally,</w:t>
      </w:r>
      <w:r>
        <w:rPr>
          <w:rFonts w:ascii="Times New Roman" w:cs="Times New Roman" w:eastAsia="Times New Roman" w:hAnsi="Times New Roman"/>
          <w:sz w:val="22"/>
          <w:szCs w:val="22"/>
        </w:rPr>
        <w:t xml:space="preserve">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w:t>
      </w:r>
      <w:r>
        <w:rPr>
          <w:rFonts w:ascii="Times New Roman" w:cs="Times New Roman" w:eastAsia="Times New Roman" w:hAnsi="Times New Roman"/>
          <w:sz w:val="22"/>
          <w:szCs w:val="22"/>
        </w:rPr>
        <w:t xml:space="preserve">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2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2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Resolve DID of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sz w:val="19"/>
          <w:szCs w:val="19"/>
        </w:rPr>
        <w:t xml:space="preserve">Verify DID document and associated identity information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rPr>
        <w:t xml:space="preserve">Retrieve VC associated with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Verify VC signature, issuer, subject, and validity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rPr>
        <w:t xml:space="preserve">Extract role and authority claims from VC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rPr>
        <w:t xml:space="preserve">Record identity and authority verification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w:t>
      </w:r>
      <w:r>
        <w:rPr>
          <w:rFonts w:ascii="Times New Roman" w:cs="Times New Roman" w:eastAsia="Times New Roman" w:hAnsi="Times New Roman"/>
          <w:sz w:val="22"/>
          <w:szCs w:val="22"/>
        </w:rPr>
        <w:t xml:space="preserve">This mechanism turns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w:t>
      </w:r>
      <w:r>
        <w:rPr>
          <w:rFonts w:ascii="Times New Roman" w:cs="Times New Roman" w:eastAsia="Times New Roman" w:hAnsi="Times New Roman"/>
          <w:sz w:val="22"/>
          <w:szCs w:val="22"/>
        </w:rPr>
        <w:t xml:space="preserve">Each credential used by the prototype comes from a demo issuer, and the check covers the four conditions of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w:t>
      </w:r>
      <w:r>
        <w:rPr>
          <w:rFonts w:ascii="Times New Roman" w:cs="Times New Roman" w:eastAsia="Times New Roman" w:hAnsi="Times New Roman"/>
          <w:sz w:val="22"/>
          <w:szCs w:val="22"/>
        </w:rPr>
        <w:t xml:space="preserve">this doctor check</w:t>
      </w:r>
      <w:r>
        <w:rPr>
          <w:rFonts w:ascii="Times New Roman" w:cs="Times New Roman" w:eastAsia="Times New Roman" w:hAnsi="Times New Roman"/>
          <w:sz w:val="22"/>
          <w:szCs w:val="22"/>
        </w:rPr>
        <w:t xml:space="preserve"> with EIP-712 verification of the signature of each listed guardian, and its outcome is recorded in the audit ledger. </w:t>
      </w:r>
      <w:r>
        <w:rPr>
          <w:rFonts w:ascii="Times New Roman" w:cs="Times New Roman" w:eastAsia="Times New Roman" w:hAnsi="Times New Roman"/>
          <w:sz w:val="22"/>
          <w:szCs w:val="22"/>
        </w:rPr>
        <w:t xml:space="preserve">A request that fails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refused before any data is released, and the refusal is recorded. An invalid or forged credential is also refused (attack scenario A13).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w:t>
      </w:r>
      <w:r>
        <w:rPr>
          <w:rFonts w:ascii="Times New Roman" w:cs="Times New Roman" w:eastAsia="Times New Roman" w:hAnsi="Times New Roman"/>
          <w:sz w:val="22"/>
          <w:szCs w:val="22"/>
        </w:rPr>
        <w:t xml:space="preserve"> are acknowledged limitations reserved for the next stage. The validation evidence for RO2, including the scenarios and the unit-level adversarial tests, is presented in Section 11. </w:t>
      </w:r>
      <w:r>
        <w:rPr>
          <w:rFonts w:ascii="Times New Roman" w:cs="Times New Roman" w:eastAsia="Times New Roman" w:hAnsi="Times New Roman"/>
          <w:sz w:val="22"/>
          <w:szCs w:val="22"/>
        </w:rPr>
        <w:t xml:space="preserve">The next section presents the solution for RO3, the multi-party approval of the consent.</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w:t>
      </w:r>
      <w:r>
        <w:rPr>
          <w:rFonts w:ascii="Times New Roman" w:cs="Times New Roman" w:eastAsia="Times New Roman" w:hAnsi="Times New Roman"/>
          <w:sz w:val="22"/>
          <w:szCs w:val="22"/>
        </w:rPr>
        <w:t xml:space="preserve">Section 8.1 defines the threshold condition, Section 8.2 shows the multi-party authorisation workflow, Section 8.3 gives the procedure and the algorithm, and Section 8.4 states the outcome of RO3.</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rPr>
        <w:t xml:space="preserve">authorisation participants</w:t>
      </w:r>
      <w:r>
        <w:rPr>
          <w:rFonts w:ascii="Times New Roman" w:cs="Times New Roman" w:eastAsia="Times New Roman" w:hAnsi="Times New Roman"/>
          <w:sz w:val="22"/>
          <w:szCs w:val="22"/>
        </w:rPr>
        <w:t xml:space="preserve"> and N represent the required approval threshold. The authorisation condition can then be represented as Equation (8.1),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(8.1)</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w:t>
      </w:r>
      <w:r>
        <w:rPr>
          <w:rFonts w:ascii="Times New Roman" w:cs="Times New Roman" w:eastAsia="Times New Roman" w:hAnsi="Times New Roman"/>
          <w:sz w:val="22"/>
          <w:szCs w:val="22"/>
        </w:rPr>
        <w:t xml:space="preserve">Decentralised identity systems with multi-party verification strengthen the way identity claims are established and validated</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w:t>
      </w:r>
      <w:r>
        <w:rPr>
          <w:rFonts w:ascii="Times New Roman" w:cs="Times New Roman" w:eastAsia="Times New Roman" w:hAnsi="Times New Roman"/>
          <w:sz w:val="22"/>
          <w:szCs w:val="22"/>
        </w:rPr>
        <w:t xml:space="preserve">guardian workflow </w:t>
      </w:r>
      <w:r>
        <w:rPr>
          <w:rFonts w:ascii="Times New Roman" w:cs="Times New Roman" w:eastAsia="Times New Roman" w:hAnsi="Times New Roman"/>
          <w:sz w:val="22"/>
          <w:szCs w:val="22"/>
        </w:rPr>
        <w:t xml:space="preserve">verifies the guardian VC and then the EIP-712 signature</w:t>
      </w:r>
      <w:r>
        <w:rPr>
          <w:rFonts w:ascii="Times New Roman" w:cs="Times New Roman" w:eastAsia="Times New Roman" w:hAnsi="Times New Roman"/>
          <w:sz w:val="22"/>
          <w:szCs w:val="22"/>
        </w:rPr>
        <w:t xml:space="preserve">. It then appends the guardian DID to the consent signatures and displays the current approval count relative to the threshold.</w:t>
      </w:r>
      <w:r>
        <w:rPr>
          <w:rFonts w:ascii="Times New Roman" w:cs="Times New Roman" w:eastAsia="Times New Roman" w:hAnsi="Times New Roman"/>
          <w:sz w:val="22"/>
          <w:szCs w:val="22"/>
        </w:rPr>
        <w:t xml:space="preserve"> The code therefore demonstrates the separation between participant identity verification and the subsequent authorisation operation. When the threshold is reached, the implementation assigns an SBT identifier and records the corresponding minting event. </w:t>
      </w:r>
      <w:r>
        <w:rPr>
          <w:rFonts w:ascii="Times New Roman" w:cs="Times New Roman" w:eastAsia="Times New Roman" w:hAnsi="Times New Roman"/>
          <w:sz w:val="22"/>
          <w:szCs w:val="22"/>
        </w:rPr>
        <w:t xml:space="preserve">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pPr>
        <w:keepNext/>
        <w:spacing w:after="60" w:before="160"/>
        <w:jc w:val="center"/>
      </w:pPr>
      <w:r>
        <w:drawing>
          <wp:inline distT="0" distB="0" distL="0" distR="0">
            <wp:extent cx="3457575" cy="5334000"/>
            <wp:effectExtent t="0" r="0" b="0" l="0"/>
            <wp:docPr id="1"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575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8.1: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w:t>
      </w:r>
      <w:r>
        <w:rPr>
          <w:rFonts w:ascii="Times New Roman" w:cs="Times New Roman" w:eastAsia="Times New Roman" w:hAnsi="Times New Roman"/>
          <w:sz w:val="22"/>
          <w:szCs w:val="22"/>
        </w:rPr>
        <w:t xml:space="preserve">checks the signature, issuer, subject, validity time and role of the guardian's credential, and a refused credential is recorded in the audit ledger. The</w:t>
      </w:r>
      <w:r>
        <w:rPr>
          <w:rFonts w:ascii="Times New Roman" w:cs="Times New Roman" w:eastAsia="Times New Roman" w:hAnsi="Times New Roman"/>
          <w:sz w:val="22"/>
          <w:szCs w:val="22"/>
        </w:rPr>
        <w:t xml:space="preserv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w:t>
      </w:r>
      <w:r>
        <w:rPr>
          <w:rFonts w:ascii="Times New Roman" w:cs="Times New Roman" w:eastAsia="Times New Roman" w:hAnsi="Times New Roman"/>
          <w:sz w:val="22"/>
          <w:szCs w:val="22"/>
        </w:rPr>
        <w:t xml:space="preserve">The set G defines which participants are eligible to contribute an approval to the authorisation process. Depending on the consent configuration, G may contain healthcare professionals, guardians, institutional representatives, or other authorised parties.</w:t>
      </w:r>
      <w:r>
        <w:rPr>
          <w:rFonts w:ascii="Times New Roman" w:cs="Times New Roman" w:eastAsia="Times New Roman" w:hAnsi="Times New Roman"/>
          <w:sz w:val="22"/>
          <w:szCs w:val="22"/>
        </w:rPr>
        <w:t xml:space="preserve">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w:t>
      </w:r>
      <w:r>
        <w:rPr>
          <w:rFonts w:ascii="Times New Roman" w:cs="Times New Roman" w:eastAsia="Times New Roman" w:hAnsi="Times New Roman"/>
          <w:sz w:val="22"/>
          <w:szCs w:val="22"/>
        </w:rPr>
        <w:t xml:space="preserve">the corresponding participant g</w:t>
      </w:r>
      <w:r>
        <w:rPr>
          <w:rFonts w:ascii="Times New Roman" w:cs="Times New Roman" w:eastAsia="Times New Roman" w:hAnsi="Times New Roman"/>
          <w:sz w:val="22"/>
          <w:szCs w:val="22"/>
        </w:rPr>
        <w:t xml:space="preserve">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(8.2).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w:t>
      </w:r>
      <w:r>
        <w:rPr>
          <w:rFonts w:ascii="Cambria Math" w:cs="Cambria Math" w:eastAsia="Cambria Math" w:hAnsi="Cambria Math"/>
          <w:i w:val="false"/>
          <w:iCs w:val="false"/>
          <w:sz w:val="16"/>
          <w:szCs w:val="16"/>
        </w:rPr>
        <w:t xml:space="preserve">ALLOW</w:t>
      </w:r>
      <w:r>
        <w:rPr>
          <w:rFonts w:ascii="Cambria Math" w:cs="Cambria Math" w:eastAsia="Cambria Math" w:hAnsi="Cambria Math"/>
          <w:i w:val="false"/>
          <w:iCs w:val="false"/>
          <w:sz w:val="16"/>
          <w:szCs w:val="16"/>
        </w:rPr>
        <w:t xml:space="preserve">, PENDING }</w:t>
      </w:r>
      <w:r>
        <w:rPr>
          <w:rFonts w:ascii="Times New Roman" w:cs="Times New Roman" w:eastAsia="Times New Roman" w:hAnsi="Times New Roman"/>
          <w:sz w:val="22"/>
          <w:szCs w:val="22"/>
        </w:rPr>
        <w:t xml:space="preserve">	(8.2)</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(8.3)</w:t>
      </w:r>
    </w:p>
    <w:p>
      <w:pPr>
        <w:spacing w:after="110" w:line="264"/>
        <w:jc w:val="both"/>
      </w:pPr>
      <w:r>
        <w:rPr>
          <w:rFonts w:ascii="Times New Roman" w:cs="Times New Roman" w:eastAsia="Times New Roman" w:hAnsi="Times New Roman"/>
          <w:sz w:val="22"/>
          <w:szCs w:val="22"/>
        </w:rPr>
        <w:t xml:space="preserve">Algorithm 3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3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t>
      </w:r>
      <w:r>
        <w:rPr>
          <w:rFonts w:ascii="Times New Roman" w:cs="Times New Roman" w:eastAsia="Times New Roman" w:hAnsi="Times New Roman"/>
          <w:sz w:val="19"/>
          <w:szCs w:val="19"/>
        </w:rPr>
        <w:t xml:space="preserve">participant approval a, threshold N</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Retrieve required participant set G</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sz w:val="19"/>
          <w:szCs w:val="19"/>
        </w:rPr>
        <w:t xml:space="preserve">Verify identity and authority of </w:t>
      </w:r>
      <w:r>
        <w:rPr>
          <w:rFonts w:ascii="Times New Roman" w:cs="Times New Roman" w:eastAsia="Times New Roman" w:hAnsi="Times New Roman"/>
          <w:sz w:val="19"/>
          <w:szCs w:val="19"/>
        </w:rPr>
        <w:t xml:space="preserve">participant submitting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sz w:val="19"/>
          <w:szCs w:val="19"/>
        </w:rPr>
        <w:t xml:space="preserve">Record invalid approval</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participant is not in G</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rPr>
        <w:t xml:space="preserve">Record unauthorised approval attempt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participant</w:t>
      </w:r>
      <w:r>
        <w:rPr>
          <w:rFonts w:ascii="Times New Roman" w:cs="Times New Roman" w:eastAsia="Times New Roman" w:hAnsi="Times New Roman"/>
          <w:sz w:val="19"/>
          <w:szCs w:val="19"/>
        </w:rPr>
        <w:t xml:space="preserve"> has already approved C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sz w:val="19"/>
          <w:szCs w:val="19"/>
        </w:rPr>
        <w:t xml:space="preserve">Record duplicate approval</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rPr>
        <w:t xml:space="preserve">Record valid approval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rPr>
        <w:t xml:space="preserve">approval</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rPr>
        <w:t xml:space="preserve">Activate authorisation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sz w:val="19"/>
          <w:szCs w:val="19"/>
        </w:rPr>
        <w:t xml:space="preserve">Generate activation or token evidence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sz w:val="19"/>
          <w:szCs w:val="19"/>
        </w:rPr>
        <w:t xml:space="preserve">Record threshold-satisfied event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ALLOW</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else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23:	</w:t>
      </w:r>
      <w:r>
        <w:rPr>
          <w:rFonts w:ascii="Times New Roman" w:cs="Times New Roman" w:eastAsia="Times New Roman" w:hAnsi="Times New Roman"/>
          <w:sz w:val="19"/>
          <w:szCs w:val="19"/>
        </w:rPr>
        <w:t xml:space="preserve">Keep consent in pending state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24:	</w:t>
      </w:r>
      <w:r>
        <w:rPr>
          <w:rFonts w:ascii="Times New Roman" w:cs="Times New Roman" w:eastAsia="Times New Roman" w:hAnsi="Times New Roman"/>
          <w:sz w:val="19"/>
          <w:szCs w:val="19"/>
        </w:rPr>
        <w:t xml:space="preserve">Record threshold-pending event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26: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shows that multi-party authorisation is a trust mechanism, not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(8.4).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(8.4)</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(8.5) holds for a consent that has a token identifier and has not been revoked, whereas Equation (8.6)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(8.5)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(8.6)</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w:t>
      </w:r>
      <w:r>
        <w:rPr>
          <w:rFonts w:ascii="Times New Roman" w:cs="Times New Roman" w:eastAsia="Times New Roman" w:hAnsi="Times New Roman"/>
          <w:sz w:val="22"/>
          <w:szCs w:val="22"/>
        </w:rPr>
        <w:t xml:space="preserve">The next section presents the solution for RO4, which checks the purpose and the data scope of each request.</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w:t>
      </w:r>
      <w:r>
        <w:rPr>
          <w:rFonts w:ascii="Times New Roman" w:cs="Times New Roman" w:eastAsia="Times New Roman" w:hAnsi="Times New Roman"/>
          <w:sz w:val="22"/>
          <w:szCs w:val="22"/>
        </w:rPr>
        <w:t xml:space="preserve">Section 9.1 defines the scope and policy conditions, Section 9.2 shows the policy-aware access workflow, Section 9.3 gives the decision algorithm, Section 9.4 qualifies what the prototype checks, and Section 9.5 states the outcome of RO4.</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(9.1)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(9.1)</w:t>
      </w:r>
    </w:p>
    <w:p>
      <w:pPr>
        <w:spacing w:after="110" w:line="264"/>
        <w:jc w:val="both"/>
      </w:pPr>
      <w:r>
        <w:rPr>
          <w:rFonts w:ascii="Times New Roman" w:cs="Times New Roman" w:eastAsia="Times New Roman" w:hAnsi="Times New Roman"/>
          <w:sz w:val="22"/>
          <w:szCs w:val="22"/>
        </w:rPr>
        <w:t xml:space="preserve">The policy condition can therefore be expressed as Equation (9.2)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(9.2)</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w:t>
      </w:r>
      <w:r>
        <w:rPr>
          <w:rFonts w:ascii="Times New Roman" w:cs="Times New Roman" w:eastAsia="Times New Roman" w:hAnsi="Times New Roman"/>
          <w:sz w:val="22"/>
          <w:szCs w:val="22"/>
        </w:rPr>
        <w:t xml:space="preserve">the five verification predicates in Equation (9.3)</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w:t>
      </w:r>
      <w:r>
        <w:rPr>
          <w:rFonts w:ascii="Times New Roman" w:cs="Times New Roman" w:eastAsia="Times New Roman" w:hAnsi="Times New Roman"/>
          <w:sz w:val="22"/>
          <w:szCs w:val="22"/>
        </w:rPr>
        <w:t xml:space="preserve">, whatever the state of the consent,</w:t>
      </w:r>
      <w:r>
        <w:rPr>
          <w:rFonts w:ascii="Times New Roman" w:cs="Times New Roman" w:eastAsia="Times New Roman" w:hAnsi="Times New Roman"/>
          <w:sz w:val="22"/>
          <w:szCs w:val="22"/>
        </w:rPr>
        <w:t xml:space="preserve"> has its decision matrix recorded in the audit ledger with the GRANTED or DENIED outcome, although the three earliest grants of 22 September 2026 predate this logging. </w:t>
      </w:r>
      <w:r>
        <w:rPr>
          <w:rFonts w:ascii="Times New Roman" w:cs="Times New Roman" w:eastAsia="Times New Roman" w:hAnsi="Times New Roman"/>
          <w:sz w:val="22"/>
          <w:szCs w:val="22"/>
        </w:rPr>
        <w:t xml:space="preserve">Both successful and denied decisions should be recorded, because accountability covers the data that were released and the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(9.3)</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w:t>
      </w:r>
      <w:r>
        <w:rPr>
          <w:rFonts w:ascii="Times New Roman" w:cs="Times New Roman" w:eastAsia="Times New Roman" w:hAnsi="Times New Roman"/>
          <w:sz w:val="22"/>
          <w:szCs w:val="22"/>
        </w:rPr>
        <w:t xml:space="preserve">The matrix column labelled VL is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(Sections 5.2 and 9.5), whereas the lifecycle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of Equation (9.3) corresponds to the requirement that the consent state be ACTIVE.</w:t>
      </w:r>
      <w:r>
        <w:rPr>
          <w:rFonts w:ascii="Times New Roman" w:cs="Times New Roman" w:eastAsia="Times New Roman" w:hAnsi="Times New Roman"/>
          <w:sz w:val="22"/>
          <w:szCs w:val="22"/>
        </w:rPr>
        <w:t xml:space="preserve"> The final decision therefore combines the decision matrix with that scope check</w:t>
      </w:r>
      <w:r>
        <w:rPr>
          <w:rFonts w:ascii="Times New Roman" w:cs="Times New Roman" w:eastAsia="Times New Roman" w:hAnsi="Times New Roman"/>
          <w:sz w:val="22"/>
          <w:szCs w:val="22"/>
        </w:rPr>
        <w:t xml:space="preserve">, with the ACTIVE-state check</w:t>
      </w:r>
      <w:r>
        <w:rPr>
          <w:rFonts w:ascii="Times New Roman" w:cs="Times New Roman" w:eastAsia="Times New Roman" w:hAnsi="Times New Roman"/>
          <w:sz w:val="22"/>
          <w:szCs w:val="22"/>
        </w:rPr>
        <w:t xml:space="preserve">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w:t>
      </w:r>
      <w:r>
        <w:rPr>
          <w:rFonts w:ascii="Times New Roman" w:cs="Times New Roman" w:eastAsia="Times New Roman" w:hAnsi="Times New Roman"/>
          <w:sz w:val="22"/>
          <w:szCs w:val="22"/>
        </w:rPr>
        <w:t xml:space="preserve">consent purpose</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the requested </w:t>
      </w:r>
      <w:r>
        <w:rPr>
          <w:rFonts w:ascii="Times New Roman" w:cs="Times New Roman" w:eastAsia="Times New Roman" w:hAnsi="Times New Roman"/>
          <w:sz w:val="22"/>
          <w:szCs w:val="22"/>
        </w:rPr>
        <w:t xml:space="preserve">data scope. The HALAH implementation provides a concrete basis for this objective. </w:t>
      </w:r>
      <w:r>
        <w:rPr>
          <w:rFonts w:ascii="Times New Roman" w:cs="Times New Roman" w:eastAsia="Times New Roman" w:hAnsi="Times New Roman"/>
          <w:sz w:val="22"/>
          <w:szCs w:val="22"/>
        </w:rPr>
        <w:t xml:space="preserve">In the prototype,</w:t>
      </w:r>
      <w:r>
        <w:rPr>
          <w:rFonts w:ascii="Times New Roman" w:cs="Times New Roman" w:eastAsia="Times New Roman" w:hAnsi="Times New Roman"/>
          <w:sz w:val="22"/>
          <w:szCs w:val="22"/>
        </w:rPr>
        <w:t xml:space="preserve"> the Doctor interface retrieves a consent, </w:t>
      </w:r>
      <w:r>
        <w:rPr>
          <w:rFonts w:ascii="Times New Roman" w:cs="Times New Roman" w:eastAsia="Times New Roman" w:hAnsi="Times New Roman"/>
          <w:sz w:val="22"/>
          <w:szCs w:val="22"/>
        </w:rPr>
        <w:t xml:space="preserve">checks that the requester's DID holds a valid doctor credential and is the doctor named in the consent,</w:t>
      </w:r>
      <w:r>
        <w:rPr>
          <w:rFonts w:ascii="Times New Roman" w:cs="Times New Roman" w:eastAsia="Times New Roman" w:hAnsi="Times New Roman"/>
          <w:sz w:val="22"/>
          <w:szCs w:val="22"/>
        </w:rPr>
        <w:t xml:space="preserve"> evaluates </w:t>
      </w:r>
      <w:r>
        <w:rPr>
          <w:rFonts w:ascii="Times New Roman" w:cs="Times New Roman" w:eastAsia="Times New Roman" w:hAnsi="Times New Roman"/>
          <w:sz w:val="22"/>
          <w:szCs w:val="22"/>
        </w:rPr>
        <w:t xml:space="preserve">the consent</w:t>
      </w:r>
      <w:r>
        <w:rPr>
          <w:rFonts w:ascii="Times New Roman" w:cs="Times New Roman" w:eastAsia="Times New Roman" w:hAnsi="Times New Roman"/>
          <w:sz w:val="22"/>
          <w:szCs w:val="22"/>
        </w:rPr>
        <w:t xml:space="preserve">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rPr>
        <w:t xml:space="preserve">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refused first.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Suppose that a consent permits access to the data categories given in Equation (9.4), and a healthcare professional then requests the categories given in Equation (9.5).</w:t>
      </w:r>
    </w:p>
    <w:p>
      <w:pPr>
        <w:keepNext/>
        <w:spacing w:after="60" w:before="160"/>
        <w:jc w:val="center"/>
      </w:pPr>
      <w:r>
        <w:drawing>
          <wp:inline distT="0" distB="0" distL="0" distR="0">
            <wp:extent cx="2714625" cy="6667500"/>
            <wp:effectExtent t="0" r="0" b="0" l="0"/>
            <wp:docPr id="1"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6667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9.1: </w:t>
      </w:r>
      <w:r>
        <w:rPr>
          <w:rFonts w:ascii="Times New Roman" w:cs="Times New Roman" w:eastAsia="Times New Roman" w:hAnsi="Times New Roman"/>
          <w:sz w:val="18"/>
          <w:szCs w:val="18"/>
        </w:rPr>
        <w:t xml:space="preserve">RO4 workflow for policy- and context-aware access control (in the current prototype, </w:t>
      </w:r>
      <w:r>
        <w:rPr>
          <w:rFonts w:ascii="Times New Roman" w:cs="Times New Roman" w:eastAsia="Times New Roman" w:hAnsi="Times New Roman"/>
          <w:sz w:val="18"/>
          <w:szCs w:val="18"/>
        </w:rPr>
        <w:t xml:space="preserve">every access decision, allowed or denied, is recorded in the audit ledger</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requested purpose is the consent purpose</w:t>
      </w:r>
      <w:r>
        <w:rPr>
          <w:rFonts w:ascii="Times New Roman" w:cs="Times New Roman" w:eastAsia="Times New Roman" w:hAnsi="Times New Roman"/>
          <w:sz w:val="18"/>
          <w:szCs w:val="18"/>
        </w:rPr>
        <w:t xml:space="preserve">, and</w:t>
      </w:r>
      <w:r>
        <w:rPr>
          <w:rFonts w:ascii="Times New Roman" w:cs="Times New Roman" w:eastAsia="Times New Roman" w:hAnsi="Times New Roman"/>
          <w:sz w:val="18"/>
          <w:szCs w:val="18"/>
        </w:rPr>
        <w:t xml:space="preserve"> the evaluation step also applies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of the prototype (Section 9.5)</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(9.4)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(9.5)</w:t>
      </w:r>
    </w:p>
    <w:p>
      <w:pPr>
        <w:spacing w:after="110" w:line="264"/>
        <w:jc w:val="both"/>
      </w:pPr>
      <w:r>
        <w:rPr>
          <w:rFonts w:ascii="Times New Roman" w:cs="Times New Roman" w:eastAsia="Times New Roman" w:hAnsi="Times New Roman"/>
          <w:sz w:val="22"/>
          <w:szCs w:val="22"/>
        </w:rPr>
        <w:t xml:space="preserve">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w:t>
      </w:r>
      <w:r>
        <w:rPr>
          <w:rFonts w:ascii="Times New Roman" w:cs="Times New Roman" w:eastAsia="Times New Roman" w:hAnsi="Times New Roman"/>
          <w:sz w:val="22"/>
          <w:szCs w:val="22"/>
        </w:rPr>
        <w:t xml:space="preserve">Authorisation to access one category of healthcare information does not imply authorisation to access all categories</w:t>
      </w:r>
      <w:r>
        <w:rPr>
          <w:rFonts w:ascii="Times New Roman" w:cs="Times New Roman" w:eastAsia="Times New Roman" w:hAnsi="Times New Roman"/>
          <w:sz w:val="22"/>
          <w:szCs w:val="22"/>
        </w:rPr>
        <w:t xml:space="preserve">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(9.6)</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4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z w:val="22"/>
          <w:szCs w:val="22"/>
        </w:rPr>
        <w:t xml:space="preserve">In the prototype, this also holds for a consent that is not ACTIVE and for an empty request.</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4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requesting participant u</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Verify DID and VC of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rPr>
        <w:t xml:space="preserve">Evaluate </w:t>
      </w:r>
      <w:r>
        <w:rPr>
          <w:rFonts w:ascii="Times New Roman" w:cs="Times New Roman" w:eastAsia="Times New Roman" w:hAnsi="Times New Roman"/>
          <w:sz w:val="19"/>
          <w:szCs w:val="19"/>
        </w:rPr>
        <w:t xml:space="preserve">consent state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sz w:val="19"/>
          <w:szCs w:val="19"/>
        </w:rPr>
        <w:t xml:space="preserve">Verify multi-party authorisation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Evaluate requested purpose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rPr>
        <w:t xml:space="preserve">Evaluate requested data scope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26:	</w:t>
      </w:r>
      <w:r>
        <w:rPr>
          <w:rFonts w:ascii="Times New Roman" w:cs="Times New Roman" w:eastAsia="Times New Roman" w:hAnsi="Times New Roman"/>
          <w:sz w:val="19"/>
          <w:szCs w:val="19"/>
        </w:rPr>
        <w:t xml:space="preserve">Generate or verify access evidence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27:	</w:t>
      </w:r>
      <w:r>
        <w:rPr>
          <w:rFonts w:ascii="Times New Roman" w:cs="Times New Roman" w:eastAsia="Times New Roman" w:hAnsi="Times New Roman"/>
          <w:sz w:val="19"/>
          <w:szCs w:val="19"/>
        </w:rPr>
        <w:t xml:space="preserve">Retrieve authorised healthcare data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28:	</w:t>
      </w:r>
      <w:r>
        <w:rPr>
          <w:rFonts w:ascii="Times New Roman" w:cs="Times New Roman" w:eastAsia="Times New Roman" w:hAnsi="Times New Roman"/>
          <w:sz w:val="19"/>
          <w:szCs w:val="19"/>
        </w:rPr>
        <w:t xml:space="preserve">Record granted decision</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w:t>
      </w:r>
      <w:r>
        <w:rPr>
          <w:rFonts w:ascii="Times New Roman" w:cs="Times New Roman" w:eastAsia="Times New Roman" w:hAnsi="Times New Roman"/>
          <w:sz w:val="22"/>
          <w:szCs w:val="22"/>
        </w:rPr>
        <w:t xml:space="preserve">This ordering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w:t>
      </w:r>
      <w:r>
        <w:rPr>
          <w:rFonts w:ascii="Times New Roman" w:cs="Times New Roman" w:eastAsia="Times New Roman" w:hAnsi="Times New Roman"/>
          <w:sz w:val="22"/>
          <w:szCs w:val="22"/>
        </w:rPr>
        <w:t xml:space="preserve">and temporal validity</w:t>
      </w:r>
      <w:r>
        <w:rPr>
          <w:rFonts w:ascii="Times New Roman" w:cs="Times New Roman" w:eastAsia="Times New Roman" w:hAnsi="Times New Roman"/>
          <w:sz w:val="22"/>
          <w:szCs w:val="22"/>
        </w:rPr>
        <w:t xml:space="preserve">.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rPr>
        <w:t xml:space="preserve">. I</w:t>
      </w:r>
      <w:r>
        <w:rPr>
          <w:rFonts w:ascii="Times New Roman" w:cs="Times New Roman" w:eastAsia="Times New Roman" w:hAnsi="Times New Roman"/>
          <w:sz w:val="22"/>
          <w:szCs w:val="22"/>
        </w:rPr>
        <w:t xml:space="preserve">n the prototype, the doctor subsystem generates and verifies this proof </w:t>
      </w:r>
      <w:r>
        <w:rPr>
          <w:rFonts w:ascii="Times New Roman" w:cs="Times New Roman" w:eastAsia="Times New Roman" w:hAnsi="Times New Roman"/>
          <w:sz w:val="22"/>
          <w:szCs w:val="22"/>
        </w:rPr>
        <w:t xml:space="preserve">after the decision matrix has been evaluated, and the decision combines the two</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circuit is written in circom </w:t>
      </w:r>
      <w:r>
        <w:rPr>
          <w:rFonts w:ascii="Times New Roman" w:cs="Times New Roman" w:eastAsia="Times New Roman" w:hAnsi="Times New Roman"/>
          <w:sz w:val="22"/>
          <w:szCs w:val="22"/>
        </w:rPr>
        <w:t xml:space="preserve">(iden3 2026b)</w:t>
      </w:r>
      <w:r>
        <w:rPr>
          <w:rFonts w:ascii="Times New Roman" w:cs="Times New Roman" w:eastAsia="Times New Roman" w:hAnsi="Times New Roman"/>
          <w:sz w:val="22"/>
          <w:szCs w:val="22"/>
        </w:rPr>
        <w:t xml:space="preserve">, and the proof is generated and verified with snarkjs </w:t>
      </w:r>
      <w:r>
        <w:rPr>
          <w:rFonts w:ascii="Times New Roman" w:cs="Times New Roman" w:eastAsia="Times New Roman" w:hAnsi="Times New Roman"/>
          <w:sz w:val="22"/>
          <w:szCs w:val="22"/>
        </w:rPr>
        <w:t xml:space="preserve">(iden3 2026a)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w:t>
      </w:r>
      <w:r>
        <w:rPr>
          <w:rFonts w:ascii="Times New Roman" w:cs="Times New Roman" w:eastAsia="Times New Roman" w:hAnsi="Times New Roman"/>
          <w:sz w:val="22"/>
          <w:szCs w:val="22"/>
        </w:rPr>
        <w:t xml:space="preserve">(Grassi et al. 2021)</w:t>
      </w:r>
      <w:r>
        <w:rPr>
          <w:rFonts w:ascii="Times New Roman" w:cs="Times New Roman" w:eastAsia="Times New Roman" w:hAnsi="Times New Roman"/>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w:t>
      </w:r>
      <w:r>
        <w:rPr>
          <w:rFonts w:ascii="Times New Roman" w:cs="Times New Roman" w:eastAsia="Times New Roman" w:hAnsi="Times New Roman"/>
          <w:sz w:val="22"/>
          <w:szCs w:val="22"/>
        </w:rPr>
        <w:t xml:space="preserve">and is</w:t>
      </w:r>
      <w:r>
        <w:rPr>
          <w:rFonts w:ascii="Times New Roman" w:cs="Times New Roman" w:eastAsia="Times New Roman" w:hAnsi="Times New Roman"/>
          <w:sz w:val="22"/>
          <w:szCs w:val="22"/>
        </w:rPr>
        <w:t xml:space="preserve"> written to the audit ledger in the current prototype. </w:t>
      </w:r>
      <w:r>
        <w:rPr>
          <w:rFonts w:ascii="Times New Roman" w:cs="Times New Roman" w:eastAsia="Times New Roman" w:hAnsi="Times New Roman"/>
          <w:sz w:val="22"/>
          <w:szCs w:val="22"/>
        </w:rPr>
        <w:t xml:space="preserve">Every request produces</w:t>
      </w:r>
      <w:r>
        <w:rPr>
          <w:rFonts w:ascii="Times New Roman" w:cs="Times New Roman" w:eastAsia="Times New Roman" w:hAnsi="Times New Roman"/>
          <w:sz w:val="22"/>
          <w:szCs w:val="22"/>
        </w:rPr>
        <w:t xml:space="preserve"> the STATE_CHECK and DATA_ACCESS records, whether the decision is GRANTED or DENIED, and the refusal that follows revocation is therefore evidenced by </w:t>
      </w:r>
      <w:r>
        <w:rPr>
          <w:rFonts w:ascii="Times New Roman" w:cs="Times New Roman" w:eastAsia="Times New Roman" w:hAnsi="Times New Roman"/>
          <w:sz w:val="22"/>
          <w:szCs w:val="22"/>
        </w:rPr>
        <w:t xml:space="preserve">a ledger row as well as by</w:t>
      </w:r>
      <w:r>
        <w:rPr>
          <w:rFonts w:ascii="Times New Roman" w:cs="Times New Roman" w:eastAsia="Times New Roman" w:hAnsi="Times New Roman"/>
          <w:sz w:val="22"/>
          <w:szCs w:val="22"/>
        </w:rPr>
        <w:t xml:space="preserve"> the interface and the automated tests.</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w:t>
      </w: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is shown in the interface together with the decision matrix of the request.</w:t>
      </w:r>
      <w:r>
        <w:rPr>
          <w:rFonts w:ascii="Times New Roman" w:cs="Times New Roman" w:eastAsia="Times New Roman" w:hAnsi="Times New Roman"/>
          <w:sz w:val="22"/>
          <w:szCs w:val="22"/>
        </w:rPr>
        <w:t xml:space="preserve"> Each consent specification and access request is accepted only when the required fields are valid. </w:t>
      </w:r>
      <w:r>
        <w:rPr>
          <w:rFonts w:ascii="Times New Roman" w:cs="Times New Roman" w:eastAsia="Times New Roman" w:hAnsi="Times New Roman"/>
          <w:sz w:val="22"/>
          <w:szCs w:val="22"/>
        </w:rPr>
        <w:t xml:space="preserve">Malformed guardian identifiers and empty scopes therefore do not reach the decision logic, </w:t>
      </w:r>
      <w:r>
        <w:rPr>
          <w:rFonts w:ascii="Times New Roman" w:cs="Times New Roman" w:eastAsia="Times New Roman" w:hAnsi="Times New Roman"/>
          <w:sz w:val="22"/>
          <w:szCs w:val="22"/>
        </w:rPr>
        <w:t xml:space="preserve">and the doctor and each guardian must hold a valid credential with the right role before the consent is created.</w:t>
      </w:r>
      <w:r>
        <w:rPr>
          <w:rFonts w:ascii="Times New Roman" w:cs="Times New Roman" w:eastAsia="Times New Roman" w:hAnsi="Times New Roman"/>
          <w:sz w:val="22"/>
          <w:szCs w:val="22"/>
        </w:rPr>
        <w:t xml:space="preserve">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w:t>
      </w:r>
      <w:r>
        <w:rPr>
          <w:rFonts w:ascii="Times New Roman" w:cs="Times New Roman" w:eastAsia="Times New Roman" w:hAnsi="Times New Roman"/>
          <w:sz w:val="22"/>
          <w:szCs w:val="22"/>
        </w:rP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(C, R) = 1 ⟺ Jur(R) = Jur(C). The current prototype already includes an exploratory version of this check, which its interface labels VL and which Section 11 uses in one refused request.</w:t>
      </w:r>
      <w:r>
        <w:rPr>
          <w:rFonts w:ascii="Times New Roman" w:cs="Times New Roman" w:eastAsia="Times New Roman" w:hAnsi="Times New Roman"/>
          <w:sz w:val="22"/>
          <w:szCs w:val="22"/>
        </w:rPr>
        <w:t xml:space="preserve"> Section 11 demonstrates on the live system that a request is permitted only when the requested data scope is contained within the authorised scope. </w:t>
      </w:r>
      <w:r>
        <w:rPr>
          <w:rFonts w:ascii="Times New Roman" w:cs="Times New Roman" w:eastAsia="Times New Roman" w:hAnsi="Times New Roman"/>
          <w:sz w:val="22"/>
          <w:szCs w:val="22"/>
        </w:rPr>
        <w:t xml:space="preserve">The next section presents the solution for RO5, which keeps a consent valid only within its time interval and lifecycle state.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w:t>
      </w:r>
      <w:r>
        <w:rPr>
          <w:rFonts w:ascii="Times New Roman" w:cs="Times New Roman" w:eastAsia="Times New Roman" w:hAnsi="Times New Roman"/>
          <w:sz w:val="22"/>
          <w:szCs w:val="22"/>
        </w:rPr>
        <w:t xml:space="preserve">Section 10.1 defines the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conditions, </w:t>
      </w:r>
      <w:r>
        <w:rPr>
          <w:rFonts w:ascii="Times New Roman" w:cs="Times New Roman" w:eastAsia="Times New Roman" w:hAnsi="Times New Roman"/>
          <w:sz w:val="22"/>
          <w:szCs w:val="22"/>
        </w:rPr>
        <w:t xml:space="preserve">Section 10.2 presents the validation algorithm, Section 10.3</w:t>
      </w:r>
      <w:r>
        <w:rPr>
          <w:rFonts w:ascii="Times New Roman" w:cs="Times New Roman" w:eastAsia="Times New Roman" w:hAnsi="Times New Roman"/>
          <w:sz w:val="22"/>
          <w:szCs w:val="22"/>
        </w:rPr>
        <w:t xml:space="preserve"> describes the controls that are already implemented, and Section </w:t>
      </w:r>
      <w:r>
        <w:rPr>
          <w:rFonts w:ascii="Times New Roman" w:cs="Times New Roman" w:eastAsia="Times New Roman" w:hAnsi="Times New Roman"/>
          <w:sz w:val="22"/>
          <w:szCs w:val="22"/>
        </w:rPr>
        <w:t xml:space="preserve">10.4</w:t>
      </w:r>
      <w:r>
        <w:rPr>
          <w:rFonts w:ascii="Times New Roman" w:cs="Times New Roman" w:eastAsia="Times New Roman" w:hAnsi="Times New Roman"/>
          <w:sz w:val="22"/>
          <w:szCs w:val="22"/>
        </w:rPr>
        <w:t xml:space="preserve"> sets out the remaining work and the expected outcome.</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rPr>
        <w:t xml:space="preserve">and Lifecycle</w:t>
      </w:r>
      <w:r>
        <w:rPr>
          <w:rFonts w:ascii="Times New Roman" w:cs="Times New Roman" w:eastAsia="Times New Roman" w:hAnsi="Times New Roman"/>
          <w:b/>
          <w:bCs/>
          <w:sz w:val="26"/>
          <w:szCs w:val="26"/>
        </w:rPr>
        <w:t xml:space="preserve"> Trust Conditions</w:t>
      </w:r>
    </w:p>
    <w:p>
      <w:pPr>
        <w:spacing w:after="110" w:line="264"/>
        <w:jc w:val="both"/>
      </w:pPr>
      <w:r>
        <w:rPr>
          <w:rFonts w:ascii="Times New Roman" w:cs="Times New Roman" w:eastAsia="Times New Roman" w:hAnsi="Times New Roman"/>
          <w:sz w:val="22"/>
          <w:szCs w:val="22"/>
        </w:rPr>
        <w:t xml:space="preserve"> A consent that is valid at one point in time cannot necessarily be assumed to remain valid indefinitely. The system compares the current time t with the consent validity interval, and Equation (10.1)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(10.1)</w:t>
      </w:r>
    </w:p>
    <w:p>
      <w:pPr>
        <w:spacing w:after="110" w:line="264"/>
        <w:jc w:val="both"/>
      </w:pPr>
      <w:r>
        <w:rPr>
          <w:rFonts w:ascii="Times New Roman" w:cs="Times New Roman" w:eastAsia="Times New Roman" w:hAnsi="Times New Roman"/>
          <w:sz w:val="22"/>
          <w:szCs w:val="22"/>
        </w:rPr>
        <w:t xml:space="preserve">Temporal validity must also be evaluated together with the lifecycle state of the consent. The lifecycle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Specification → Verification → Approval → Active → Expiration/Revocation.</w:t>
      </w:r>
      <w:r>
        <w:rPr>
          <w:rFonts w:ascii="Times New Roman" w:cs="Times New Roman" w:eastAsia="Times New Roman" w:hAnsi="Times New Roman"/>
          <w:sz w:val="22"/>
          <w:szCs w:val="22"/>
        </w:rPr>
        <w:t xml:space="preserve">	(10.2)</w:t>
      </w:r>
    </w:p>
    <w:p>
      <w:pPr>
        <w:spacing w:after="110" w:line="264"/>
        <w:jc w:val="both"/>
      </w:pPr>
      <w:r>
        <w:rPr>
          <w:rFonts w:ascii="Times New Roman" w:cs="Times New Roman" w:eastAsia="Times New Roman" w:hAnsi="Times New Roman"/>
          <w:sz w:val="22"/>
          <w:szCs w:val="22"/>
        </w:rPr>
        <w:t xml:space="preserve">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State(C) ⊨ q.</w:t>
      </w:r>
      <w:r>
        <w:rPr>
          <w:rFonts w:ascii="Times New Roman" w:cs="Times New Roman" w:eastAsia="Times New Roman" w:hAnsi="Times New Roman"/>
          <w:sz w:val="22"/>
          <w:szCs w:val="22"/>
        </w:rPr>
        <w:t xml:space="preserve">	(10.3)</w:t>
      </w:r>
    </w:p>
    <w:p>
      <w:pPr>
        <w:spacing w:after="110" w:line="264"/>
        <w:jc w:val="both"/>
      </w:pPr>
      <w:r>
        <w:rPr>
          <w:rFonts w:ascii="Times New Roman" w:cs="Times New Roman" w:eastAsia="Times New Roman" w:hAnsi="Times New Roman"/>
          <w:sz w:val="22"/>
          <w:szCs w:val="22"/>
        </w:rPr>
        <w:t xml:space="preserve">If the consent is temporally valid, in an appropriate lifecycle state, and has not been revoked, the system validates the requested transition q. The transition is evaluated against the predefined lifecycle-transition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State(C) →</w:t>
      </w:r>
      <w:r>
        <w:rPr>
          <w:rFonts w:ascii="Cambria Math" w:cs="Cambria Math" w:eastAsia="Cambria Math" w:hAnsi="Cambria Math"/>
          <w:i w:val="false"/>
          <w:iCs w:val="false"/>
          <w:sz w:val="21"/>
          <w:szCs w:val="21"/>
          <w:vertAlign w:val="superscript"/>
        </w:rPr>
        <w:t xml:space="preserve">q</w:t>
      </w:r>
      <w:r>
        <w:rPr>
          <w:rFonts w:ascii="Cambria Math" w:cs="Cambria Math" w:eastAsia="Cambria Math" w:hAnsi="Cambria Math"/>
          <w:i w:val="false"/>
          <w:iCs w:val="false"/>
          <w:sz w:val="21"/>
          <w:szCs w:val="21"/>
        </w:rPr>
        <w:t xml:space="preserve"> State′(C).</w:t>
      </w:r>
      <w:r>
        <w:rPr>
          <w:rFonts w:ascii="Times New Roman" w:cs="Times New Roman" w:eastAsia="Times New Roman" w:hAnsi="Times New Roman"/>
          <w:sz w:val="22"/>
          <w:szCs w:val="22"/>
        </w:rPr>
        <w:t xml:space="preserve">	(10.4)</w:t>
      </w:r>
    </w:p>
    <w:p>
      <w:pPr>
        <w:spacing w:after="110" w:line="264"/>
        <w:jc w:val="both"/>
      </w:pPr>
      <w:r>
        <w:rPr>
          <w:rFonts w:ascii="Times New Roman" w:cs="Times New Roman" w:eastAsia="Times New Roman" w:hAnsi="Times New Roman"/>
          <w:sz w:val="22"/>
          <w:szCs w:val="22"/>
        </w:rPr>
        <w:t xml:space="preserve">The transition is valid only when q is explicitly permitted from the current state. The lifecycle validity predicate can therefore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 ValidState(C) ∧ ValidTransition(C).</w:t>
      </w:r>
      <w:r>
        <w:rPr>
          <w:rFonts w:ascii="Times New Roman" w:cs="Times New Roman" w:eastAsia="Times New Roman" w:hAnsi="Times New Roman"/>
          <w:sz w:val="22"/>
          <w:szCs w:val="22"/>
        </w:rPr>
        <w:t xml:space="preserve">	(10.5)</w:t>
      </w:r>
    </w:p>
    <w:p>
      <w:pPr>
        <w:spacing w:after="110" w:line="264"/>
        <w:jc w:val="both"/>
      </w:pPr>
      <w:r>
        <w:rPr>
          <w:rFonts w:ascii="Times New Roman" w:cs="Times New Roman" w:eastAsia="Times New Roman" w:hAnsi="Times New Roman"/>
          <w:sz w:val="22"/>
          <w:szCs w:val="22"/>
        </w:rPr>
        <w:t xml:space="preserve">An authorisation decision consequently requires both temporal and lifecycle validity. </w:t>
      </w:r>
      <w:r>
        <w:rPr>
          <w:rFonts w:ascii="Times New Roman" w:cs="Times New Roman" w:eastAsia="Times New Roman" w:hAnsi="Times New Roman"/>
          <w:sz w:val="22"/>
          <w:szCs w:val="22"/>
        </w:rPr>
        <w:t xml:space="preserve">A consent that has expired, has been revoked, or has entered an invalid state must not be treated as an active authorisation even when its original identity, authority, and approval conditions were valid.</w:t>
      </w:r>
      <w:r>
        <w:rPr>
          <w:rFonts w:ascii="Times New Roman" w:cs="Times New Roman" w:eastAsia="Times New Roman" w:hAnsi="Times New Roman"/>
          <w:sz w:val="22"/>
          <w:szCs w:val="22"/>
        </w:rPr>
        <w:t xml:space="preserve"> The extended authorisation decision is therefore given by Equation (10.6). A valid authorisation decision requires the simultaneous satisfaction of all relevant trust conditions. Consequently, failure of any individual condition results in denial. </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(10.6)</w:t>
      </w:r>
    </w:p>
    <w:p>
      <w:pPr>
        <w:spacing w:after="110" w:line="264"/>
        <w:jc w:val="both"/>
      </w:pPr>
      <w:r>
        <w:rPr>
          <w:rFonts w:ascii="Times New Roman" w:cs="Times New Roman" w:eastAsia="Times New Roman" w:hAnsi="Times New Roman"/>
          <w:sz w:val="22"/>
          <w:szCs w:val="22"/>
        </w:rPr>
        <w:t xml:space="preserve">Authorisation is not permanent. A consent that was valid when approved can later become invalid through expiration or revocation. RO5 is therefore more than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Temporal and Lifecycle Validation Algorithm</w:t>
      </w:r>
    </w:p>
    <w:p>
      <w:pPr>
        <w:spacing w:after="110" w:line="264"/>
        <w:jc w:val="both"/>
      </w:pPr>
      <w:r>
        <w:rPr>
          <w:rFonts w:ascii="Times New Roman" w:cs="Times New Roman" w:eastAsia="Times New Roman" w:hAnsi="Times New Roman"/>
          <w:sz w:val="22"/>
          <w:szCs w:val="22"/>
        </w:rPr>
        <w:t xml:space="preserve">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5 </w:t>
      </w:r>
      <w:r>
        <w:rPr>
          <w:rFonts w:ascii="Times New Roman" w:cs="Times New Roman" w:eastAsia="Times New Roman" w:hAnsi="Times New Roman"/>
          <w:sz w:val="19"/>
          <w:szCs w:val="19"/>
        </w:rPr>
        <w:t xml:space="preserve">Temporal and Lifecycle Validation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current time t, requested transition q</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Lifecycle validity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Retrieve consent start time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and expiry time t</w:t>
      </w:r>
      <w:r>
        <w:rPr>
          <w:rFonts w:ascii="Times New Roman" w:cs="Times New Roman" w:eastAsia="Times New Roman" w:hAnsi="Times New Roman"/>
          <w:sz w:val="19"/>
          <w:szCs w:val="19"/>
          <w:vertAlign w:val="subscript"/>
        </w:rPr>
        <w:t xml:space="preserve">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rPr>
        <w:t xml:space="preserve">Record temporal invalidity</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rPr>
        <w:t xml:space="preserve">Retrieve current lifecycle state of 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current state does not permit the requested operation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rPr>
        <w:t xml:space="preserve">Record invalid lifecycle state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sz w:val="19"/>
          <w:szCs w:val="19"/>
        </w:rPr>
        <w:t xml:space="preserve">Check whether C has been revoked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 is revoked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Record revocation-based invalidity</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Validate requested transition q</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transition q is not permitted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rPr>
        <w:t xml:space="preserve">Record unauthorised state transition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rPr>
        <w:t xml:space="preserve">Record valid temporal and lifecycle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Line 1 reads the start time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and the expiry time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of the consent. If t is before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or after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lines 2 to 5 record temporal invalidity and return INVALID. This is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in Equation (10.5). When all checks pass, line 21 records the temporal and lifecycle evidence, and line 22 returns VALID, so that the system continues with the remaining authorisation conditions of Equation (10.6).</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10.1 presents the RO5 workflow</w:t>
      </w:r>
      <w:r>
        <w:rPr>
          <w:rFonts w:ascii="Times New Roman" w:cs="Times New Roman" w:eastAsia="Times New Roman" w:hAnsi="Times New Roman"/>
          <w:sz w:val="22"/>
          <w:szCs w:val="22"/>
        </w:rPr>
        <w:t xml:space="preserve">, which shows Algorithm 5 as a flowchart. It</w:t>
      </w:r>
      <w:r>
        <w:rPr>
          <w:rFonts w:ascii="Times New Roman" w:cs="Times New Roman" w:eastAsia="Times New Roman" w:hAnsi="Times New Roman"/>
          <w:sz w:val="22"/>
          <w:szCs w:val="22"/>
        </w:rPr>
        <w:t xml:space="preserve"> evaluates the consent’s temporal interval, lifecycle state, and revocation status before the system proceeds with the remaining authorisation conditions. </w:t>
      </w:r>
      <w:r>
        <w:rPr>
          <w:rFonts w:ascii="Times New Roman" w:cs="Times New Roman" w:eastAsia="Times New Roman" w:hAnsi="Times New Roman"/>
          <w:sz w:val="22"/>
          <w:szCs w:val="22"/>
        </w:rPr>
        <w:t xml:space="preserve">If any check fails, access is denied and a lifecycle-based denial is recorded. The transition check is drawn with dashed lines because it is planned for the next stage.</w:t>
      </w:r>
      <w:r>
        <w:rPr>
          <w:rFonts w:ascii="Times New Roman" w:cs="Times New Roman" w:eastAsia="Times New Roman" w:hAnsi="Times New Roman"/>
          <w:sz w:val="22"/>
          <w:szCs w:val="22"/>
        </w:rPr>
        <w:t xml:space="preserv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derives the lifecycle state from the application record</w:t>
      </w:r>
      <w:r>
        <w:rPr>
          <w:rFonts w:ascii="Times New Roman" w:cs="Times New Roman" w:eastAsia="Times New Roman" w:hAnsi="Times New Roman"/>
          <w:sz w:val="22"/>
          <w:szCs w:val="22"/>
        </w:rPr>
        <w:t xml:space="preserve"> and evaluates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as ValidState(C), which passes only when this state is ACTIVE. A consent that is not ACTIVE also fails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or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so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does not yet refuse a request on its own. The Consent Engine</w:t>
      </w:r>
      <w:r>
        <w:rPr>
          <w:rFonts w:ascii="Times New Roman" w:cs="Times New Roman" w:eastAsia="Times New Roman" w:hAnsi="Times New Roman"/>
          <w:sz w:val="22"/>
          <w:szCs w:val="22"/>
        </w:rPr>
        <w:t xml:space="preserve"> also checks the revocation flag and the token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2886075" cy="5334000"/>
            <wp:effectExtent t="0" r="0" b="0" l="0"/>
            <wp:docPr id="1"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860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10.1: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rPr>
        <w:t xml:space="preserve"> (Algorithm 5 as a flowchart, where the dashed transition check is planned for the next stage)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which gives ValidTransition(C) in Equation (10.5), together with the SUSPENDED state, consent modification, delegation, guardian-set changes and a formal lifecycle model (Section 10.4).</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w:t>
      </w:r>
      <w:r>
        <w:rPr>
          <w:rFonts w:ascii="Times New Roman" w:cs="Times New Roman" w:eastAsia="Times New Roman" w:hAnsi="Times New Roman"/>
          <w:sz w:val="22"/>
          <w:szCs w:val="22"/>
        </w:rPr>
        <w:t xml:space="preserve"> and recorded in the audit ledger as a DENIED DATA_ACCESS event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current prototype,</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w:t>
      </w:r>
      <w:r>
        <w:rPr>
          <w:rFonts w:ascii="Times New Roman" w:cs="Times New Roman" w:eastAsia="Times New Roman" w:hAnsi="Times New Roman"/>
          <w:sz w:val="22"/>
          <w:szCs w:val="22"/>
        </w:rPr>
        <w:t xml:space="preserve">.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w:t>
      </w:r>
      <w:r>
        <w:rPr>
          <w:rFonts w:ascii="Times New Roman" w:cs="Times New Roman" w:eastAsia="Times New Roman" w:hAnsi="Times New Roman"/>
          <w:sz w:val="22"/>
          <w:szCs w:val="22"/>
        </w:rPr>
        <w:t xml:space="preserve">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rPr>
        <w:t xml:space="preserve">he implementation performs the two in one step, which is why Algorithm 3 and Figure 8.1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w:t>
      </w:r>
    </w:p>
    <w:p>
      <w:pPr>
        <w:spacing w:after="110" w:line="264"/>
        <w:jc w:val="both"/>
      </w:pPr>
      <w:r>
        <w:rPr>
          <w:rFonts w:ascii="Times New Roman" w:cs="Times New Roman" w:eastAsia="Times New Roman" w:hAnsi="Times New Roman"/>
          <w:sz w:val="22"/>
          <w:szCs w:val="22"/>
        </w:rPr>
        <w:t xml:space="preserve">Figure 10.2 summarises the implemented lifecycle. Each STATE_CHECK event in the audit ledger, recorded at every access request </w:t>
      </w:r>
      <w:r>
        <w:rPr>
          <w:rFonts w:ascii="Times New Roman" w:cs="Times New Roman" w:eastAsia="Times New Roman" w:hAnsi="Times New Roman"/>
          <w:sz w:val="22"/>
          <w:szCs w:val="22"/>
        </w:rPr>
        <w:t xml:space="preserve">in any lifecycle state</w:t>
      </w:r>
      <w:r>
        <w:rPr>
          <w:rFonts w:ascii="Times New Roman" w:cs="Times New Roman" w:eastAsia="Times New Roman" w:hAnsi="Times New Roman"/>
          <w:sz w:val="22"/>
          <w:szCs w:val="22"/>
        </w:rPr>
        <w:t xml:space="preserve">, establishes an auditable relationship between the consent’s lifecycle state and the operation performed at a particular point in time. </w:t>
      </w:r>
      <w:r>
        <w:rPr>
          <w:rFonts w:ascii="Times New Roman" w:cs="Times New Roman" w:eastAsia="Times New Roman" w:hAnsi="Times New Roman"/>
          <w:sz w:val="22"/>
          <w:szCs w:val="22"/>
        </w:rPr>
        <w:t xml:space="preserve">The system therefore checks whether authorisation is still valid at the time an operation is requested, instead of treating authorisation as a one-time event.</w:t>
      </w:r>
      <w:r>
        <w:rPr>
          <w:rFonts w:ascii="Times New Roman" w:cs="Times New Roman" w:eastAsia="Times New Roman" w:hAnsi="Times New Roman"/>
          <w:sz w:val="22"/>
          <w:szCs w:val="22"/>
        </w:rPr>
        <w:t xml:space="preserve"> The expiry path is not shown in the demonstration</w:t>
      </w:r>
      <w:r>
        <w:rPr>
          <w:rFonts w:ascii="Times New Roman" w:cs="Times New Roman" w:eastAsia="Times New Roman" w:hAnsi="Times New Roman"/>
          <w:sz w:val="22"/>
          <w:szCs w:val="22"/>
        </w:rPr>
        <w:t xml:space="preserve"> of 24 September 2026, but a run on 11 October 2026 on a copy of the application database shows it. In that run, a consent was given a validity window of just under five minutes. Once the window had passed, the doctor's request was refused with the state EXPIRED and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failing, and the refusal was recorded in the audit ledger. The</w:t>
      </w:r>
      <w:r>
        <w:rPr>
          <w:rFonts w:ascii="Times New Roman" w:cs="Times New Roman" w:eastAsia="Times New Roman" w:hAnsi="Times New Roman"/>
          <w:sz w:val="22"/>
          <w:szCs w:val="22"/>
        </w:rPr>
        <w:t xml:space="preserve"> automated tests in Section 11 </w:t>
      </w:r>
      <w:r>
        <w:rPr>
          <w:rFonts w:ascii="Times New Roman" w:cs="Times New Roman" w:eastAsia="Times New Roman" w:hAnsi="Times New Roman"/>
          <w:sz w:val="22"/>
          <w:szCs w:val="22"/>
        </w:rPr>
        <w:t xml:space="preserve">also</w:t>
      </w:r>
      <w:r>
        <w:rPr>
          <w:rFonts w:ascii="Times New Roman" w:cs="Times New Roman" w:eastAsia="Times New Roman" w:hAnsi="Times New Roman"/>
          <w:sz w:val="22"/>
          <w:szCs w:val="22"/>
        </w:rPr>
        <w:t xml:space="preserve"> exercise </w:t>
      </w:r>
      <w:r>
        <w:rPr>
          <w:rFonts w:ascii="Times New Roman" w:cs="Times New Roman" w:eastAsia="Times New Roman" w:hAnsi="Times New Roman"/>
          <w:sz w:val="22"/>
          <w:szCs w:val="22"/>
        </w:rPr>
        <w:t xml:space="preserve">this path</w:t>
      </w:r>
      <w:r>
        <w:rPr>
          <w:rFonts w:ascii="Times New Roman" w:cs="Times New Roman" w:eastAsia="Times New Roman" w:hAnsi="Times New Roman"/>
          <w:sz w:val="22"/>
          <w:szCs w:val="22"/>
        </w:rPr>
        <w:t xml:space="preserve">.</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10.2: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10.4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w:t>
      </w:r>
      <w:r>
        <w:rPr>
          <w:rFonts w:ascii="Times New Roman" w:cs="Times New Roman" w:eastAsia="Times New Roman" w:hAnsi="Times New Roman"/>
          <w:sz w:val="22"/>
          <w:szCs w:val="22"/>
        </w:rPr>
        <w:t xml:space="preserve">, as in lines 16 to 20 of Algorithm 5</w:t>
      </w:r>
      <w:r>
        <w:rPr>
          <w:rFonts w:ascii="Times New Roman" w:cs="Times New Roman" w:eastAsia="Times New Roman" w:hAnsi="Times New Roman"/>
          <w:sz w:val="22"/>
          <w:szCs w:val="22"/>
        </w:rPr>
        <w:t xml:space="preserve">.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w:t>
      </w:r>
      <w:r>
        <w:rPr>
          <w:rFonts w:ascii="Times New Roman" w:cs="Times New Roman" w:eastAsia="Times New Roman" w:hAnsi="Times New Roman"/>
          <w:sz w:val="22"/>
          <w:szCs w:val="22"/>
        </w:rPr>
        <w:t xml:space="preserve">, including the SUSPENDED state</w:t>
      </w:r>
      <w:r>
        <w:rPr>
          <w:rFonts w:ascii="Times New Roman" w:cs="Times New Roman" w:eastAsia="Times New Roman" w:hAnsi="Times New Roman"/>
          <w:sz w:val="22"/>
          <w:szCs w:val="22"/>
        </w:rPr>
        <w:t xml:space="preserve">.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 The main activities of the next stage</w:t>
      </w:r>
      <w:r>
        <w:rPr>
          <w:rFonts w:ascii="Times New Roman" w:cs="Times New Roman" w:eastAsia="Times New Roman" w:hAnsi="Times New Roman"/>
          <w:sz w:val="22"/>
          <w:szCs w:val="22"/>
        </w:rPr>
        <w:t xml:space="preserve"> and their expected outcomes are summarised in Section 13. </w:t>
      </w:r>
      <w:r>
        <w:rPr>
          <w:rFonts w:ascii="Times New Roman" w:cs="Times New Roman" w:eastAsia="Times New Roman" w:hAnsi="Times New Roman"/>
          <w:sz w:val="22"/>
          <w:szCs w:val="22"/>
        </w:rPr>
        <w:t xml:space="preserve">The next section presents RO6, the validation of the framework on the HALAH prototype.</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w:t>
      </w:r>
      <w:r>
        <w:rPr>
          <w:rFonts w:ascii="Times New Roman" w:cs="Times New Roman" w:eastAsia="Times New Roman" w:hAnsi="Times New Roman"/>
          <w:sz w:val="22"/>
          <w:szCs w:val="22"/>
        </w:rPr>
        <w:t xml:space="preserve">, and for the validity window and the revocation control of RQ5</w:t>
      </w:r>
      <w:r>
        <w:rPr>
          <w:rFonts w:ascii="Times New Roman" w:cs="Times New Roman" w:eastAsia="Times New Roman" w:hAnsi="Times New Roman"/>
          <w:sz w:val="22"/>
          <w:szCs w:val="22"/>
        </w:rPr>
        <w:t xml:space="preserve">. The complete formal analysis and comprehensive empirical validation </w:t>
      </w:r>
      <w:r>
        <w:rPr>
          <w:rFonts w:ascii="Times New Roman" w:cs="Times New Roman" w:eastAsia="Times New Roman" w:hAnsi="Times New Roman"/>
          <w:sz w:val="22"/>
          <w:szCs w:val="22"/>
        </w:rPr>
        <w:t xml:space="preserve">will be conducted in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11.1 sets out the validation approach, </w:t>
      </w:r>
      <w:r>
        <w:rPr>
          <w:rFonts w:ascii="Times New Roman" w:cs="Times New Roman" w:eastAsia="Times New Roman" w:hAnsi="Times New Roman"/>
          <w:sz w:val="22"/>
          <w:szCs w:val="22"/>
        </w:rPr>
        <w:t xml:space="preserve">Section 11.2 presents the validation algorithm, Section 11.3</w:t>
      </w:r>
      <w:r>
        <w:rPr>
          <w:rFonts w:ascii="Times New Roman" w:cs="Times New Roman" w:eastAsia="Times New Roman" w:hAnsi="Times New Roman"/>
          <w:sz w:val="22"/>
          <w:szCs w:val="22"/>
        </w:rPr>
        <w:t xml:space="preserve"> describes the dataset, Section </w:t>
      </w:r>
      <w:r>
        <w:rPr>
          <w:rFonts w:ascii="Times New Roman" w:cs="Times New Roman" w:eastAsia="Times New Roman" w:hAnsi="Times New Roman"/>
          <w:sz w:val="22"/>
          <w:szCs w:val="22"/>
        </w:rPr>
        <w:t xml:space="preserve">11.4</w:t>
      </w:r>
      <w:r>
        <w:rPr>
          <w:rFonts w:ascii="Times New Roman" w:cs="Times New Roman" w:eastAsia="Times New Roman" w:hAnsi="Times New Roman"/>
          <w:sz w:val="22"/>
          <w:szCs w:val="22"/>
        </w:rPr>
        <w:t xml:space="preserve"> presents the HALAH prototype and the live scenarios, Section </w:t>
      </w:r>
      <w:r>
        <w:rPr>
          <w:rFonts w:ascii="Times New Roman" w:cs="Times New Roman" w:eastAsia="Times New Roman" w:hAnsi="Times New Roman"/>
          <w:sz w:val="22"/>
          <w:szCs w:val="22"/>
        </w:rPr>
        <w:t xml:space="preserve">11.5</w:t>
      </w:r>
      <w:r>
        <w:rPr>
          <w:rFonts w:ascii="Times New Roman" w:cs="Times New Roman" w:eastAsia="Times New Roman" w:hAnsi="Times New Roman"/>
          <w:sz w:val="22"/>
          <w:szCs w:val="22"/>
        </w:rPr>
        <w:t xml:space="preserve"> reports the measured results, Section </w:t>
      </w:r>
      <w:r>
        <w:rPr>
          <w:rFonts w:ascii="Times New Roman" w:cs="Times New Roman" w:eastAsia="Times New Roman" w:hAnsi="Times New Roman"/>
          <w:sz w:val="22"/>
          <w:szCs w:val="22"/>
        </w:rPr>
        <w:t xml:space="preserve">11.6</w:t>
      </w:r>
      <w:r>
        <w:rPr>
          <w:rFonts w:ascii="Times New Roman" w:cs="Times New Roman" w:eastAsia="Times New Roman" w:hAnsi="Times New Roman"/>
          <w:sz w:val="22"/>
          <w:szCs w:val="22"/>
        </w:rPr>
        <w:t xml:space="preserve"> reports the unit-level adversarial tests, and Section </w:t>
      </w:r>
      <w:r>
        <w:rPr>
          <w:rFonts w:ascii="Times New Roman" w:cs="Times New Roman" w:eastAsia="Times New Roman" w:hAnsi="Times New Roman"/>
          <w:sz w:val="22"/>
          <w:szCs w:val="22"/>
        </w:rPr>
        <w:t xml:space="preserve">11.7</w:t>
      </w:r>
      <w:r>
        <w:rPr>
          <w:rFonts w:ascii="Times New Roman" w:cs="Times New Roman" w:eastAsia="Times New Roman" w:hAnsi="Times New Roman"/>
          <w:sz w:val="22"/>
          <w:szCs w:val="22"/>
        </w:rPr>
        <w:t xml:space="preserve"> lists the remaining work.</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11.1 presents the RO6 workflow for formal security assurance and empirical validation</w:t>
      </w:r>
      <w:r>
        <w:rPr>
          <w:rFonts w:ascii="Times New Roman" w:cs="Times New Roman" w:eastAsia="Times New Roman" w:hAnsi="Times New Roman"/>
          <w:sz w:val="22"/>
          <w:szCs w:val="22"/>
        </w:rPr>
        <w:t xml:space="preserve">. It shows Algorithm 6 of Section 11.2 as a flowchart, with the same main steps. It also adds a practical performance check and a loop that refines the framework and runs the validation scenarios again when a property fails. The algorithm itself does not include these two parts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5476875" cy="5334000"/>
            <wp:effectExtent t="0" r="0" b="0" l="0"/>
            <wp:docPr id="1"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768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rPr>
        <w:t xml:space="preserve"> (Algorithm 6 as a flowchart, with a performance evaluation and a refinement loop that the algorithm does not include)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w:t>
      </w:r>
      <w:r>
        <w:rPr>
          <w:rFonts w:ascii="Times New Roman" w:cs="Times New Roman" w:eastAsia="Times New Roman" w:hAnsi="Times New Roman"/>
          <w:sz w:val="22"/>
          <w:szCs w:val="22"/>
        </w:rPr>
        <w:t xml:space="preserve">Functional correctness and security correctness are therefore tested separately.</w:t>
      </w:r>
      <w:r>
        <w:rPr>
          <w:rFonts w:ascii="Times New Roman" w:cs="Times New Roman" w:eastAsia="Times New Roman" w:hAnsi="Times New Roman"/>
          <w:sz w:val="22"/>
          <w:szCs w:val="22"/>
        </w:rPr>
        <w:t xml:space="preserve">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(11.1)</w:t>
      </w:r>
    </w:p>
    <w:p>
      <w:pPr>
        <w:spacing w:after="110" w:line="264"/>
        <w:jc w:val="both"/>
      </w:pPr>
      <w:r>
        <w:rPr>
          <w:rFonts w:ascii="Times New Roman" w:cs="Times New Roman" w:eastAsia="Times New Roman" w:hAnsi="Times New Roman"/>
          <w:sz w:val="22"/>
          <w:szCs w:val="22"/>
        </w:rPr>
        <w:t xml:space="preserve">Equivalently, Equation (11.2), the contrapositive of Equation (11.1), states that if any mandatory condition is violated, the request must be denied. Equation (11.1) is therefore examined through the 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z w:val="22"/>
          <w:szCs w:val="22"/>
        </w:rPr>
        <w:t xml:space="preserve">of the five checks of the prototype decision matrix</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(11.2)</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w:t>
      </w:r>
      <w:r>
        <w:rPr>
          <w:rFonts w:ascii="Times New Roman" w:cs="Times New Roman" w:eastAsia="Times New Roman" w:hAnsi="Times New Roman"/>
          <w:sz w:val="22"/>
          <w:szCs w:val="22"/>
        </w:rPr>
        <w:t xml:space="preserve">Its </w:t>
      </w: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functional and regression tests check that each of </w:t>
      </w:r>
      <w:r>
        <w:rPr>
          <w:rFonts w:ascii="Times New Roman" w:cs="Times New Roman" w:eastAsia="Times New Roman" w:hAnsi="Times New Roman"/>
          <w:sz w:val="22"/>
          <w:szCs w:val="22"/>
        </w:rPr>
        <w:t xml:space="preserve">these five checks</w:t>
      </w:r>
      <w:r>
        <w:rPr>
          <w:rFonts w:ascii="Times New Roman" w:cs="Times New Roman" w:eastAsia="Times New Roman" w:hAnsi="Times New Roman"/>
          <w:sz w:val="22"/>
          <w:szCs w:val="22"/>
        </w:rPr>
        <w:t xml:space="preserve"> can refuse a request on its own: an invalid guardian signature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 revoked consent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 purpose that is not a supported healthcare use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an expired consent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a jurisdiction mismatch </w:t>
      </w:r>
      <w:r>
        <w:rPr>
          <w:rFonts w:ascii="Times New Roman" w:cs="Times New Roman" w:eastAsia="Times New Roman" w:hAnsi="Times New Roman"/>
          <w:sz w:val="22"/>
          <w:szCs w:val="22"/>
        </w:rPr>
        <w:t xml:space="preserve">(the exploratory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labelled VL in the prototype)</w:t>
      </w:r>
      <w:r>
        <w:rPr>
          <w:rFonts w:ascii="Times New Roman" w:cs="Times New Roman" w:eastAsia="Times New Roman" w:hAnsi="Times New Roman"/>
          <w:sz w:val="22"/>
          <w:szCs w:val="22"/>
        </w:rPr>
        <w:t xml:space="preserv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w:t>
      </w:r>
      <w:r>
        <w:rPr>
          <w:rFonts w:ascii="Times New Roman" w:cs="Times New Roman" w:eastAsia="Times New Roman" w:hAnsi="Times New Roman"/>
          <w:sz w:val="22"/>
          <w:szCs w:val="22"/>
        </w:rPr>
        <w:t xml:space="preserve">Since 11 October 2026, the functional tests also check the credential of the doctor and of each guardian, and that the requester is the doctor named in the consent.</w:t>
      </w:r>
      <w:r>
        <w:rPr>
          <w:rFonts w:ascii="Times New Roman" w:cs="Times New Roman" w:eastAsia="Times New Roman" w:hAnsi="Times New Roman"/>
          <w:sz w:val="22"/>
          <w:szCs w:val="22"/>
        </w:rPr>
        <w:t xml:space="preserve"> The </w:t>
      </w: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adversarial tests cover a baseline and </w:t>
      </w:r>
      <w:r>
        <w:rPr>
          <w:rFonts w:ascii="Times New Roman" w:cs="Times New Roman" w:eastAsia="Times New Roman" w:hAnsi="Times New Roman"/>
          <w:sz w:val="22"/>
          <w:szCs w:val="22"/>
        </w:rPr>
        <w:t xml:space="preserve">thirteen</w:t>
      </w:r>
      <w:r>
        <w:rPr>
          <w:rFonts w:ascii="Times New Roman" w:cs="Times New Roman" w:eastAsia="Times New Roman" w:hAnsi="Times New Roman"/>
          <w:sz w:val="22"/>
          <w:szCs w:val="22"/>
        </w:rPr>
        <w:t xml:space="preserve"> attack scenarios. Among them, an approval from outside G and a repeated approval leave the consent short of the threshold, and an over-scope or empty request is refused. </w:t>
      </w:r>
      <w:r>
        <w:rPr>
          <w:rFonts w:ascii="Times New Roman" w:cs="Times New Roman" w:eastAsia="Times New Roman" w:hAnsi="Times New Roman"/>
          <w:sz w:val="22"/>
          <w:szCs w:val="22"/>
        </w:rPr>
        <w:t xml:space="preserve">In A13, an invalid or forged credential fails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Formal and Empirical Authorisation Validation Algorithm</w:t>
      </w:r>
    </w:p>
    <w:p>
      <w:pPr>
        <w:spacing w:after="110" w:line="264"/>
        <w:jc w:val="both"/>
      </w:pPr>
      <w:r>
        <w:rPr>
          <w:rFonts w:ascii="Times New Roman" w:cs="Times New Roman" w:eastAsia="Times New Roman" w:hAnsi="Times New Roman"/>
          <w:sz w:val="22"/>
          <w:szCs w:val="22"/>
        </w:rPr>
        <w:t xml:space="preserve">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6 </w:t>
      </w:r>
      <w:r>
        <w:rPr>
          <w:rFonts w:ascii="Times New Roman" w:cs="Times New Roman" w:eastAsia="Times New Roman" w:hAnsi="Times New Roman"/>
          <w:sz w:val="19"/>
          <w:szCs w:val="19"/>
        </w:rPr>
        <w:t xml:space="preserve">Formal and Empirical Authorisation Validation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Framework implementation F, validation scenarios S, security properties P</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Validation evidence and evaluation results</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Define expected authorisation properties P</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sz w:val="19"/>
          <w:szCs w:val="19"/>
        </w:rPr>
        <w:t xml:space="preserve">Define valid scenarios S</w:t>
      </w:r>
      <w:r>
        <w:rPr>
          <w:rFonts w:ascii="Times New Roman" w:cs="Times New Roman" w:eastAsia="Times New Roman" w:hAnsi="Times New Roman"/>
          <w:sz w:val="19"/>
          <w:szCs w:val="19"/>
          <w:vertAlign w:val="subscript"/>
        </w:rPr>
        <w:t xml:space="preserve">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rPr>
        <w:t xml:space="preserve">Define negative scenarios S</w:t>
      </w:r>
      <w:r>
        <w:rPr>
          <w:rFonts w:ascii="Times New Roman" w:cs="Times New Roman" w:eastAsia="Times New Roman" w:hAnsi="Times New Roman"/>
          <w:sz w:val="19"/>
          <w:szCs w:val="19"/>
          <w:vertAlign w:val="subscript"/>
        </w:rPr>
        <w:t xml:space="preserve">negative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sz w:val="19"/>
          <w:szCs w:val="19"/>
        </w:rPr>
        <w:t xml:space="preserve">Define adversarial scenarios S</w:t>
      </w:r>
      <w:r>
        <w:rPr>
          <w:rFonts w:ascii="Times New Roman" w:cs="Times New Roman" w:eastAsia="Times New Roman" w:hAnsi="Times New Roman"/>
          <w:sz w:val="19"/>
          <w:szCs w:val="19"/>
          <w:vertAlign w:val="subscript"/>
        </w:rPr>
        <w:t xml:space="preserve">adv</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for</w:t>
      </w:r>
      <w:r>
        <w:rPr>
          <w:rFonts w:ascii="Times New Roman" w:cs="Times New Roman" w:eastAsia="Times New Roman" w:hAnsi="Times New Roman"/>
          <w:sz w:val="19"/>
          <w:szCs w:val="19"/>
        </w:rPr>
        <w:t xml:space="preserve"> each scenario s in S</w:t>
      </w:r>
      <w:r>
        <w:rPr>
          <w:rFonts w:ascii="Times New Roman" w:cs="Times New Roman" w:eastAsia="Times New Roman" w:hAnsi="Times New Roman"/>
          <w:sz w:val="19"/>
          <w:szCs w:val="19"/>
          <w:vertAlign w:val="subscript"/>
        </w:rPr>
        <w:t xml:space="preserve">valid</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negative</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adv</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do</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rPr>
        <w:t xml:space="preserve">Execute s using framework F</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sz w:val="19"/>
          <w:szCs w:val="19"/>
        </w:rPr>
        <w:t xml:space="preserve">Collect authorisation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rPr>
        <w:t xml:space="preserve">Collect identity, approval, policy, and audit evidence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rPr>
        <w:t xml:space="preserve">Compare observed decision with expected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sz w:val="19"/>
          <w:szCs w:val="19"/>
        </w:rPr>
        <w:t xml:space="preserve">Record pass or failure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end for</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sz w:val="19"/>
          <w:szCs w:val="19"/>
        </w:rPr>
        <w:t xml:space="preserve">Evaluate soundness property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Evaluate denial property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sz w:val="19"/>
          <w:szCs w:val="19"/>
        </w:rPr>
        <w:t xml:space="preserve">Evaluate threshold correctness</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rPr>
        <w:t xml:space="preserve">Evaluate policy-scope enforcement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Evaluate audit consistency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rPr>
        <w:t xml:space="preserve">Analyse failures and limitations</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Validation results</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Line 1 defines the expected authorisation properties P, such as soundness, correct denial, threshold correctness, policy and scope compliance, and audit consistency. These are the criteria used to judge the results. Lines 2 to 4 define the three scenario classes.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holds legitimate requests with valid identities, an active consent and enough approvals, so it shows that the framework does not wrongly reject valid requests.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holds requests that break at least one condition, such as an expired or revoked consent, too few approvals, or data outside the consent scope.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Line 6 executes s on the implemented framework F, which performs its consent, identity, approval, policy, scope and lifecycle checks. Line 7 collects the observed decision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pPr>
        <w:spacing w:after="110" w:line="264"/>
        <w:jc w:val="both"/>
      </w:pPr>
      <w:r>
        <w:rPr>
          <w:rFonts w:ascii="Times New Roman" w:cs="Times New Roman" w:eastAsia="Times New Roman" w:hAnsi="Times New Roman"/>
          <w:sz w:val="22"/>
          <w:szCs w:val="22"/>
        </w:rPr>
        <w:t xml:space="preserve">Lines 12 to 16 then evaluate the properties. Line 12 checks soundness, so every allowed request must satisfy all five conditions of Equation (3.2), and Equation (11.1) states this for the three conditions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pPr>
        <w:spacing w:after="110" w:line="264"/>
        <w:jc w:val="both"/>
      </w:pPr>
      <w:r>
        <w:rPr>
          <w:rFonts w:ascii="Times New Roman" w:cs="Times New Roman" w:eastAsia="Times New Roman" w:hAnsi="Times New Roman"/>
          <w:sz w:val="22"/>
          <w:szCs w:val="22"/>
        </w:rPr>
        <w:t xml:space="preserve">In the current prototype, the testing part of Algorithm 6 is done. The scenario set holds the six live scenarios of Section 11.4 and the 46 automated tests, which include thirteen attack scenarios, A1 to A13 (Section 11.6). All 46 tests pass, and twelve of the thirteen attacks are refused. A11 is neutral, not refused, because a rewritten audit event changes its digest, but nothing in the prototype checks the digest yet.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Dataset Used for Validation</w:t>
      </w:r>
    </w:p>
    <w:p>
      <w:pPr>
        <w:spacing w:after="110" w:line="264"/>
        <w:jc w:val="both"/>
      </w:pPr>
      <w:r>
        <w:rPr>
          <w:rFonts w:ascii="Times New Roman" w:cs="Times New Roman" w:eastAsia="Times New Roman" w:hAnsi="Times New Roman"/>
          <w:sz w:val="22"/>
          <w:szCs w:val="22"/>
        </w:rPr>
        <w:t xml:space="preserve">The prototype uses synthetic patient records from the Synthea 1K sample </w:t>
      </w:r>
      <w:r>
        <w:rPr>
          <w:rFonts w:ascii="Times New Roman" w:cs="Times New Roman" w:eastAsia="Times New Roman" w:hAnsi="Times New Roman"/>
          <w:sz w:val="22"/>
          <w:szCs w:val="22"/>
        </w:rPr>
        <w:t xml:space="preserve">(Walonoski et al. 2018)</w:t>
      </w:r>
      <w:r>
        <w:rPr>
          <w:rFonts w:ascii="Times New Roman" w:cs="Times New Roman" w:eastAsia="Times New Roman" w:hAnsi="Times New Roman"/>
          <w:sz w:val="22"/>
          <w:szCs w:val="22"/>
        </w:rPr>
        <w:t xml:space="preserve">, taken from synthea.mitre.org in its CSV export rather than its FHIR R4 export </w:t>
      </w:r>
      <w:r>
        <w:rPr>
          <w:rFonts w:ascii="Times New Roman" w:cs="Times New Roman" w:eastAsia="Times New Roman" w:hAnsi="Times New Roman"/>
          <w:sz w:val="22"/>
          <w:szCs w:val="22"/>
        </w:rPr>
        <w:t xml:space="preserve">(HL7 International 2019)</w:t>
      </w:r>
      <w:r>
        <w:rPr>
          <w:rFonts w:ascii="Times New Roman" w:cs="Times New Roman" w:eastAsia="Times New Roman" w:hAnsi="Times New Roman"/>
          <w:sz w:val="22"/>
          <w:szCs w:val="22"/>
        </w:rPr>
        <w:t xml:space="preserve">.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rPr>
        <w:t xml:space="preserve">he only step is the selection of the subset loaded into the local database of the prototype.</w:t>
      </w: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w:t>
      </w:r>
      <w:r>
        <w:rPr>
          <w:rFonts w:ascii="Times New Roman" w:cs="Times New Roman" w:eastAsia="Times New Roman" w:hAnsi="Times New Roman"/>
          <w:sz w:val="22"/>
          <w:szCs w:val="22"/>
        </w:rPr>
        <w:t xml:space="preserve">consent management platform. The current system includes separate patient, guardian, doctor, and auditor interfaces</w:t>
      </w:r>
      <w:r>
        <w:rPr>
          <w:rFonts w:ascii="Times New Roman" w:cs="Times New Roman" w:eastAsia="Times New Roman" w:hAnsi="Times New Roman"/>
          <w:sz w:val="22"/>
          <w:szCs w:val="22"/>
        </w:rPr>
        <w:t xml:space="preserve">, and the role shown in an interface is declared rather than authenticated, as noted in Section 5</w:t>
      </w:r>
      <w:r>
        <w:rPr>
          <w:rFonts w:ascii="Times New Roman" w:cs="Times New Roman" w:eastAsia="Times New Roman" w:hAnsi="Times New Roman"/>
          <w:sz w:val="22"/>
          <w:szCs w:val="22"/>
        </w:rPr>
        <w:t xml:space="preserve">. It also records consent creation, guardian approval, token minting, state checks, and data-access events</w:t>
      </w:r>
      <w:r>
        <w:rPr>
          <w:rFonts w:ascii="Times New Roman" w:cs="Times New Roman" w:eastAsia="Times New Roman" w:hAnsi="Times New Roman"/>
          <w:sz w:val="22"/>
          <w:szCs w:val="22"/>
        </w:rPr>
        <w:t xml:space="preserve">, allowed or denied</w:t>
      </w:r>
      <w:r>
        <w:rPr>
          <w:rFonts w:ascii="Times New Roman" w:cs="Times New Roman" w:eastAsia="Times New Roman" w:hAnsi="Times New Roman"/>
          <w:sz w:val="22"/>
          <w:szCs w:val="22"/>
        </w:rPr>
        <w:t xml:space="preserve">. Following successful threshold satisfaction, the system generates activation or token evidence associated with the authorisation decision through ConsentSBTv3</w:t>
      </w:r>
      <w:r>
        <w:rPr>
          <w:rFonts w:ascii="Times New Roman" w:cs="Times New Roman" w:eastAsia="Times New Roman" w:hAnsi="Times New Roman"/>
          <w:sz w:val="22"/>
          <w:szCs w:val="22"/>
        </w:rPr>
        <w:t xml:space="preserve">, a contract written in Solidity </w:t>
      </w:r>
      <w:r>
        <w:rPr>
          <w:rFonts w:ascii="Times New Roman" w:cs="Times New Roman" w:eastAsia="Times New Roman" w:hAnsi="Times New Roman"/>
          <w:sz w:val="22"/>
          <w:szCs w:val="22"/>
        </w:rPr>
        <w:t xml:space="preserve">(Ethereum Foundation 2026a)</w:t>
      </w:r>
      <w:r>
        <w:rPr>
          <w:rFonts w:ascii="Times New Roman" w:cs="Times New Roman" w:eastAsia="Times New Roman" w:hAnsi="Times New Roman"/>
          <w:sz w:val="22"/>
          <w:szCs w:val="22"/>
        </w:rPr>
        <w:t xml:space="preserve"> for the Ethereum virtual machine </w:t>
      </w:r>
      <w:r>
        <w:rPr>
          <w:rFonts w:ascii="Times New Roman" w:cs="Times New Roman" w:eastAsia="Times New Roman" w:hAnsi="Times New Roman"/>
          <w:sz w:val="22"/>
          <w:szCs w:val="22"/>
        </w:rPr>
        <w:t xml:space="preserve">(Wood 2014)</w:t>
      </w:r>
      <w:r>
        <w:rPr>
          <w:rFonts w:ascii="Times New Roman" w:cs="Times New Roman" w:eastAsia="Times New Roman" w:hAnsi="Times New Roman"/>
          <w:sz w:val="22"/>
          <w:szCs w:val="22"/>
        </w:rPr>
        <w:t xml:space="preserve">, compiled in Remix</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(Ethereum Foundation 2026c)</w:t>
      </w:r>
      <w:r>
        <w:rPr>
          <w:rFonts w:ascii="Times New Roman" w:cs="Times New Roman" w:eastAsia="Times New Roman" w:hAnsi="Times New Roman"/>
          <w:sz w:val="22"/>
          <w:szCs w:val="22"/>
        </w:rPr>
        <w:t xml:space="preserve"> and deployed </w:t>
      </w:r>
      <w:r>
        <w:rPr>
          <w:rFonts w:ascii="Times New Roman" w:cs="Times New Roman" w:eastAsia="Times New Roman" w:hAnsi="Times New Roman"/>
          <w:sz w:val="22"/>
          <w:szCs w:val="22"/>
        </w:rPr>
        <w:t xml:space="preserve">on the Sepolia testnet </w:t>
      </w:r>
      <w:r>
        <w:rPr>
          <w:rFonts w:ascii="Times New Roman" w:cs="Times New Roman" w:eastAsia="Times New Roman" w:hAnsi="Times New Roman"/>
          <w:sz w:val="22"/>
          <w:szCs w:val="22"/>
        </w:rPr>
        <w:t xml:space="preserve">(Ethereum Foundation 2026b)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MetaMask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(Consensys 2026)</w:t>
      </w:r>
      <w:r>
        <w:rPr>
          <w:rFonts w:ascii="Times New Roman" w:cs="Times New Roman" w:eastAsia="Times New Roman" w:hAnsi="Times New Roman"/>
          <w:sz w:val="22"/>
          <w:szCs w:val="22"/>
        </w:rPr>
        <w:t xml:space="preserve">.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w:t>
      </w:r>
      <w:r>
        <w:rPr>
          <w:rFonts w:ascii="Times New Roman" w:cs="Times New Roman" w:eastAsia="Times New Roman" w:hAnsi="Times New Roman"/>
          <w:sz w:val="22"/>
          <w:szCs w:val="22"/>
        </w:rPr>
        <w:t xml:space="preserve">(Entriken et al. 2018)</w:t>
      </w:r>
      <w:r>
        <w:rPr>
          <w:rFonts w:ascii="Times New Roman" w:cs="Times New Roman" w:eastAsia="Times New Roman" w:hAnsi="Times New Roman"/>
          <w:sz w:val="22"/>
          <w:szCs w:val="22"/>
        </w:rPr>
        <w:t xml:space="preserve"> that follows ERC-5484 </w:t>
      </w:r>
      <w:r>
        <w:rPr>
          <w:rFonts w:ascii="Times New Roman" w:cs="Times New Roman" w:eastAsia="Times New Roman" w:hAnsi="Times New Roman"/>
          <w:sz w:val="22"/>
          <w:szCs w:val="22"/>
        </w:rPr>
        <w:t xml:space="preserve">(Cai 2022)</w:t>
      </w:r>
      <w:r>
        <w:rPr>
          <w:rFonts w:ascii="Times New Roman" w:cs="Times New Roman" w:eastAsia="Times New Roman" w:hAnsi="Times New Roman"/>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w:t>
      </w:r>
      <w:r>
        <w:rPr>
          <w:rFonts w:ascii="Times New Roman" w:cs="Times New Roman" w:eastAsia="Times New Roman" w:hAnsi="Times New Roman"/>
          <w:sz w:val="22"/>
          <w:szCs w:val="22"/>
        </w:rPr>
        <w:t xml:space="preserve">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The synthetic records that the prototype loads are described in Section </w:t>
      </w:r>
      <w:r>
        <w:rPr>
          <w:rFonts w:ascii="Times New Roman" w:cs="Times New Roman" w:eastAsia="Times New Roman" w:hAnsi="Times New Roman"/>
          <w:sz w:val="22"/>
          <w:szCs w:val="22"/>
        </w:rPr>
        <w:t xml:space="preserve">11.3</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Figure 11.4 shows the evaluated consent f050c29a.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creation, approval, and record-display screens (Figure 11.2, Figure 11.3 and Figure 11.5)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w:t>
      </w:r>
      <w:r>
        <w:rPr>
          <w:rFonts w:ascii="Times New Roman" w:cs="Times New Roman" w:eastAsia="Times New Roman" w:hAnsi="Times New Roman"/>
          <w:sz w:val="22"/>
          <w:szCs w:val="22"/>
        </w:rPr>
        <w:t xml:space="preserve">Since 11 October 2026, the authorised doctor and every guardian must also hold a valid credential with the right role, and a guardian listed twice is refused.</w:t>
      </w:r>
      <w:r>
        <w:rPr>
          <w:rFonts w:ascii="Times New Roman" w:cs="Times New Roman" w:eastAsia="Times New Roman" w:hAnsi="Times New Roman"/>
          <w:sz w:val="22"/>
          <w:szCs w:val="22"/>
        </w:rPr>
        <w:t xml:space="preserve">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w:t>
      </w:r>
      <w:r>
        <w:rPr>
          <w:rFonts w:ascii="Times New Roman" w:cs="Times New Roman" w:eastAsia="Times New Roman" w:hAnsi="Times New Roman"/>
          <w:sz w:val="22"/>
          <w:szCs w:val="22"/>
        </w:rPr>
        <w:t xml:space="preserve">The consent object therefore holds the information needed for identity verification, multi-party authorisation, policy evaluation, and auditability. It is a structured authorisation artefact, not only a record of patient preference</w:t>
      </w:r>
      <w:r>
        <w:rPr>
          <w:rFonts w:ascii="Times New Roman" w:cs="Times New Roman" w:eastAsia="Times New Roman" w:hAnsi="Times New Roman"/>
          <w:sz w:val="22"/>
          <w:szCs w:val="22"/>
        </w:rPr>
        <w:t xml:space="preserve">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11.2: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w:t>
      </w:r>
      <w:r>
        <w:rPr>
          <w:rFonts w:ascii="Times New Roman" w:cs="Times New Roman" w:eastAsia="Times New Roman" w:hAnsi="Times New Roman"/>
          <w:sz w:val="22"/>
          <w:szCs w:val="22"/>
        </w:rPr>
        <w:t xml:space="preserve">The public anchoring of the evaluated consent f050c29a in block 11,771,243 (block 11,771,581 for consent 04da25f5 in Figure 11.3)</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 </w:t>
      </w:r>
      <w:r>
        <w:rPr>
          <w:rFonts w:ascii="Times New Roman" w:cs="Times New Roman" w:eastAsia="Times New Roman" w:hAnsi="Times New Roman"/>
          <w:sz w:val="22"/>
          <w:szCs w:val="22"/>
        </w:rPr>
        <w:t xml:space="preserve">Since 11 October 2026, the guardian workflow also verifies the guardian's credential before it adds the signature to the consent, and an approval refused by this check is recorded in the audit ledger.</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11.3: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w:t>
      </w:r>
      <w:r>
        <w:rPr>
          <w:rFonts w:ascii="Times New Roman" w:cs="Times New Roman" w:eastAsia="Times New Roman" w:hAnsi="Times New Roman"/>
          <w:sz w:val="22"/>
          <w:szCs w:val="22"/>
        </w:rPr>
        <w:t xml:space="preserve">These screens are from the version of 24 September 2026. Since 11 October 2026, the doctor also enters their own DID,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checks that this DID holds a valid doctor credential and is the doctor named in the consent.</w:t>
      </w:r>
    </w:p>
    <w:p>
      <w:pPr>
        <w:keepNext/>
        <w:spacing w:after="60" w:before="160"/>
        <w:jc w:val="center"/>
      </w:pPr>
      <w:r>
        <w:drawing>
          <wp:inline distT="0" distB="0" distL="0" distR="0">
            <wp:extent cx="4476750" cy="3524250"/>
            <wp:effectExtent t="0" r="0" b="0" l="0"/>
            <wp:docPr id="1"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11.4: </w:t>
      </w:r>
      <w:r>
        <w:rPr>
          <w:rFonts w:ascii="Times New Roman" w:cs="Times New Roman" w:eastAsia="Times New Roman" w:hAnsi="Times New Roman"/>
          <w:sz w:val="18"/>
          <w:szCs w:val="18"/>
        </w:rPr>
        <w:t xml:space="preserve">Doctor subsystem for the evaluated consent f050c29a</w:t>
      </w:r>
      <w:r>
        <w:rPr>
          <w:rFonts w:ascii="Times New Roman" w:cs="Times New Roman" w:eastAsia="Times New Roman" w:hAnsi="Times New Roman"/>
          <w:sz w:val="18"/>
          <w:szCs w:val="18"/>
        </w:rPr>
        <w:t xml:space="preserve"> on 24 September 2026</w:t>
      </w:r>
      <w:r>
        <w:rPr>
          <w:rFonts w:ascii="Times New Roman" w:cs="Times New Roman" w:eastAsia="Times New Roman" w:hAnsi="Times New Roman"/>
          <w:sz w:val="18"/>
          <w:szCs w:val="18"/>
        </w:rPr>
        <w:t xml:space="preserve"> with requester jurisdiction AU: all five checks pass</w:t>
      </w:r>
      <w:r>
        <w:rPr>
          <w:rFonts w:ascii="Times New Roman" w:cs="Times New Roman" w:eastAsia="Times New Roman" w:hAnsi="Times New Roman"/>
          <w:sz w:val="18"/>
          <w:szCs w:val="18"/>
        </w:rPr>
        <w:t xml:space="preserve"> (the check labelled VL in the prototype interface is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11.5: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w:t>
      </w:r>
      <w:r>
        <w:rPr>
          <w:rFonts w:ascii="Times New Roman" w:cs="Times New Roman" w:eastAsia="Times New Roman" w:hAnsi="Times New Roman"/>
          <w:b/>
          <w:bCs/>
          <w:sz w:val="22"/>
          <w:szCs w:val="22"/>
        </w:rPr>
        <w:t xml:space="preserve">exploratory check, supports RQ4</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w:t>
      </w:r>
      <w:r>
        <w:rPr>
          <w:rFonts w:ascii="Times New Roman" w:cs="Times New Roman" w:eastAsia="Times New Roman" w:hAnsi="Times New Roman"/>
          <w:sz w:val="22"/>
          <w:szCs w:val="22"/>
        </w:rPr>
        <w:t xml:space="preserve">the jurisdiction check passed. This check is the exploratory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of Section 9.5, which the prototype interface labels VL. Here,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FAIL (shown as VL = FAIL in the interface)</w:t>
      </w:r>
      <w:r>
        <w:rPr>
          <w:rFonts w:ascii="Times New Roman" w:cs="Times New Roman" w:eastAsia="Times New Roman" w:hAnsi="Times New Roman"/>
          <w:sz w:val="22"/>
          <w:szCs w:val="22"/>
        </w:rPr>
        <w:t xml:space="preserv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11.6: </w:t>
      </w:r>
      <w:r>
        <w:rPr>
          <w:rFonts w:ascii="Times New Roman" w:cs="Times New Roman" w:eastAsia="Times New Roman" w:hAnsi="Times New Roman"/>
          <w:sz w:val="18"/>
          <w:szCs w:val="18"/>
        </w:rPr>
        <w:t xml:space="preserve">Refused request naming </w:t>
      </w:r>
      <w:r>
        <w:rPr>
          <w:rFonts w:ascii="Times New Roman" w:cs="Times New Roman" w:eastAsia="Times New Roman" w:hAnsi="Times New Roman"/>
          <w:sz w:val="18"/>
          <w:szCs w:val="18"/>
        </w:rPr>
        <w:t xml:space="preserve">the jurisdiction check (VL in the prototype interface)</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rPr>
        <w:t xml:space="preserve">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rPr>
        <w:t xml:space="preserve"> Since 11 October 2026, the lifecycle check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also fails for a revoked consent, and the refusal is recorded in the audit ledger.</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11.7: </w:t>
      </w:r>
      <w:r>
        <w:rPr>
          <w:rFonts w:ascii="Times New Roman" w:cs="Times New Roman" w:eastAsia="Times New Roman" w:hAnsi="Times New Roman"/>
          <w:sz w:val="18"/>
          <w:szCs w:val="18"/>
        </w:rPr>
        <w:t xml:space="preserve">Revocation transaction</w:t>
      </w:r>
      <w:r>
        <w:rPr>
          <w:rFonts w:ascii="Times New Roman" w:cs="Times New Roman" w:eastAsia="Times New Roman" w:hAnsi="Times New Roman"/>
          <w:sz w:val="18"/>
          <w:szCs w:val="18"/>
        </w:rPr>
        <w:t xml:space="preserve"> of token #1</w:t>
      </w:r>
      <w:r>
        <w:rPr>
          <w:rFonts w:ascii="Times New Roman" w:cs="Times New Roman" w:eastAsia="Times New Roman" w:hAnsi="Times New Roman"/>
          <w:sz w:val="18"/>
          <w:szCs w:val="18"/>
        </w:rPr>
        <w:t xml:space="preserve">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auditor can examine whether access occurred, whether the requester possessed a valid identity</w:t>
      </w:r>
      <w:r>
        <w:rPr>
          <w:rFonts w:ascii="Times New Roman" w:cs="Times New Roman" w:eastAsia="Times New Roman" w:hAnsi="Times New Roman"/>
          <w:sz w:val="22"/>
          <w:szCs w:val="22"/>
        </w:rPr>
        <w:t xml:space="preserve">,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11.9.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11.8: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11.9: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w:t>
      </w:r>
      <w:r>
        <w:rPr>
          <w:rFonts w:ascii="Times New Roman" w:cs="Times New Roman" w:eastAsia="Times New Roman" w:hAnsi="Times New Roman"/>
          <w:sz w:val="22"/>
          <w:szCs w:val="22"/>
        </w:rPr>
        <w:t xml:space="preserve">The subsystems have different responsibilities, and none of them decides on its own whether access should be granted.</w:t>
      </w:r>
    </w:p>
    <w:p>
      <w:pPr>
        <w:keepNext/>
        <w:spacing w:after="80" w:before="200"/>
        <w:jc w:val="center"/>
      </w:pPr>
      <w:r>
        <w:rPr>
          <w:rFonts w:ascii="Times New Roman" w:cs="Times New Roman" w:eastAsia="Times New Roman" w:hAnsi="Times New Roman"/>
          <w:b/>
          <w:bCs/>
          <w:sz w:val="18"/>
          <w:szCs w:val="18"/>
        </w:rPr>
        <w:t xml:space="preserve">Table 11.1: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w:t>
            </w:r>
            <w:r>
              <w:rPr>
                <w:rFonts w:ascii="Times New Roman" w:cs="Times New Roman" w:eastAsia="Times New Roman" w:hAnsi="Times New Roman"/>
                <w:b w:val="false"/>
                <w:bCs w:val="false"/>
                <w:sz w:val="17"/>
                <w:szCs w:val="17"/>
              </w:rPr>
              <w:t xml:space="preserve"> and credential,</w:t>
            </w:r>
            <w:r>
              <w:rPr>
                <w:rFonts w:ascii="Times New Roman" w:cs="Times New Roman" w:eastAsia="Times New Roman" w:hAnsi="Times New Roman"/>
                <w:b w:val="false"/>
                <w:bCs w:val="false"/>
                <w:sz w:val="17"/>
                <w:szCs w:val="17"/>
              </w:rPr>
              <w:t xml:space="preserve">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w:t>
            </w:r>
            <w:r>
              <w:rPr>
                <w:rFonts w:ascii="Times New Roman" w:cs="Times New Roman" w:eastAsia="Times New Roman" w:hAnsi="Times New Roman"/>
                <w:b w:val="false"/>
                <w:bCs w:val="false"/>
                <w:sz w:val="17"/>
                <w:szCs w:val="17"/>
              </w:rPr>
              <w:t xml:space="preserve">N-of-N</w:t>
            </w:r>
            <w:r>
              <w:rPr>
                <w:rFonts w:ascii="Times New Roman" w:cs="Times New Roman" w:eastAsia="Times New Roman" w:hAnsi="Times New Roman"/>
                <w:b w:val="false"/>
                <w:bCs w:val="false"/>
                <w:sz w:val="17"/>
                <w:szCs w:val="17"/>
              </w:rPr>
              <w:t xml:space="preserve"> approval condition</w:t>
            </w:r>
            <w:r>
              <w:rPr>
                <w:rFonts w:ascii="Times New Roman" w:cs="Times New Roman" w:eastAsia="Times New Roman" w:hAnsi="Times New Roman"/>
                <w:b w:val="false"/>
                <w:bCs w:val="false"/>
                <w:sz w:val="17"/>
                <w:szCs w:val="17"/>
              </w:rPr>
              <w:t xml:space="preserve"> (2-of-2 in the demonstration)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w:t>
            </w:r>
            <w:r>
              <w:rPr>
                <w:rFonts w:ascii="Times New Roman" w:cs="Times New Roman" w:eastAsia="Times New Roman" w:hAnsi="Times New Roman"/>
                <w:b w:val="false"/>
                <w:bCs w:val="false"/>
                <w:sz w:val="17"/>
                <w:szCs w:val="17"/>
              </w:rPr>
              <w:t xml:space="preserve">the doctor's DID and credential and</w:t>
            </w:r>
            <w:r>
              <w:rPr>
                <w:rFonts w:ascii="Times New Roman" w:cs="Times New Roman" w:eastAsia="Times New Roman" w:hAnsi="Times New Roman"/>
                <w:b w:val="false"/>
                <w:bCs w:val="false"/>
                <w:sz w:val="17"/>
                <w:szCs w:val="17"/>
              </w:rPr>
              <w:t xml:space="preserve">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Exploratory jurisdiction check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 prototype only)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Lifecycle / Revocation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w:t>
      </w:r>
      <w:r>
        <w:rPr>
          <w:rFonts w:ascii="Times New Roman" w:cs="Times New Roman" w:eastAsia="Times New Roman" w:hAnsi="Times New Roman"/>
          <w:sz w:val="22"/>
          <w:szCs w:val="22"/>
        </w:rPr>
        <w:t xml:space="preserve">. The decision rule and the new credential check were timed in further runs on 11 October 2026</w:t>
      </w:r>
      <w:r>
        <w:rPr>
          <w:rFonts w:ascii="Times New Roman" w:cs="Times New Roman" w:eastAsia="Times New Roman" w:hAnsi="Times New Roman"/>
          <w:sz w:val="22"/>
          <w:szCs w:val="22"/>
        </w:rPr>
        <w:t xml:space="preserve">.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11.2: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11.10: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 Table 11.3 shows the proof mode of this row as not logged, because the prototype began to log it on denied requests later the same day</w:t>
      </w:r>
      <w:r>
        <w:rPr>
          <w:rFonts w:ascii="Times New Roman" w:cs="Times New Roman" w:eastAsia="Times New Roman" w:hAnsi="Times New Roman"/>
          <w:sz w:val="22"/>
          <w:szCs w:val="22"/>
        </w:rPr>
        <w:t xml:space="preserve">. In each of the six logged evaluations, the recorded audit evidence is consistent with the actual authorisation decision. </w:t>
      </w:r>
      <w:r>
        <w:rPr>
          <w:rFonts w:ascii="Times New Roman" w:cs="Times New Roman" w:eastAsia="Times New Roman" w:hAnsi="Times New Roman"/>
          <w:sz w:val="22"/>
          <w:szCs w:val="22"/>
        </w:rPr>
        <w:t xml:space="preserve">Validation therefore checks the evidence behind each decision as well as the final ALLOW or DENY.</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w:t>
      </w:r>
      <w:r>
        <w:rPr>
          <w:rFonts w:ascii="Times New Roman" w:cs="Times New Roman" w:eastAsia="Times New Roman" w:hAnsi="Times New Roman"/>
          <w:sz w:val="22"/>
          <w:szCs w:val="22"/>
        </w:rPr>
        <w:t xml:space="preserve">on 24 September 2026</w:t>
      </w:r>
      <w:r>
        <w:rPr>
          <w:rFonts w:ascii="Times New Roman" w:cs="Times New Roman" w:eastAsia="Times New Roman" w:hAnsi="Times New Roman"/>
          <w:sz w:val="22"/>
          <w:szCs w:val="22"/>
        </w:rPr>
        <w:t xml:space="preserve"> has no ledger row, because the doctor subsystem </w:t>
      </w:r>
      <w:r>
        <w:rPr>
          <w:rFonts w:ascii="Times New Roman" w:cs="Times New Roman" w:eastAsia="Times New Roman" w:hAnsi="Times New Roman"/>
          <w:sz w:val="22"/>
          <w:szCs w:val="22"/>
        </w:rPr>
        <w:t xml:space="preserve">then stopped</w:t>
      </w:r>
      <w:r>
        <w:rPr>
          <w:rFonts w:ascii="Times New Roman" w:cs="Times New Roman" w:eastAsia="Times New Roman" w:hAnsi="Times New Roman"/>
          <w:sz w:val="22"/>
          <w:szCs w:val="22"/>
        </w:rPr>
        <w:t xml:space="preserve"> the request before it </w:t>
      </w:r>
      <w:r>
        <w:rPr>
          <w:rFonts w:ascii="Times New Roman" w:cs="Times New Roman" w:eastAsia="Times New Roman" w:hAnsi="Times New Roman"/>
          <w:sz w:val="22"/>
          <w:szCs w:val="22"/>
        </w:rPr>
        <w:t xml:space="preserve">could</w:t>
      </w:r>
      <w:r>
        <w:rPr>
          <w:rFonts w:ascii="Times New Roman" w:cs="Times New Roman" w:eastAsia="Times New Roman" w:hAnsi="Times New Roman"/>
          <w:sz w:val="22"/>
          <w:szCs w:val="22"/>
        </w:rPr>
        <w:t xml:space="preserve"> be submitted. </w:t>
      </w:r>
      <w:r>
        <w:rPr>
          <w:rFonts w:ascii="Times New Roman" w:cs="Times New Roman" w:eastAsia="Times New Roman" w:hAnsi="Times New Roman"/>
          <w:sz w:val="22"/>
          <w:szCs w:val="22"/>
        </w:rPr>
        <w:t xml:space="preserve">Since 11 October 2026, such a refusal is recorded in the audit ledger as a STATE_CHECK event and a DENIED DATA_ACCESS event. A later run on a copy of the application database shows this for the revoked consent f050c29a. That run came before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became the lifecycle check, so its rows record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FAIL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PASS. In a later run, after that change, consent 18ab9b62 was granted and then revoked, and the rows of the refused request that followed record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FAIL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 FAIL.</w:t>
      </w:r>
    </w:p>
    <w:p>
      <w:pPr>
        <w:keepNext/>
        <w:spacing w:after="80" w:before="200"/>
        <w:jc w:val="center"/>
      </w:pPr>
      <w:r>
        <w:rPr>
          <w:rFonts w:ascii="Times New Roman" w:cs="Times New Roman" w:eastAsia="Times New Roman" w:hAnsi="Times New Roman"/>
          <w:b/>
          <w:bCs/>
          <w:sz w:val="18"/>
          <w:szCs w:val="18"/>
        </w:rPr>
        <w:t xml:space="preserve">Table 11.3: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r>
        <w:rPr>
          <w:rFonts w:ascii="Times New Roman" w:cs="Times New Roman" w:eastAsia="Times New Roman" w:hAnsi="Times New Roman"/>
          <w:sz w:val="18"/>
          <w:szCs w:val="18"/>
        </w:rPr>
        <w:t xml:space="preserve">.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is the exploratory jurisdiction check, which the prototype logs as VL</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J</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11.4 summarises the processing time of the decision components, with the decision rule timed </w:t>
      </w:r>
      <w:r>
        <w:rPr>
          <w:rFonts w:ascii="Times New Roman" w:cs="Times New Roman" w:eastAsia="Times New Roman" w:hAnsi="Times New Roman"/>
          <w:sz w:val="22"/>
          <w:szCs w:val="22"/>
        </w:rPr>
        <w:t xml:space="preserve">on 11 October 2026</w:t>
      </w:r>
      <w:r>
        <w:rPr>
          <w:rFonts w:ascii="Times New Roman" w:cs="Times New Roman" w:eastAsia="Times New Roman" w:hAnsi="Times New Roman"/>
          <w:sz w:val="22"/>
          <w:szCs w:val="22"/>
        </w:rPr>
        <w:t xml:space="preserve"> over 1,000 evaluations of </w:t>
      </w:r>
      <w:r>
        <w:rPr>
          <w:rFonts w:ascii="Times New Roman" w:cs="Times New Roman" w:eastAsia="Times New Roman" w:hAnsi="Times New Roman"/>
          <w:sz w:val="22"/>
          <w:szCs w:val="22"/>
        </w:rPr>
        <w:t xml:space="preserve">the five checks of the prototype decision matrix</w:t>
      </w:r>
      <w:r>
        <w:rPr>
          <w:rFonts w:ascii="Times New Roman" w:cs="Times New Roman" w:eastAsia="Times New Roman" w:hAnsi="Times New Roman"/>
          <w:sz w:val="22"/>
          <w:szCs w:val="22"/>
        </w:rPr>
        <w:t xml:space="preserve"> on a loaded consent object without signature recovery</w:t>
      </w:r>
      <w:r>
        <w:rPr>
          <w:rFonts w:ascii="Times New Roman" w:cs="Times New Roman" w:eastAsia="Times New Roman" w:hAnsi="Times New Roman"/>
          <w:sz w:val="22"/>
          <w:szCs w:val="22"/>
        </w:rPr>
        <w:t xml:space="preserve"> or credential check. The credential check was timed over 20 checks of one credential</w:t>
      </w:r>
      <w:r>
        <w:rPr>
          <w:rFonts w:ascii="Times New Roman" w:cs="Times New Roman" w:eastAsia="Times New Roman" w:hAnsi="Times New Roman"/>
          <w:sz w:val="22"/>
          <w:szCs w:val="22"/>
        </w:rPr>
        <w:t xml:space="preserve">.</w:t>
      </w:r>
    </w:p>
    <w:p>
      <w:pPr>
        <w:keepNext/>
        <w:spacing w:after="80" w:before="200"/>
        <w:jc w:val="center"/>
      </w:pPr>
      <w:r>
        <w:rPr>
          <w:rFonts w:ascii="Times New Roman" w:cs="Times New Roman" w:eastAsia="Times New Roman" w:hAnsi="Times New Roman"/>
          <w:b/>
          <w:bCs/>
          <w:sz w:val="18"/>
          <w:szCs w:val="18"/>
        </w:rPr>
        <w:t xml:space="preserve">Table 11.4: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w:t>
      </w:r>
      <w:r>
        <w:rPr>
          <w:rFonts w:ascii="Times New Roman" w:cs="Times New Roman" w:eastAsia="Times New Roman" w:hAnsi="Times New Roman"/>
          <w:sz w:val="18"/>
          <w:szCs w:val="18"/>
        </w:rPr>
        <w:t xml:space="preserve">, on 1 October 2026 (the decision rule and the credential check on 11 October 2026)</w:t>
      </w:r>
      <w:r>
        <w:rPr>
          <w:rFonts w:ascii="Times New Roman" w:cs="Times New Roman" w:eastAsia="Times New Roman" w:hAnsi="Times New Roman"/>
          <w:sz w:val="18"/>
          <w:szCs w:val="18"/>
        </w:rPr>
        <w:t xml:space="preserve">, with the anchoring confirmation taken from Table 11.2</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w:t>
            </w:r>
            <w:r>
              <w:rPr>
                <w:rFonts w:ascii="Times New Roman" w:cs="Times New Roman" w:eastAsia="Times New Roman" w:hAnsi="Times New Roman"/>
                <w:b w:val="false"/>
                <w:bCs w:val="false"/>
                <w:sz w:val="17"/>
                <w:szCs w:val="17"/>
              </w:rPr>
              <w:t xml:space="preserve">predicates (11 Oct)</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6.47</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5.36</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72.07</w:t>
            </w:r>
            <w:r>
              <w:rPr>
                <w:rFonts w:ascii="Times New Roman" w:cs="Times New Roman" w:eastAsia="Times New Roman" w:hAnsi="Times New Roman"/>
                <w:b w:val="false"/>
                <w:bCs w:val="false"/>
                <w:sz w:val="17"/>
                <w:szCs w:val="17"/>
              </w:rPr>
              <w:t xml:space="preserve">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Credential check, one credential (11 Oct)</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6.42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6.51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6.18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8.33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11.11, the time taken to evaluate the decision rule is negligible, </w:t>
      </w:r>
      <w:r>
        <w:rPr>
          <w:rFonts w:ascii="Times New Roman" w:cs="Times New Roman" w:eastAsia="Times New Roman" w:hAnsi="Times New Roman"/>
          <w:sz w:val="22"/>
          <w:szCs w:val="22"/>
        </w:rPr>
        <w:t xml:space="preserve">the credential check takes about 6 ms per credential,</w:t>
      </w:r>
      <w:r>
        <w:rPr>
          <w:rFonts w:ascii="Times New Roman" w:cs="Times New Roman" w:eastAsia="Times New Roman" w:hAnsi="Times New Roman"/>
          <w:sz w:val="22"/>
          <w:szCs w:val="22"/>
        </w:rPr>
        <w:t xml:space="preserv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w:t>
      </w:r>
      <w:r>
        <w:rPr>
          <w:rFonts w:ascii="Times New Roman" w:cs="Times New Roman" w:eastAsia="Times New Roman" w:hAnsi="Times New Roman"/>
          <w:sz w:val="22"/>
          <w:szCs w:val="22"/>
        </w:rPr>
        <w:t xml:space="preserve">Anchoring confirmation, measured over three mints and two revokes, is the slowest step. The mint is anchored in the background, so it delays neither the guardians nor the doctor, whereas the patient waits for the confirmation of a revoke.</w:t>
      </w:r>
    </w:p>
    <w:p>
      <w:pPr>
        <w:keepNext/>
        <w:spacing w:after="60" w:before="160"/>
        <w:jc w:val="center"/>
      </w:pPr>
      <w:r>
        <w:drawing>
          <wp:inline distT="0" distB="0" distL="0" distR="0">
            <wp:extent cx="5715000" cy="3219450"/>
            <wp:effectExtent t="0" r="0" b="0" l="0"/>
            <wp:docPr id="1"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11.11: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11.4 is not plotted, as its values are close to those of the checkValidAt read</w:t>
      </w:r>
      <w:r>
        <w:rPr>
          <w:rFonts w:ascii="Times New Roman" w:cs="Times New Roman" w:eastAsia="Times New Roman" w:hAnsi="Times New Roman"/>
          <w:sz w:val="18"/>
          <w:szCs w:val="18"/>
        </w:rPr>
        <w:t xml:space="preserve">. The decision rule and the credential check were measured on 11 October 2026, the other timings on 1 October 2026, and the anchoring comes from the five Sepolia transactions of September 2026</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11.6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The adversarial tests assume honest infrastructure and exercise the decision functions, </w:t>
      </w:r>
      <w:r>
        <w:rPr>
          <w:rFonts w:ascii="Times New Roman" w:cs="Times New Roman" w:eastAsia="Times New Roman" w:hAnsi="Times New Roman"/>
          <w:sz w:val="22"/>
          <w:szCs w:val="22"/>
        </w:rPr>
        <w:t xml:space="preserve">the credential check,</w:t>
      </w:r>
      <w:r>
        <w:rPr>
          <w:rFonts w:ascii="Times New Roman" w:cs="Times New Roman" w:eastAsia="Times New Roman" w:hAnsi="Times New Roman"/>
          <w:sz w:val="22"/>
          <w:szCs w:val="22"/>
        </w:rPr>
        <w:t xml:space="preserve">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w:t>
      </w:r>
      <w:r>
        <w:rPr>
          <w:rFonts w:ascii="Times New Roman" w:cs="Times New Roman" w:eastAsia="Times New Roman" w:hAnsi="Times New Roman"/>
          <w:sz w:val="22"/>
          <w:szCs w:val="22"/>
        </w:rPr>
        <w:t xml:space="preserve">present a forged, tampered, expired or untrusted credential,</w:t>
      </w:r>
      <w:r>
        <w:rPr>
          <w:rFonts w:ascii="Times New Roman" w:cs="Times New Roman" w:eastAsia="Times New Roman" w:hAnsi="Times New Roman"/>
          <w:sz w:val="22"/>
          <w:szCs w:val="22"/>
        </w:rPr>
        <w:t xml:space="preserve">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w:t>
      </w:r>
      <w:r>
        <w:rPr>
          <w:rFonts w:ascii="Times New Roman" w:cs="Times New Roman" w:eastAsia="Times New Roman" w:hAnsi="Times New Roman"/>
          <w:sz w:val="22"/>
          <w:szCs w:val="22"/>
        </w:rPr>
        <w:t xml:space="preserve"> In the same way, the key of the one demo issuer that signs the credentials can be reproduced from the source code.</w:t>
      </w:r>
      <w:r>
        <w:rPr>
          <w:rFonts w:ascii="Times New Roman" w:cs="Times New Roman" w:eastAsia="Times New Roman" w:hAnsi="Times New Roman"/>
          <w:sz w:val="22"/>
          <w:szCs w:val="22"/>
        </w:rPr>
        <w:t xml:space="preserve">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thirteen</w:t>
      </w:r>
      <w:r>
        <w:rPr>
          <w:rFonts w:ascii="Times New Roman" w:cs="Times New Roman" w:eastAsia="Times New Roman" w:hAnsi="Times New Roman"/>
          <w:sz w:val="22"/>
          <w:szCs w:val="22"/>
        </w:rPr>
        <w:t xml:space="preserve"> scenarios A1 to </w:t>
      </w:r>
      <w:r>
        <w:rPr>
          <w:rFonts w:ascii="Times New Roman" w:cs="Times New Roman" w:eastAsia="Times New Roman" w:hAnsi="Times New Roman"/>
          <w:sz w:val="22"/>
          <w:szCs w:val="22"/>
        </w:rPr>
        <w:t xml:space="preserve">A13</w:t>
      </w:r>
      <w:r>
        <w:rPr>
          <w:rFonts w:ascii="Times New Roman" w:cs="Times New Roman" w:eastAsia="Times New Roman" w:hAnsi="Times New Roman"/>
          <w:sz w:val="22"/>
          <w:szCs w:val="22"/>
        </w:rPr>
        <w:t xml:space="preserve"> include replayed approvals, duplicate approvals, unauthorised participants attempting to satisfy a threshold, </w:t>
      </w:r>
      <w:r>
        <w:rPr>
          <w:rFonts w:ascii="Times New Roman" w:cs="Times New Roman" w:eastAsia="Times New Roman" w:hAnsi="Times New Roman"/>
          <w:sz w:val="22"/>
          <w:szCs w:val="22"/>
        </w:rPr>
        <w:t xml:space="preserve">invalid or forged credentials,</w:t>
      </w:r>
      <w:r>
        <w:rPr>
          <w:rFonts w:ascii="Times New Roman" w:cs="Times New Roman" w:eastAsia="Times New Roman" w:hAnsi="Times New Roman"/>
          <w:sz w:val="22"/>
          <w:szCs w:val="22"/>
        </w:rPr>
        <w:t xml:space="preserve"> attempts to access data outside the authorised scope, and attempts to use a revoked or expired consent object. Each scenario is associated with an expected authorisation outcome and </w:t>
      </w:r>
      <w:r>
        <w:rPr>
          <w:rFonts w:ascii="Times New Roman" w:cs="Times New Roman" w:eastAsia="Times New Roman" w:hAnsi="Times New Roman"/>
          <w:sz w:val="22"/>
          <w:szCs w:val="22"/>
        </w:rPr>
        <w:t xml:space="preserve">the component of C that it targets, as listed in Table 11.5</w:t>
      </w:r>
      <w:r>
        <w:rPr>
          <w:rFonts w:ascii="Times New Roman" w:cs="Times New Roman" w:eastAsia="Times New Roman" w:hAnsi="Times New Roman"/>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11.5 and Figure 11.12 record whether each scenario has passed or failed. Before the hardening, three attacks, A1, A3, and A5, were accepted when the service functions were called directly. </w:t>
      </w:r>
      <w:r>
        <w:rPr>
          <w:rFonts w:ascii="Times New Roman" w:cs="Times New Roman" w:eastAsia="Times New Roman" w:hAnsi="Times New Roman"/>
          <w:sz w:val="22"/>
          <w:szCs w:val="22"/>
        </w:rPr>
        <w:t xml:space="preserve">A design can be correct while its implementation is not, and functional tests alone do not show this.</w:t>
      </w:r>
      <w:r>
        <w:rPr>
          <w:rFonts w:ascii="Times New Roman" w:cs="Times New Roman" w:eastAsia="Times New Roman" w:hAnsi="Times New Roman"/>
          <w:sz w:val="22"/>
          <w:szCs w:val="22"/>
        </w:rPr>
        <w:t xml:space="preserve"> Any failed scenario is analysed to determine the source and significance of the failure. </w:t>
      </w:r>
      <w:r>
        <w:rPr>
          <w:rFonts w:ascii="Times New Roman" w:cs="Times New Roman" w:eastAsia="Times New Roman" w:hAnsi="Times New Roman"/>
          <w:sz w:val="22"/>
          <w:szCs w:val="22"/>
        </w:rPr>
        <w:t xml:space="preserve">The analysis records the unsuccessful cases and classifies each one as a violation of an intended security property or as a limitation to be addressed in the next stage.</w:t>
      </w:r>
      <w:r>
        <w:rPr>
          <w:rFonts w:ascii="Times New Roman" w:cs="Times New Roman" w:eastAsia="Times New Roman" w:hAnsi="Times New Roman"/>
          <w:sz w:val="22"/>
          <w:szCs w:val="22"/>
        </w:rPr>
        <w:t xml:space="preserve">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w:t>
      </w:r>
      <w:r>
        <w:rPr>
          <w:rFonts w:ascii="Times New Roman" w:cs="Times New Roman" w:eastAsia="Times New Roman" w:hAnsi="Times New Roman"/>
          <w:sz w:val="22"/>
          <w:szCs w:val="22"/>
        </w:rPr>
        <w:t xml:space="preserve">first</w:t>
      </w:r>
      <w:r>
        <w:rPr>
          <w:rFonts w:ascii="Times New Roman" w:cs="Times New Roman" w:eastAsia="Times New Roman" w:hAnsi="Times New Roman"/>
          <w:sz w:val="22"/>
          <w:szCs w:val="22"/>
        </w:rPr>
        <w:t xml:space="preserve"> twelve scenarios are refused</w:t>
      </w:r>
      <w:r>
        <w:rPr>
          <w:rFonts w:ascii="Times New Roman" w:cs="Times New Roman" w:eastAsia="Times New Roman" w:hAnsi="Times New Roman"/>
          <w:sz w:val="22"/>
          <w:szCs w:val="22"/>
        </w:rPr>
        <w:t xml:space="preserve">. A13, an invalid or forged credential, came with the credential check of 11 October 2026 and is refused too. Before that change, a requester without a valid credential was accepted. Twelve of the thirteen scenarios are therefore refused and all 46 automated tests pass. In A11</w:t>
      </w:r>
      <w:r>
        <w:rPr>
          <w:rFonts w:ascii="Times New Roman" w:cs="Times New Roman" w:eastAsia="Times New Roman" w:hAnsi="Times New Roman"/>
          <w:sz w:val="22"/>
          <w:szCs w:val="22"/>
        </w:rPr>
        <w:t xml:space="preserve">, a rewritten audit event changes its digest, </w:t>
      </w:r>
      <w:r>
        <w:rPr>
          <w:rFonts w:ascii="Times New Roman" w:cs="Times New Roman" w:eastAsia="Times New Roman" w:hAnsi="Times New Roman"/>
          <w:sz w:val="22"/>
          <w:szCs w:val="22"/>
        </w:rPr>
        <w:t xml:space="preserve">but</w:t>
      </w:r>
      <w:r>
        <w:rPr>
          <w:rFonts w:ascii="Times New Roman" w:cs="Times New Roman" w:eastAsia="Times New Roman" w:hAnsi="Times New Roman"/>
          <w:sz w:val="22"/>
          <w:szCs w:val="22"/>
        </w:rPr>
        <w:t xml:space="preserve"> no component of the prototype compares </w:t>
      </w:r>
      <w:r>
        <w:rPr>
          <w:rFonts w:ascii="Times New Roman" w:cs="Times New Roman" w:eastAsia="Times New Roman" w:hAnsi="Times New Roman"/>
          <w:sz w:val="22"/>
          <w:szCs w:val="22"/>
        </w:rPr>
        <w:t xml:space="preserve">the digest yet, so A11 is marked as neutral, not as refused</w:t>
      </w:r>
      <w:r>
        <w:rPr>
          <w:rFonts w:ascii="Times New Roman" w:cs="Times New Roman" w:eastAsia="Times New Roman" w:hAnsi="Times New Roman"/>
          <w:sz w:val="22"/>
          <w:szCs w:val="22"/>
        </w:rPr>
        <w:t xml:space="preserve">.</w:t>
      </w:r>
    </w:p>
    <w:p>
      <w:pPr>
        <w:keepNext/>
        <w:spacing w:after="80" w:before="200"/>
        <w:jc w:val="center"/>
      </w:pPr>
      <w:r>
        <w:rPr>
          <w:rFonts w:ascii="Times New Roman" w:cs="Times New Roman" w:eastAsia="Times New Roman" w:hAnsi="Times New Roman"/>
          <w:b/>
          <w:bCs/>
          <w:sz w:val="18"/>
          <w:szCs w:val="18"/>
        </w:rPr>
        <w:t xml:space="preserve">Table 11.5: </w:t>
      </w:r>
      <w:r>
        <w:rPr>
          <w:rFonts w:ascii="Times New Roman" w:cs="Times New Roman" w:eastAsia="Times New Roman" w:hAnsi="Times New Roman"/>
          <w:sz w:val="18"/>
          <w:szCs w:val="18"/>
        </w:rPr>
        <w:t xml:space="preserve">Unit-level adversarial tests A1 to </w:t>
      </w:r>
      <w:r>
        <w:rPr>
          <w:rFonts w:ascii="Times New Roman" w:cs="Times New Roman" w:eastAsia="Times New Roman" w:hAnsi="Times New Roman"/>
          <w:sz w:val="18"/>
          <w:szCs w:val="18"/>
        </w:rPr>
        <w:t xml:space="preserve">A13</w:t>
      </w:r>
      <w:r>
        <w:rPr>
          <w:rFonts w:ascii="Times New Roman" w:cs="Times New Roman" w:eastAsia="Times New Roman" w:hAnsi="Times New Roman"/>
          <w:sz w:val="18"/>
          <w:szCs w:val="18"/>
        </w:rPr>
        <w:t xml:space="preserve">, their targeted component and their outcome before the hardening and after the hardening of 1 October 2026</w:t>
      </w:r>
      <w:r>
        <w:rPr>
          <w:rFonts w:ascii="Times New Roman" w:cs="Times New Roman" w:eastAsia="Times New Roman" w:hAnsi="Times New Roman"/>
          <w:sz w:val="18"/>
          <w:szCs w:val="18"/>
        </w:rPr>
        <w:t xml:space="preserve"> (for A13, before and after the credential check of 11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11.6</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 (via VA</w:t>
            </w:r>
            <w:r>
              <w:rPr>
                <w:rFonts w:ascii="Times New Roman" w:cs="Times New Roman" w:eastAsia="Times New Roman" w:hAnsi="Times New Roman"/>
                <w:b w:val="false"/>
                <w:bCs w:val="false"/>
                <w:sz w:val="17"/>
                <w:szCs w:val="17"/>
              </w:rPr>
              <w:t xml:space="preserve"> and VL</w:t>
            </w:r>
            <w:r>
              <w:rPr>
                <w:rFonts w:ascii="Times New Roman" w:cs="Times New Roman" w:eastAsia="Times New Roman" w:hAnsi="Times New Roman"/>
                <w:b w:val="false"/>
                <w:bCs w:val="false"/>
                <w:sz w:val="17"/>
                <w:szCs w:val="17"/>
              </w:rPr>
              <w:t xml:space="preserv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Invalid or forged credential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before the credential check of 11 October 2026</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test_​A13_​invalid_​or_​forged_​credential_​is_​rejected</w:t>
            </w:r>
          </w:p>
        </w:tc>
      </w:tr>
    </w:tbl>
    <w:p>
      <w:pPr>
        <w:spacing w:after="160"/>
      </w:pPr>
    </w:p>
    <w:p>
      <w:pPr>
        <w:keepNext/>
        <w:spacing w:after="60" w:before="160"/>
        <w:jc w:val="center"/>
      </w:pPr>
      <w:r>
        <w:drawing>
          <wp:inline distT="0" distB="0" distL="0" distR="0">
            <wp:extent cx="5715000" cy="4667250"/>
            <wp:effectExtent t="0" r="0" b="0" l="0"/>
            <wp:docPr id="1" name="F43_slide.png" descr="Adversarial evaluation matrix for scenarios A1 to A13 before and after the hardening of 1 October 2026 (for A13, before and after the credential check of 11 October 2026)" title="Adversarial evaluation matrix for scenarios A1 to A13 before and after the hardening of 1 October 2026 (for A13, before and after the credential check of 1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667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11.12: </w:t>
      </w:r>
      <w:r>
        <w:rPr>
          <w:rFonts w:ascii="Times New Roman" w:cs="Times New Roman" w:eastAsia="Times New Roman" w:hAnsi="Times New Roman"/>
          <w:sz w:val="18"/>
          <w:szCs w:val="18"/>
        </w:rPr>
        <w:t xml:space="preserve">Adversarial evaluation matrix for scenarios A1 to </w:t>
      </w:r>
      <w:r>
        <w:rPr>
          <w:rFonts w:ascii="Times New Roman" w:cs="Times New Roman" w:eastAsia="Times New Roman" w:hAnsi="Times New Roman"/>
          <w:sz w:val="18"/>
          <w:szCs w:val="18"/>
        </w:rPr>
        <w:t xml:space="preserve">A13</w:t>
      </w:r>
      <w:r>
        <w:rPr>
          <w:rFonts w:ascii="Times New Roman" w:cs="Times New Roman" w:eastAsia="Times New Roman" w:hAnsi="Times New Roman"/>
          <w:sz w:val="18"/>
          <w:szCs w:val="18"/>
        </w:rPr>
        <w:t xml:space="preserve"> before and after the hardening of 1 October 2026</w:t>
      </w:r>
      <w:r>
        <w:rPr>
          <w:rFonts w:ascii="Times New Roman" w:cs="Times New Roman" w:eastAsia="Times New Roman" w:hAnsi="Times New Roman"/>
          <w:sz w:val="18"/>
          <w:szCs w:val="18"/>
        </w:rPr>
        <w:t xml:space="preserve"> (for A13, before and after the credential check of 11 October 2026)</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analysis separates implementation defects from incomplete security controls and from limitations of the test environment.</w:t>
      </w:r>
      <w:r>
        <w:rPr>
          <w:rFonts w:ascii="Times New Roman" w:cs="Times New Roman" w:eastAsia="Times New Roman" w:hAnsi="Times New Roman"/>
          <w:sz w:val="22"/>
          <w:szCs w:val="22"/>
        </w:rPr>
        <w:t xml:space="preserve">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11.7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w:t>
      </w:r>
      <w:r>
        <w:rPr>
          <w:rFonts w:ascii="Times New Roman" w:cs="Times New Roman" w:eastAsia="Times New Roman" w:hAnsi="Times New Roman"/>
          <w:sz w:val="22"/>
          <w:szCs w:val="22"/>
        </w:rPr>
        <w:t xml:space="preserve">thirteen</w:t>
      </w:r>
      <w:r>
        <w:rPr>
          <w:rFonts w:ascii="Times New Roman" w:cs="Times New Roman" w:eastAsia="Times New Roman" w:hAnsi="Times New Roman"/>
          <w:sz w:val="22"/>
          <w:szCs w:val="22"/>
        </w:rPr>
        <w:t xml:space="preserve"> attack scenarios will be extended to larger sets of positive, negative, and adversarial scenarios, and enforcement accuracy will be reported over this extended set. </w:t>
      </w:r>
      <w:r>
        <w:rPr>
          <w:rFonts w:ascii="Times New Roman" w:cs="Times New Roman" w:eastAsia="Times New Roman" w:hAnsi="Times New Roman"/>
          <w:sz w:val="22"/>
          <w:szCs w:val="22"/>
        </w:rPr>
        <w:t xml:space="preserve">The formal security model will be compared with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w:t>
      </w:r>
      <w:r>
        <w:rPr>
          <w:rFonts w:ascii="Times New Roman" w:cs="Times New Roman" w:eastAsia="Times New Roman" w:hAnsi="Times New Roman"/>
          <w:sz w:val="22"/>
          <w:szCs w:val="22"/>
        </w:rPr>
        <w:t xml:space="preserve">full DID resolution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w:t>
      </w:r>
      <w:r>
        <w:rPr>
          <w:rFonts w:ascii="Times New Roman" w:cs="Times New Roman" w:eastAsia="Times New Roman" w:hAnsi="Times New Roman"/>
          <w:sz w:val="22"/>
          <w:szCs w:val="22"/>
        </w:rPr>
        <w:t xml:space="preserve">This work </w:t>
      </w:r>
      <w:r>
        <w:rPr>
          <w:rFonts w:ascii="Times New Roman" w:cs="Times New Roman" w:eastAsia="Times New Roman" w:hAnsi="Times New Roman"/>
          <w:sz w:val="22"/>
          <w:szCs w:val="22"/>
        </w:rPr>
        <w:t xml:space="preserve">will establish</w:t>
      </w:r>
      <w:r>
        <w:rPr>
          <w:rFonts w:ascii="Times New Roman" w:cs="Times New Roman" w:eastAsia="Times New Roman" w:hAnsi="Times New Roman"/>
          <w:sz w:val="22"/>
          <w:szCs w:val="22"/>
        </w:rPr>
        <w:t xml:space="preserve"> explicit security properties</w:t>
      </w:r>
      <w:r>
        <w:rPr>
          <w:rFonts w:ascii="Times New Roman" w:cs="Times New Roman" w:eastAsia="Times New Roman" w:hAnsi="Times New Roman"/>
          <w:sz w:val="22"/>
          <w:szCs w:val="22"/>
        </w:rPr>
        <w:t xml:space="preserve">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pPr>
        <w:keepNext/>
        <w:spacing w:after="80" w:before="200"/>
        <w:jc w:val="center"/>
      </w:pPr>
      <w:r>
        <w:rPr>
          <w:rFonts w:ascii="Times New Roman" w:cs="Times New Roman" w:eastAsia="Times New Roman" w:hAnsi="Times New Roman"/>
          <w:b/>
          <w:bCs/>
          <w:sz w:val="18"/>
          <w:szCs w:val="18"/>
        </w:rPr>
        <w:t xml:space="preserve">Table 12.1: </w:t>
      </w:r>
      <w:r>
        <w:rPr>
          <w:rFonts w:ascii="Times New Roman" w:cs="Times New Roman" w:eastAsia="Times New Roman" w:hAnsi="Times New Roman"/>
          <w:sz w:val="18"/>
          <w:szCs w:val="18"/>
        </w:rPr>
        <w:t xml:space="preserve">Published and accepted papers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2"/>
        <w:gridCol w:w="4175"/>
        <w:gridCol w:w="2621"/>
        <w:gridCol w:w="679"/>
        <w:gridCol w:w="1071"/>
      </w:tblGrid>
      <w:tr>
        <w:trPr>
          <w:cantSplit/>
          <w:tblHeader/>
        </w:trPr>
        <w:tc>
          <w:tcPr>
            <w:tcW w:type="dxa" w:w="5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No.</w:t>
            </w:r>
          </w:p>
        </w:tc>
        <w:tc>
          <w:tcPr>
            <w:tcW w:type="dxa" w:w="41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6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Venue</w:t>
            </w:r>
          </w:p>
        </w:tc>
        <w:tc>
          <w:tcPr>
            <w:tcW w:type="dxa" w:w="67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107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Framework for Evaluating User Identity Trustworthiness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 IEEE International Conference on E-Business Engineering (ICEBE)</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Published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Reputation Borrowing Model to Address the Cold Start Problem for New Users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 IEEE International Conference on E-Business Engineering (ICEBE)</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Published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Smart Contract-Governed Lifecycle Protocol for Reputation Borrowing in Blockchain-Based Real Estate Platforms</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ICEBE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Trusted Multi-Party Consent Governance Framework for Decentralized Multi-Stakeholder Data Sharing</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Reputation Provenance Tracing for Newcomer Bootstrapping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w:t>
            </w:r>
          </w:p>
        </w:tc>
      </w:tr>
    </w:tbl>
    <w:p>
      <w:pPr>
        <w:spacing w:after="160"/>
      </w:pP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12.2 according to their current development status and their structural contribution to the thesis chapters and research questions. </w:t>
      </w:r>
      <w:r>
        <w:rPr>
          <w:rFonts w:ascii="Times New Roman" w:cs="Times New Roman" w:eastAsia="Times New Roman" w:hAnsi="Times New Roman"/>
          <w:sz w:val="22"/>
          <w:szCs w:val="22"/>
        </w:rPr>
        <w:t xml:space="preserve">Publication 1 in Table 12.2 is Paper 4 in Table 12.1, and BWCCA 2026 has accepted it.</w:t>
      </w:r>
    </w:p>
    <w:p>
      <w:pPr>
        <w:keepNext/>
        <w:spacing w:after="80" w:before="200"/>
        <w:jc w:val="center"/>
      </w:pPr>
      <w:r>
        <w:rPr>
          <w:rFonts w:ascii="Times New Roman" w:cs="Times New Roman" w:eastAsia="Times New Roman" w:hAnsi="Times New Roman"/>
          <w:b/>
          <w:bCs/>
          <w:sz w:val="18"/>
          <w:szCs w:val="18"/>
        </w:rPr>
        <w:t xml:space="preserve">Table 12.2: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Accepted (submitted</w:t>
            </w:r>
            <w:r>
              <w:rPr>
                <w:rFonts w:ascii="Times New Roman" w:cs="Times New Roman" w:eastAsia="Times New Roman" w:hAnsi="Times New Roman"/>
                <w:b w:val="false"/>
                <w:bCs w:val="false"/>
                <w:sz w:val="17"/>
                <w:szCs w:val="17"/>
              </w:rPr>
              <w:t xml:space="preserve">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The current stage work establishes the conceptual and technical foundation, while the next stage work will strengthen the framework through formal analysis and comprehensive empirical validation. </w:t>
      </w:r>
      <w:r>
        <w:rPr>
          <w:rFonts w:ascii="Times New Roman" w:cs="Times New Roman" w:eastAsia="Times New Roman" w:hAnsi="Times New Roman"/>
          <w:sz w:val="22"/>
          <w:szCs w:val="22"/>
        </w:rPr>
        <w:t xml:space="preserve">Publication 2 in Table 12.2</w:t>
      </w:r>
      <w:r>
        <w:rPr>
          <w:rFonts w:ascii="Times New Roman" w:cs="Times New Roman" w:eastAsia="Times New Roman" w:hAnsi="Times New Roman"/>
          <w:sz w:val="22"/>
          <w:szCs w:val="22"/>
        </w:rPr>
        <w:t xml:space="preserve"> extends Section 2 into a stand-alone review, and </w:t>
      </w:r>
      <w:r>
        <w:rPr>
          <w:rFonts w:ascii="Times New Roman" w:cs="Times New Roman" w:eastAsia="Times New Roman" w:hAnsi="Times New Roman"/>
          <w:sz w:val="22"/>
          <w:szCs w:val="22"/>
        </w:rPr>
        <w:t xml:space="preserve">Publication 3</w:t>
      </w:r>
      <w:r>
        <w:rPr>
          <w:rFonts w:ascii="Times New Roman" w:cs="Times New Roman" w:eastAsia="Times New Roman" w:hAnsi="Times New Roman"/>
          <w:sz w:val="22"/>
          <w:szCs w:val="22"/>
        </w:rPr>
        <w:t xml:space="preserve">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13.1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13.1: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Conference paper submission</w:t>
            </w:r>
            <w:r>
              <w:rPr>
                <w:rFonts w:ascii="Times New Roman" w:cs="Times New Roman" w:eastAsia="Times New Roman" w:hAnsi="Times New Roman"/>
                <w:b w:val="false"/>
                <w:bCs w:val="false"/>
                <w:sz w:val="17"/>
                <w:szCs w:val="17"/>
              </w:rPr>
              <w:t xml:space="preserve">,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w:t>
            </w:r>
            <w:r>
              <w:rPr>
                <w:rFonts w:ascii="Times New Roman" w:cs="Times New Roman" w:eastAsia="Times New Roman" w:hAnsi="Times New Roman"/>
                <w:b w:val="false"/>
                <w:bCs w:val="false"/>
                <w:sz w:val="17"/>
                <w:szCs w:val="17"/>
              </w:rPr>
              <w:t xml:space="preserve">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w:t>
      </w:r>
      <w:r>
        <w:rPr>
          <w:rFonts w:ascii="Times New Roman" w:cs="Times New Roman" w:eastAsia="Times New Roman" w:hAnsi="Times New Roman"/>
          <w:sz w:val="22"/>
          <w:szCs w:val="22"/>
        </w:rPr>
        <w:t xml:space="preserve">(in progress)</w:t>
      </w:r>
      <w:r>
        <w:rPr>
          <w:rFonts w:ascii="Times New Roman" w:cs="Times New Roman" w:eastAsia="Times New Roman" w:hAnsi="Times New Roman"/>
          <w:sz w:val="22"/>
          <w:szCs w:val="22"/>
        </w:rPr>
        <w:t xml:space="preserve"> and RO6 </w:t>
      </w:r>
      <w:r>
        <w:rPr>
          <w:rFonts w:ascii="Times New Roman" w:cs="Times New Roman" w:eastAsia="Times New Roman" w:hAnsi="Times New Roman"/>
          <w:sz w:val="22"/>
          <w:szCs w:val="22"/>
        </w:rPr>
        <w:t xml:space="preserve">(partially completed)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will extend the framework of the current stage to dynamic consent governance, formal security assurance, and a fuller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SUSPENDED state, the</w:t>
      </w:r>
      <w:r>
        <w:rPr>
          <w:rFonts w:ascii="Times New Roman" w:cs="Times New Roman" w:eastAsia="Times New Roman" w:hAnsi="Times New Roman"/>
          <w:sz w:val="22"/>
          <w:szCs w:val="22"/>
        </w:rPr>
        <w:t xml:space="preserv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t>
      </w:r>
      <w:r>
        <w:rPr>
          <w:rFonts w:ascii="Times New Roman" w:cs="Times New Roman" w:eastAsia="Times New Roman" w:hAnsi="Times New Roman"/>
          <w:sz w:val="22"/>
          <w:szCs w:val="22"/>
        </w:rPr>
        <w:t xml:space="preserve">and contextual policy conditions such as jurisdiction extend the policy evaluation of Section 9,</w:t>
      </w:r>
      <w:r>
        <w:rPr>
          <w:rFonts w:ascii="Times New Roman" w:cs="Times New Roman" w:eastAsia="Times New Roman" w:hAnsi="Times New Roman"/>
          <w:sz w:val="22"/>
          <w:szCs w:val="22"/>
        </w:rPr>
        <w:t xml:space="preserve">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13.1: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13.2.</w:t>
      </w:r>
    </w:p>
    <w:p>
      <w:pPr>
        <w:keepNext/>
        <w:spacing w:after="80" w:before="200"/>
        <w:jc w:val="center"/>
      </w:pPr>
      <w:r>
        <w:rPr>
          <w:rFonts w:ascii="Times New Roman" w:cs="Times New Roman" w:eastAsia="Times New Roman" w:hAnsi="Times New Roman"/>
          <w:b/>
          <w:bCs/>
          <w:sz w:val="18"/>
          <w:szCs w:val="18"/>
        </w:rPr>
        <w:t xml:space="preserve">Table 13.2: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Add the SUSPENDED state and the lifecycle transition check.</w:t>
            </w:r>
            <w:r>
              <w:rPr>
                <w:rFonts w:ascii="Times New Roman" w:cs="Times New Roman" w:eastAsia="Times New Roman" w:hAnsi="Times New Roman"/>
                <w:b w:val="false"/>
                <w:bCs w:val="false"/>
                <w:sz w:val="17"/>
                <w:szCs w:val="17"/>
              </w:rPr>
              <w:t xml:space="preserve"> Extend the implemented lifecycle mechanism to support consent modification, delegation and guardian-set changes, </w:t>
            </w:r>
            <w:r>
              <w:rPr>
                <w:rFonts w:ascii="Times New Roman" w:cs="Times New Roman" w:eastAsia="Times New Roman" w:hAnsi="Times New Roman"/>
                <w:b w:val="false"/>
                <w:bCs w:val="false"/>
                <w:sz w:val="17"/>
                <w:szCs w:val="17"/>
              </w:rPr>
              <w:t xml:space="preserve">extend the policy evaluation with a declared request purpose and the jurisdiction condition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w:t>
            </w:r>
            <w:r>
              <w:rPr>
                <w:rFonts w:ascii="Times New Roman" w:cs="Times New Roman" w:eastAsia="Times New Roman" w:hAnsi="Times New Roman"/>
                <w:b w:val="false"/>
                <w:bCs w:val="false"/>
                <w:sz w:val="17"/>
                <w:szCs w:val="17"/>
              </w:rPr>
              <w:t xml:space="preserve">thirteen</w:t>
            </w:r>
            <w:r>
              <w:rPr>
                <w:rFonts w:ascii="Times New Roman" w:cs="Times New Roman" w:eastAsia="Times New Roman" w:hAnsi="Times New Roman"/>
                <w:b w:val="false"/>
                <w:bCs w:val="false"/>
                <w:sz w:val="17"/>
                <w:szCs w:val="17"/>
              </w:rPr>
              <w:t xml:space="preser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spacing w:after="80" w:line="240"/>
        <w:ind w:left="560" w:hanging="560"/>
        <w:jc w:val="left"/>
      </w:pPr>
      <w:r>
        <w:rPr>
          <w:rFonts w:ascii="Times New Roman" w:cs="Times New Roman" w:eastAsia="Times New Roman" w:hAnsi="Times New Roman"/>
          <w:sz w:val="18"/>
          <w:szCs w:val="18"/>
        </w:rPr>
        <w:t xml:space="preserve">Abbasi, A., Humeidi, M.N. &amp; Wang, Q. 2026, 'Nexa: Enabling secure, scalable, and decentralized management of electronic health records using threshold cryptography and public blockchains',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50791–50810, &lt;https://doi.org/10.1109/ACCESS.2026.3677499&gt;.</w:t>
      </w:r>
    </w:p>
    <w:p>
      <w:pPr>
        <w:spacing w:after="80" w:line="240"/>
        <w:ind w:left="560" w:hanging="560"/>
        <w:jc w:val="left"/>
      </w:pPr>
      <w:r>
        <w:rPr>
          <w:rFonts w:ascii="Times New Roman" w:cs="Times New Roman" w:eastAsia="Times New Roman" w:hAnsi="Times New Roman"/>
          <w:sz w:val="18"/>
          <w:szCs w:val="18"/>
        </w:rPr>
        <w:t xml:space="preserve">Akter, S. &amp; Sanam, T.F. 2025, 'A blockchain framework for secure healthcare data management using role-based access control and smart contracts', </w:t>
      </w:r>
      <w:r>
        <w:rPr>
          <w:rFonts w:ascii="Times New Roman" w:cs="Times New Roman" w:eastAsia="Times New Roman" w:hAnsi="Times New Roman"/>
          <w:i/>
          <w:iCs/>
          <w:sz w:val="18"/>
          <w:szCs w:val="18"/>
        </w:rPr>
        <w:t xml:space="preserve">2025 International Conference on Electrical, Computer and Communication Engineering (ECCE)</w:t>
      </w:r>
      <w:r>
        <w:rPr>
          <w:rFonts w:ascii="Times New Roman" w:cs="Times New Roman" w:eastAsia="Times New Roman" w:hAnsi="Times New Roman"/>
          <w:sz w:val="18"/>
          <w:szCs w:val="18"/>
        </w:rPr>
        <w:t xml:space="preserve">, pp. 1–6, &lt;https://doi.org/10.1109/ECCE64574.2025.11013162&gt;.</w:t>
      </w:r>
    </w:p>
    <w:p>
      <w:pPr>
        <w:spacing w:after="80" w:line="240"/>
        <w:ind w:left="560" w:hanging="560"/>
        <w:jc w:val="left"/>
      </w:pPr>
      <w:r>
        <w:rPr>
          <w:rFonts w:ascii="Times New Roman" w:cs="Times New Roman" w:eastAsia="Times New Roman" w:hAnsi="Times New Roman"/>
          <w:sz w:val="18"/>
          <w:szCs w:val="18"/>
        </w:rPr>
        <w:t xml:space="preserve">Al Amin, M., Altarawneh, A. &amp; Ray, I. 2023, 'Informed consent as patient driven policy for clinical diagnosis and treatment: A smart contract based approach', </w:t>
      </w:r>
      <w:r>
        <w:rPr>
          <w:rFonts w:ascii="Times New Roman" w:cs="Times New Roman" w:eastAsia="Times New Roman" w:hAnsi="Times New Roman"/>
          <w:i/>
          <w:iCs/>
          <w:sz w:val="18"/>
          <w:szCs w:val="18"/>
        </w:rPr>
        <w:t xml:space="preserve">Proceedings of the 20th International Conference on Security and Cryptography (SECRYPT 2023)</w:t>
      </w:r>
      <w:r>
        <w:rPr>
          <w:rFonts w:ascii="Times New Roman" w:cs="Times New Roman" w:eastAsia="Times New Roman" w:hAnsi="Times New Roman"/>
          <w:sz w:val="18"/>
          <w:szCs w:val="18"/>
        </w:rPr>
        <w:t xml:space="preserve">, pp. 159–170, SciTePress, &lt;https://doi.org/10.5220/0012090600003555&gt;.</w:t>
      </w:r>
    </w:p>
    <w:p>
      <w:pPr>
        <w:spacing w:after="80" w:line="240"/>
        <w:ind w:left="560" w:hanging="560"/>
        <w:jc w:val="left"/>
      </w:pPr>
      <w:r>
        <w:rPr>
          <w:rFonts w:ascii="Times New Roman" w:cs="Times New Roman" w:eastAsia="Times New Roman" w:hAnsi="Times New Roman"/>
          <w:sz w:val="18"/>
          <w:szCs w:val="18"/>
        </w:rPr>
        <w:t xml:space="preserve">Al Mamun, A., Azam, S. &amp; Gritti, C. 2022, 'Blockchain-based electronic health records management: A comprehensive review and future research direction',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5768–5789, &lt;https://doi.org/10.1109/ACCESS.2022.3141079&gt;.</w:t>
      </w:r>
    </w:p>
    <w:p>
      <w:pPr>
        <w:spacing w:after="80" w:line="240"/>
        <w:ind w:left="560" w:hanging="560"/>
        <w:jc w:val="left"/>
      </w:pPr>
      <w:r>
        <w:rPr>
          <w:rFonts w:ascii="Times New Roman" w:cs="Times New Roman" w:eastAsia="Times New Roman" w:hAnsi="Times New Roman"/>
          <w:sz w:val="18"/>
          <w:szCs w:val="18"/>
        </w:rPr>
        <w:t xml:space="preserve">Albalwy, F., Brass, A. &amp; Davies, A. 2021, 'A blockchain-based dynamic consent architecture to support clinical genomic data sharing (ConsentChain): Proof-of-concept study', </w:t>
      </w:r>
      <w:r>
        <w:rPr>
          <w:rFonts w:ascii="Times New Roman" w:cs="Times New Roman" w:eastAsia="Times New Roman" w:hAnsi="Times New Roman"/>
          <w:i/>
          <w:iCs/>
          <w:sz w:val="18"/>
          <w:szCs w:val="18"/>
        </w:rPr>
        <w:t xml:space="preserve">JMIR Medical Informatics</w:t>
      </w:r>
      <w:r>
        <w:rPr>
          <w:rFonts w:ascii="Times New Roman" w:cs="Times New Roman" w:eastAsia="Times New Roman" w:hAnsi="Times New Roman"/>
          <w:sz w:val="18"/>
          <w:szCs w:val="18"/>
        </w:rPr>
        <w:t xml:space="preserve">, vol. 9, no. 11, p. e27816, &lt;https://doi.org/10.2196/27816&gt;.</w:t>
      </w:r>
    </w:p>
    <w:p>
      <w:pPr>
        <w:spacing w:after="80" w:line="240"/>
        <w:ind w:left="560" w:hanging="560"/>
        <w:jc w:val="left"/>
      </w:pPr>
      <w:r>
        <w:rPr>
          <w:rFonts w:ascii="Times New Roman" w:cs="Times New Roman" w:eastAsia="Times New Roman" w:hAnsi="Times New Roman"/>
          <w:sz w:val="18"/>
          <w:szCs w:val="18"/>
        </w:rPr>
        <w:t xml:space="preserve">Andrew, J., Isravel, D.P., Sagayam, K.M., Bhushan, B., Sei, Y. &amp; Eunice, J. 2023, 'Blockchain for healthcare systems: Architecture, security challenges, trends and future directions', </w:t>
      </w:r>
      <w:r>
        <w:rPr>
          <w:rFonts w:ascii="Times New Roman" w:cs="Times New Roman" w:eastAsia="Times New Roman" w:hAnsi="Times New Roman"/>
          <w:i/>
          <w:iCs/>
          <w:sz w:val="18"/>
          <w:szCs w:val="18"/>
        </w:rPr>
        <w:t xml:space="preserve">Journal of Network and Computer Applications</w:t>
      </w:r>
      <w:r>
        <w:rPr>
          <w:rFonts w:ascii="Times New Roman" w:cs="Times New Roman" w:eastAsia="Times New Roman" w:hAnsi="Times New Roman"/>
          <w:sz w:val="18"/>
          <w:szCs w:val="18"/>
        </w:rPr>
        <w:t xml:space="preserve">, vol. 215, p. 103633, &lt;https://doi.org/10.1016/j.jnca.2023.103633&gt;.</w:t>
      </w:r>
    </w:p>
    <w:p>
      <w:pPr>
        <w:spacing w:after="80" w:line="240"/>
        <w:ind w:left="560" w:hanging="560"/>
        <w:jc w:val="left"/>
      </w:pPr>
      <w:r>
        <w:rPr>
          <w:rFonts w:ascii="Times New Roman" w:cs="Times New Roman" w:eastAsia="Times New Roman" w:hAnsi="Times New Roman"/>
          <w:sz w:val="18"/>
          <w:szCs w:val="18"/>
        </w:rPr>
        <w:t xml:space="preserve">Arbabi, M.S., Lal, C., Veeraragavan, N.R., Marijan, D., Nygård, J.F. &amp; Vitenberg, R. 2023, 'A survey on blockchain for healthcare: Challenges, benefits, and future directions',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25, no. 1, pp. 386–424, &lt;https://doi.org/10.1109/COMST.2022.3224644&gt;.</w:t>
      </w:r>
    </w:p>
    <w:p>
      <w:pPr>
        <w:spacing w:after="80" w:line="240"/>
        <w:ind w:left="560" w:hanging="560"/>
        <w:jc w:val="left"/>
      </w:pPr>
      <w:r>
        <w:rPr>
          <w:rFonts w:ascii="Times New Roman" w:cs="Times New Roman" w:eastAsia="Times New Roman" w:hAnsi="Times New Roman"/>
          <w:sz w:val="18"/>
          <w:szCs w:val="18"/>
        </w:rPr>
        <w:t xml:space="preserve">Bloemen, R., Logvinov, L. &amp; Evans, J. 2017, </w:t>
      </w:r>
      <w:r>
        <w:rPr>
          <w:rFonts w:ascii="Times New Roman" w:cs="Times New Roman" w:eastAsia="Times New Roman" w:hAnsi="Times New Roman"/>
          <w:i/>
          <w:iCs/>
          <w:sz w:val="18"/>
          <w:szCs w:val="18"/>
        </w:rPr>
        <w:t xml:space="preserve">EIP-712: Typed structured data hashing and signing</w:t>
      </w:r>
      <w:r>
        <w:rPr>
          <w:rFonts w:ascii="Times New Roman" w:cs="Times New Roman" w:eastAsia="Times New Roman" w:hAnsi="Times New Roman"/>
          <w:sz w:val="18"/>
          <w:szCs w:val="18"/>
        </w:rPr>
        <w:t xml:space="preserve">, Ethereum Improvement Proposals, no. 712, viewed 6 October 2026, &lt;https://eips.ethereum.org/EIPS/eip-712&gt;.</w:t>
      </w:r>
    </w:p>
    <w:p>
      <w:pPr>
        <w:spacing w:after="80" w:line="240"/>
        <w:ind w:left="560" w:hanging="560"/>
        <w:jc w:val="left"/>
      </w:pPr>
      <w:r>
        <w:rPr>
          <w:rFonts w:ascii="Times New Roman" w:cs="Times New Roman" w:eastAsia="Times New Roman" w:hAnsi="Times New Roman"/>
          <w:sz w:val="18"/>
          <w:szCs w:val="18"/>
        </w:rPr>
        <w:t xml:space="preserve">Cai, B. 2022, </w:t>
      </w:r>
      <w:r>
        <w:rPr>
          <w:rFonts w:ascii="Times New Roman" w:cs="Times New Roman" w:eastAsia="Times New Roman" w:hAnsi="Times New Roman"/>
          <w:i/>
          <w:iCs/>
          <w:sz w:val="18"/>
          <w:szCs w:val="18"/>
        </w:rPr>
        <w:t xml:space="preserve">ERC-5484: Consensual soulbound tokens</w:t>
      </w:r>
      <w:r>
        <w:rPr>
          <w:rFonts w:ascii="Times New Roman" w:cs="Times New Roman" w:eastAsia="Times New Roman" w:hAnsi="Times New Roman"/>
          <w:sz w:val="18"/>
          <w:szCs w:val="18"/>
        </w:rPr>
        <w:t xml:space="preserve">, Ethereum Improvement Proposals, no. 5484, viewed 6 October 2026, &lt;https://eips.ethereum.org/EIPS/eip-5484&gt;.</w:t>
      </w:r>
    </w:p>
    <w:p>
      <w:pPr>
        <w:spacing w:after="80" w:line="240"/>
        <w:ind w:left="560" w:hanging="560"/>
        <w:jc w:val="left"/>
      </w:pPr>
      <w:r>
        <w:rPr>
          <w:rFonts w:ascii="Times New Roman" w:cs="Times New Roman" w:eastAsia="Times New Roman" w:hAnsi="Times New Roman"/>
          <w:sz w:val="18"/>
          <w:szCs w:val="18"/>
        </w:rPr>
        <w:t xml:space="preserve">Consensys 2026, </w:t>
      </w:r>
      <w:r>
        <w:rPr>
          <w:rFonts w:ascii="Times New Roman" w:cs="Times New Roman" w:eastAsia="Times New Roman" w:hAnsi="Times New Roman"/>
          <w:i/>
          <w:iCs/>
          <w:sz w:val="18"/>
          <w:szCs w:val="18"/>
        </w:rPr>
        <w:t xml:space="preserve">MetaMask developer documentation</w:t>
      </w:r>
      <w:r>
        <w:rPr>
          <w:rFonts w:ascii="Times New Roman" w:cs="Times New Roman" w:eastAsia="Times New Roman" w:hAnsi="Times New Roman"/>
          <w:sz w:val="18"/>
          <w:szCs w:val="18"/>
        </w:rPr>
        <w:t xml:space="preserve">, viewed 7 October 2026, &lt;https://docs.metamask.io/&gt;.</w:t>
      </w:r>
    </w:p>
    <w:p>
      <w:pPr>
        <w:spacing w:after="80" w:line="240"/>
        <w:ind w:left="560" w:hanging="560"/>
        <w:jc w:val="left"/>
      </w:pPr>
      <w:r>
        <w:rPr>
          <w:rFonts w:ascii="Times New Roman" w:cs="Times New Roman" w:eastAsia="Times New Roman" w:hAnsi="Times New Roman"/>
          <w:sz w:val="18"/>
          <w:szCs w:val="18"/>
        </w:rPr>
        <w:t xml:space="preserve">Deng, H., Liang, J., Zhang, C., Liu, X., Zhu, L. &amp; Guo, S. 2024, 'FutureDID: A fully decentralized identity system with multi-party verification', </w:t>
      </w:r>
      <w:r>
        <w:rPr>
          <w:rFonts w:ascii="Times New Roman" w:cs="Times New Roman" w:eastAsia="Times New Roman" w:hAnsi="Times New Roman"/>
          <w:i/>
          <w:iCs/>
          <w:sz w:val="18"/>
          <w:szCs w:val="18"/>
        </w:rPr>
        <w:t xml:space="preserve">IEEE Transactions on Computers</w:t>
      </w:r>
      <w:r>
        <w:rPr>
          <w:rFonts w:ascii="Times New Roman" w:cs="Times New Roman" w:eastAsia="Times New Roman" w:hAnsi="Times New Roman"/>
          <w:sz w:val="18"/>
          <w:szCs w:val="18"/>
        </w:rPr>
        <w:t xml:space="preserve">, vol. 73, no. 8, pp. 2051–2065, &lt;https://doi.org/10.1109/TC.2024.3398509&gt;.</w:t>
      </w:r>
    </w:p>
    <w:p>
      <w:pPr>
        <w:spacing w:after="80" w:line="240"/>
        <w:ind w:left="560" w:hanging="560"/>
        <w:jc w:val="left"/>
      </w:pPr>
      <w:r>
        <w:rPr>
          <w:rFonts w:ascii="Times New Roman" w:cs="Times New Roman" w:eastAsia="Times New Roman" w:hAnsi="Times New Roman"/>
          <w:sz w:val="18"/>
          <w:szCs w:val="18"/>
        </w:rPr>
        <w:t xml:space="preserve">Ekholm, K., Augustinsson, A., Sundström, J., Johansen, C., Storgärds, M., Ljöstad, L. et al. 2025, 'Implementing electronic informed consent in rare disease genomics', </w:t>
      </w:r>
      <w:r>
        <w:rPr>
          <w:rFonts w:ascii="Times New Roman" w:cs="Times New Roman" w:eastAsia="Times New Roman" w:hAnsi="Times New Roman"/>
          <w:i/>
          <w:iCs/>
          <w:sz w:val="18"/>
          <w:szCs w:val="18"/>
        </w:rPr>
        <w:t xml:space="preserve">Scientific Reports</w:t>
      </w:r>
      <w:r>
        <w:rPr>
          <w:rFonts w:ascii="Times New Roman" w:cs="Times New Roman" w:eastAsia="Times New Roman" w:hAnsi="Times New Roman"/>
          <w:sz w:val="18"/>
          <w:szCs w:val="18"/>
        </w:rPr>
        <w:t xml:space="preserve">, vol. 15, no. 1, p. 44419, &lt;https://doi.org/10.1038/s41598-025-32740-1&gt;.</w:t>
      </w:r>
    </w:p>
    <w:p>
      <w:pPr>
        <w:spacing w:after="80" w:line="240"/>
        <w:ind w:left="560" w:hanging="560"/>
        <w:jc w:val="left"/>
      </w:pPr>
      <w:r>
        <w:rPr>
          <w:rFonts w:ascii="Times New Roman" w:cs="Times New Roman" w:eastAsia="Times New Roman" w:hAnsi="Times New Roman"/>
          <w:sz w:val="18"/>
          <w:szCs w:val="18"/>
        </w:rPr>
        <w:t xml:space="preserve">Eneh, A.U., Ahakonye, L.A.C., Lee, J.M. &amp; Kim, D.-S. 2026, 'Demo: EdgeConsent: On-chain attribute-based access control for data consent management', </w:t>
      </w:r>
      <w:r>
        <w:rPr>
          <w:rFonts w:ascii="Times New Roman" w:cs="Times New Roman" w:eastAsia="Times New Roman" w:hAnsi="Times New Roman"/>
          <w:i/>
          <w:iCs/>
          <w:sz w:val="18"/>
          <w:szCs w:val="18"/>
        </w:rPr>
        <w:t xml:space="preserve">2026 IEEE International Conference on Blockchain and Cryptocurrency (ICBC)</w:t>
      </w:r>
      <w:r>
        <w:rPr>
          <w:rFonts w:ascii="Times New Roman" w:cs="Times New Roman" w:eastAsia="Times New Roman" w:hAnsi="Times New Roman"/>
          <w:sz w:val="18"/>
          <w:szCs w:val="18"/>
        </w:rPr>
        <w:t xml:space="preserve">, pp. 1–2, &lt;https://doi.org/10.1109/ICBC67748.2026.11575534&gt;.</w:t>
      </w:r>
    </w:p>
    <w:p>
      <w:pPr>
        <w:spacing w:after="80" w:line="240"/>
        <w:ind w:left="560" w:hanging="560"/>
        <w:jc w:val="left"/>
      </w:pPr>
      <w:r>
        <w:rPr>
          <w:rFonts w:ascii="Times New Roman" w:cs="Times New Roman" w:eastAsia="Times New Roman" w:hAnsi="Times New Roman"/>
          <w:sz w:val="18"/>
          <w:szCs w:val="18"/>
        </w:rPr>
        <w:t xml:space="preserve">Entriken, W., Shirley, D., Evans, J. &amp; Sachs, N. 2018, </w:t>
      </w:r>
      <w:r>
        <w:rPr>
          <w:rFonts w:ascii="Times New Roman" w:cs="Times New Roman" w:eastAsia="Times New Roman" w:hAnsi="Times New Roman"/>
          <w:i/>
          <w:iCs/>
          <w:sz w:val="18"/>
          <w:szCs w:val="18"/>
        </w:rPr>
        <w:t xml:space="preserve">ERC-721: Non-fungible token standard</w:t>
      </w:r>
      <w:r>
        <w:rPr>
          <w:rFonts w:ascii="Times New Roman" w:cs="Times New Roman" w:eastAsia="Times New Roman" w:hAnsi="Times New Roman"/>
          <w:sz w:val="18"/>
          <w:szCs w:val="18"/>
        </w:rPr>
        <w:t xml:space="preserve">, Ethereum Improvement Proposals, no. 721, viewed 6 October 2026, &lt;https://eips.ethereum.org/EIPS/eip-721&gt;.</w:t>
      </w:r>
    </w:p>
    <w:p>
      <w:pPr>
        <w:spacing w:after="80" w:line="240"/>
        <w:ind w:left="560" w:hanging="560"/>
        <w:jc w:val="left"/>
      </w:pPr>
      <w:r>
        <w:rPr>
          <w:rFonts w:ascii="Times New Roman" w:cs="Times New Roman" w:eastAsia="Times New Roman" w:hAnsi="Times New Roman"/>
          <w:sz w:val="18"/>
          <w:szCs w:val="18"/>
        </w:rPr>
        <w:t xml:space="preserve">Ethereum Foundation 2026a, </w:t>
      </w:r>
      <w:r>
        <w:rPr>
          <w:rFonts w:ascii="Times New Roman" w:cs="Times New Roman" w:eastAsia="Times New Roman" w:hAnsi="Times New Roman"/>
          <w:i/>
          <w:iCs/>
          <w:sz w:val="18"/>
          <w:szCs w:val="18"/>
        </w:rPr>
        <w:t xml:space="preserve">Solidity documentation</w:t>
      </w:r>
      <w:r>
        <w:rPr>
          <w:rFonts w:ascii="Times New Roman" w:cs="Times New Roman" w:eastAsia="Times New Roman" w:hAnsi="Times New Roman"/>
          <w:sz w:val="18"/>
          <w:szCs w:val="18"/>
        </w:rPr>
        <w:t xml:space="preserve">, viewed 7 October 2026, &lt;https://docs.soliditylang.org/&gt;.</w:t>
      </w:r>
    </w:p>
    <w:p>
      <w:pPr>
        <w:spacing w:after="80" w:line="240"/>
        <w:ind w:left="560" w:hanging="560"/>
        <w:jc w:val="left"/>
      </w:pPr>
      <w:r>
        <w:rPr>
          <w:rFonts w:ascii="Times New Roman" w:cs="Times New Roman" w:eastAsia="Times New Roman" w:hAnsi="Times New Roman"/>
          <w:sz w:val="18"/>
          <w:szCs w:val="18"/>
        </w:rPr>
        <w:t xml:space="preserve">Ethereum Foundation 2026b, </w:t>
      </w:r>
      <w:r>
        <w:rPr>
          <w:rFonts w:ascii="Times New Roman" w:cs="Times New Roman" w:eastAsia="Times New Roman" w:hAnsi="Times New Roman"/>
          <w:i/>
          <w:iCs/>
          <w:sz w:val="18"/>
          <w:szCs w:val="18"/>
        </w:rPr>
        <w:t xml:space="preserve">Networks</w:t>
      </w:r>
      <w:r>
        <w:rPr>
          <w:rFonts w:ascii="Times New Roman" w:cs="Times New Roman" w:eastAsia="Times New Roman" w:hAnsi="Times New Roman"/>
          <w:sz w:val="18"/>
          <w:szCs w:val="18"/>
        </w:rPr>
        <w:t xml:space="preserve">, ethereum.org developer documentation, viewed 7 October 2026, &lt;https://ethereum.org/en/developers/docs/networks/&gt;.</w:t>
      </w:r>
    </w:p>
    <w:p>
      <w:pPr>
        <w:spacing w:after="80" w:line="240"/>
        <w:ind w:left="560" w:hanging="560"/>
        <w:jc w:val="left"/>
      </w:pPr>
      <w:r>
        <w:rPr>
          <w:rFonts w:ascii="Times New Roman" w:cs="Times New Roman" w:eastAsia="Times New Roman" w:hAnsi="Times New Roman"/>
          <w:sz w:val="18"/>
          <w:szCs w:val="18"/>
        </w:rPr>
        <w:t xml:space="preserve">Ethereum Foundation 2026c, </w:t>
      </w:r>
      <w:r>
        <w:rPr>
          <w:rFonts w:ascii="Times New Roman" w:cs="Times New Roman" w:eastAsia="Times New Roman" w:hAnsi="Times New Roman"/>
          <w:i/>
          <w:iCs/>
          <w:sz w:val="18"/>
          <w:szCs w:val="18"/>
        </w:rPr>
        <w:t xml:space="preserve">Remix IDE documentation</w:t>
      </w:r>
      <w:r>
        <w:rPr>
          <w:rFonts w:ascii="Times New Roman" w:cs="Times New Roman" w:eastAsia="Times New Roman" w:hAnsi="Times New Roman"/>
          <w:sz w:val="18"/>
          <w:szCs w:val="18"/>
        </w:rPr>
        <w:t xml:space="preserve">, viewed 7 October 2026, &lt;https://remix-ide.readthedocs.io/&gt;.</w:t>
      </w:r>
    </w:p>
    <w:p>
      <w:pPr>
        <w:spacing w:after="80" w:line="240"/>
        <w:ind w:left="560" w:hanging="560"/>
        <w:jc w:val="left"/>
      </w:pPr>
      <w:r>
        <w:rPr>
          <w:rFonts w:ascii="Times New Roman" w:cs="Times New Roman" w:eastAsia="Times New Roman" w:hAnsi="Times New Roman"/>
          <w:sz w:val="18"/>
          <w:szCs w:val="18"/>
        </w:rPr>
        <w:t xml:space="preserve">Ferreira, J.C., Correia, R., Rosário, L. &amp; Vila, A. 2025, 'Blockchain integration for trust and consent management in MCP-enabled FHIR systems', </w:t>
      </w:r>
      <w:r>
        <w:rPr>
          <w:rFonts w:ascii="Times New Roman" w:cs="Times New Roman" w:eastAsia="Times New Roman" w:hAnsi="Times New Roman"/>
          <w:i/>
          <w:iCs/>
          <w:sz w:val="18"/>
          <w:szCs w:val="18"/>
        </w:rPr>
        <w:t xml:space="preserve">2025 IEEE International Conference on Distributed Ledger Technologies (ICDLT)</w:t>
      </w:r>
      <w:r>
        <w:rPr>
          <w:rFonts w:ascii="Times New Roman" w:cs="Times New Roman" w:eastAsia="Times New Roman" w:hAnsi="Times New Roman"/>
          <w:sz w:val="18"/>
          <w:szCs w:val="18"/>
        </w:rPr>
        <w:t xml:space="preserve">, pp. 1–10, &lt;https://doi.org/10.1109/ICDLT66400.2025.11466653&gt;.</w:t>
      </w:r>
    </w:p>
    <w:p>
      <w:pPr>
        <w:spacing w:after="80" w:line="240"/>
        <w:ind w:left="560" w:hanging="560"/>
        <w:jc w:val="left"/>
      </w:pPr>
      <w:r>
        <w:rPr>
          <w:rFonts w:ascii="Times New Roman" w:cs="Times New Roman" w:eastAsia="Times New Roman" w:hAnsi="Times New Roman"/>
          <w:sz w:val="18"/>
          <w:szCs w:val="18"/>
        </w:rPr>
        <w:t xml:space="preserve">Flamini, A., Sciarretta, G., Scuro, M., Sharif, A., Tomasi, A. &amp; Ranise, S. 2024, 'On cryptographic mechanisms for the selective disclosure of verifiable credentials', </w:t>
      </w:r>
      <w:r>
        <w:rPr>
          <w:rFonts w:ascii="Times New Roman" w:cs="Times New Roman" w:eastAsia="Times New Roman" w:hAnsi="Times New Roman"/>
          <w:i/>
          <w:iCs/>
          <w:sz w:val="18"/>
          <w:szCs w:val="18"/>
        </w:rPr>
        <w:t xml:space="preserve">Journal of Information Security and Applications</w:t>
      </w:r>
      <w:r>
        <w:rPr>
          <w:rFonts w:ascii="Times New Roman" w:cs="Times New Roman" w:eastAsia="Times New Roman" w:hAnsi="Times New Roman"/>
          <w:sz w:val="18"/>
          <w:szCs w:val="18"/>
        </w:rPr>
        <w:t xml:space="preserve">, vol. 83, p. 103789, &lt;https://doi.org/10.1016/j.jisa.2024.103789&gt;.</w:t>
      </w:r>
    </w:p>
    <w:p>
      <w:pPr>
        <w:spacing w:after="80" w:line="240"/>
        <w:ind w:left="560" w:hanging="560"/>
        <w:jc w:val="left"/>
      </w:pPr>
      <w:r>
        <w:rPr>
          <w:rFonts w:ascii="Times New Roman" w:cs="Times New Roman" w:eastAsia="Times New Roman" w:hAnsi="Times New Roman"/>
          <w:sz w:val="18"/>
          <w:szCs w:val="18"/>
        </w:rPr>
        <w:t xml:space="preserve">Ghafoor, A., Symeonidis, I., Rydberg, A., Lindahl, C. &amp; Abbasi, A.Q. 2025, 'Towards empowering stakeholders through decentralized trust and secure livestock data sharing', </w:t>
      </w:r>
      <w:r>
        <w:rPr>
          <w:rFonts w:ascii="Times New Roman" w:cs="Times New Roman" w:eastAsia="Times New Roman" w:hAnsi="Times New Roman"/>
          <w:i/>
          <w:iCs/>
          <w:sz w:val="18"/>
          <w:szCs w:val="18"/>
        </w:rPr>
        <w:t xml:space="preserve">Cryptography</w:t>
      </w:r>
      <w:r>
        <w:rPr>
          <w:rFonts w:ascii="Times New Roman" w:cs="Times New Roman" w:eastAsia="Times New Roman" w:hAnsi="Times New Roman"/>
          <w:sz w:val="18"/>
          <w:szCs w:val="18"/>
        </w:rPr>
        <w:t xml:space="preserve">, vol. 9, no. 3, p. 52, &lt;https://doi.org/10.3390/cryptography9030052&gt;.</w:t>
      </w:r>
    </w:p>
    <w:p>
      <w:pPr>
        <w:spacing w:after="80" w:line="240"/>
        <w:ind w:left="560" w:hanging="560"/>
        <w:jc w:val="left"/>
      </w:pPr>
      <w:r>
        <w:rPr>
          <w:rFonts w:ascii="Times New Roman" w:cs="Times New Roman" w:eastAsia="Times New Roman" w:hAnsi="Times New Roman"/>
          <w:sz w:val="18"/>
          <w:szCs w:val="18"/>
        </w:rPr>
        <w:t xml:space="preserve">Ghosh, P.K., Chakraborty, A., Hasan, M., Rashid, K. &amp; Siddique, A.H. 2023, 'Blockchain application in healthcare systems: A review', </w:t>
      </w:r>
      <w:r>
        <w:rPr>
          <w:rFonts w:ascii="Times New Roman" w:cs="Times New Roman" w:eastAsia="Times New Roman" w:hAnsi="Times New Roman"/>
          <w:i/>
          <w:iCs/>
          <w:sz w:val="18"/>
          <w:szCs w:val="18"/>
        </w:rPr>
        <w:t xml:space="preserve">Systems</w:t>
      </w:r>
      <w:r>
        <w:rPr>
          <w:rFonts w:ascii="Times New Roman" w:cs="Times New Roman" w:eastAsia="Times New Roman" w:hAnsi="Times New Roman"/>
          <w:sz w:val="18"/>
          <w:szCs w:val="18"/>
        </w:rPr>
        <w:t xml:space="preserve">, vol. 11, no. 1, p. 38, &lt;https://doi.org/10.3390/systems11010038&gt;.</w:t>
      </w:r>
    </w:p>
    <w:p>
      <w:pPr>
        <w:spacing w:after="80" w:line="240"/>
        <w:ind w:left="560" w:hanging="560"/>
        <w:jc w:val="left"/>
      </w:pPr>
      <w:r>
        <w:rPr>
          <w:rFonts w:ascii="Times New Roman" w:cs="Times New Roman" w:eastAsia="Times New Roman" w:hAnsi="Times New Roman"/>
          <w:sz w:val="18"/>
          <w:szCs w:val="18"/>
        </w:rPr>
        <w:t xml:space="preserve">Grassi, L., Khovratovich, D., Rechberger, C., Roy, A. &amp; Schofnegger, M. 2021, 'Poseidon: A new hash function for zero-knowledge proof systems', </w:t>
      </w:r>
      <w:r>
        <w:rPr>
          <w:rFonts w:ascii="Times New Roman" w:cs="Times New Roman" w:eastAsia="Times New Roman" w:hAnsi="Times New Roman"/>
          <w:i/>
          <w:iCs/>
          <w:sz w:val="18"/>
          <w:szCs w:val="18"/>
        </w:rPr>
        <w:t xml:space="preserve">Proceedings of the 30th USENIX Security Symposium</w:t>
      </w:r>
      <w:r>
        <w:rPr>
          <w:rFonts w:ascii="Times New Roman" w:cs="Times New Roman" w:eastAsia="Times New Roman" w:hAnsi="Times New Roman"/>
          <w:sz w:val="18"/>
          <w:szCs w:val="18"/>
        </w:rPr>
        <w:t xml:space="preserve">, pp. 519–535.</w:t>
      </w:r>
    </w:p>
    <w:p>
      <w:pPr>
        <w:spacing w:after="80" w:line="240"/>
        <w:ind w:left="560" w:hanging="560"/>
        <w:jc w:val="left"/>
      </w:pPr>
      <w:r>
        <w:rPr>
          <w:rFonts w:ascii="Times New Roman" w:cs="Times New Roman" w:eastAsia="Times New Roman" w:hAnsi="Times New Roman"/>
          <w:sz w:val="18"/>
          <w:szCs w:val="18"/>
        </w:rPr>
        <w:t xml:space="preserve">Groth, J. 2016, 'On the size of pairing-based non-interactive arguments', </w:t>
      </w:r>
      <w:r>
        <w:rPr>
          <w:rFonts w:ascii="Times New Roman" w:cs="Times New Roman" w:eastAsia="Times New Roman" w:hAnsi="Times New Roman"/>
          <w:i/>
          <w:iCs/>
          <w:sz w:val="18"/>
          <w:szCs w:val="18"/>
        </w:rPr>
        <w:t xml:space="preserve">Advances in Cryptology – EUROCRYPT 2016, LNCS</w:t>
      </w:r>
      <w:r>
        <w:rPr>
          <w:rFonts w:ascii="Times New Roman" w:cs="Times New Roman" w:eastAsia="Times New Roman" w:hAnsi="Times New Roman"/>
          <w:sz w:val="18"/>
          <w:szCs w:val="18"/>
        </w:rPr>
        <w:t xml:space="preserve">, vol. 9666, pp. 305–326, Springer, &lt;https://doi.org/10.1007/978-3-662-49896-5_11&gt;.</w:t>
      </w:r>
    </w:p>
    <w:p>
      <w:pPr>
        <w:spacing w:after="80" w:line="240"/>
        <w:ind w:left="560" w:hanging="560"/>
        <w:jc w:val="left"/>
      </w:pPr>
      <w:r>
        <w:rPr>
          <w:rFonts w:ascii="Times New Roman" w:cs="Times New Roman" w:eastAsia="Times New Roman" w:hAnsi="Times New Roman"/>
          <w:sz w:val="18"/>
          <w:szCs w:val="18"/>
        </w:rPr>
        <w:t xml:space="preserve">Hagström, J., Hägglund, M., Holmroos, M., Lähteenmäki, P. &amp; Hörhammer, I. 2024, 'Minors’ and guardian access to and use of a national patient portal: A retrospective comparative case study of Sweden and Finland', </w:t>
      </w:r>
      <w:r>
        <w:rPr>
          <w:rFonts w:ascii="Times New Roman" w:cs="Times New Roman" w:eastAsia="Times New Roman" w:hAnsi="Times New Roman"/>
          <w:i/>
          <w:iCs/>
          <w:sz w:val="18"/>
          <w:szCs w:val="18"/>
        </w:rPr>
        <w:t xml:space="preserve">International Journal of Medical Informatics</w:t>
      </w:r>
      <w:r>
        <w:rPr>
          <w:rFonts w:ascii="Times New Roman" w:cs="Times New Roman" w:eastAsia="Times New Roman" w:hAnsi="Times New Roman"/>
          <w:sz w:val="18"/>
          <w:szCs w:val="18"/>
        </w:rPr>
        <w:t xml:space="preserve">, vol. 187, p. 105465, &lt;https://doi.org/10.1016/j.ijmedinf.2024.105465&gt;.</w:t>
      </w:r>
    </w:p>
    <w:p>
      <w:pPr>
        <w:spacing w:after="80" w:line="240"/>
        <w:ind w:left="560" w:hanging="560"/>
        <w:jc w:val="left"/>
      </w:pPr>
      <w:r>
        <w:rPr>
          <w:rFonts w:ascii="Times New Roman" w:cs="Times New Roman" w:eastAsia="Times New Roman" w:hAnsi="Times New Roman"/>
          <w:sz w:val="18"/>
          <w:szCs w:val="18"/>
        </w:rPr>
        <w:t xml:space="preserve">Hellstern, R., Park, D.C., Lemieux, V. &amp; Salimjan, G. 2022, 'Leveraging blockchain-based archival solutions for sensitive documentation: A Xinjiang case study', </w:t>
      </w:r>
      <w:r>
        <w:rPr>
          <w:rFonts w:ascii="Times New Roman" w:cs="Times New Roman" w:eastAsia="Times New Roman" w:hAnsi="Times New Roman"/>
          <w:i/>
          <w:iCs/>
          <w:sz w:val="18"/>
          <w:szCs w:val="18"/>
        </w:rPr>
        <w:t xml:space="preserve">Digital Society</w:t>
      </w:r>
      <w:r>
        <w:rPr>
          <w:rFonts w:ascii="Times New Roman" w:cs="Times New Roman" w:eastAsia="Times New Roman" w:hAnsi="Times New Roman"/>
          <w:sz w:val="18"/>
          <w:szCs w:val="18"/>
        </w:rPr>
        <w:t xml:space="preserve">, vol. 1, no. 1, p. 4, &lt;https://doi.org/10.1007/s44206-022-00007-1&gt;.</w:t>
      </w:r>
    </w:p>
    <w:p>
      <w:pPr>
        <w:spacing w:after="80" w:line="240"/>
        <w:ind w:left="560" w:hanging="560"/>
        <w:jc w:val="left"/>
      </w:pPr>
      <w:r>
        <w:rPr>
          <w:rFonts w:ascii="Times New Roman" w:cs="Times New Roman" w:eastAsia="Times New Roman" w:hAnsi="Times New Roman"/>
          <w:sz w:val="18"/>
          <w:szCs w:val="18"/>
        </w:rPr>
        <w:t xml:space="preserve">Hema, S., Reddy, G.B.S. &amp; Shalini, R. 2026, 'Patient centric cryptographic protection of cloud electronic health records', </w:t>
      </w:r>
      <w:r>
        <w:rPr>
          <w:rFonts w:ascii="Times New Roman" w:cs="Times New Roman" w:eastAsia="Times New Roman" w:hAnsi="Times New Roman"/>
          <w:i/>
          <w:iCs/>
          <w:sz w:val="18"/>
          <w:szCs w:val="18"/>
        </w:rPr>
        <w:t xml:space="preserve">2026 6th International Conference on Expert Clouds and Applications (ICOECA)</w:t>
      </w:r>
      <w:r>
        <w:rPr>
          <w:rFonts w:ascii="Times New Roman" w:cs="Times New Roman" w:eastAsia="Times New Roman" w:hAnsi="Times New Roman"/>
          <w:sz w:val="18"/>
          <w:szCs w:val="18"/>
        </w:rPr>
        <w:t xml:space="preserve">, pp. 293–300, &lt;https://doi.org/10.1109/ICOECA68095.2026.11485301&gt;.</w:t>
      </w:r>
    </w:p>
    <w:p>
      <w:pPr>
        <w:spacing w:after="80" w:line="240"/>
        <w:ind w:left="560" w:hanging="560"/>
        <w:jc w:val="left"/>
      </w:pPr>
      <w:r>
        <w:rPr>
          <w:rFonts w:ascii="Times New Roman" w:cs="Times New Roman" w:eastAsia="Times New Roman" w:hAnsi="Times New Roman"/>
          <w:sz w:val="18"/>
          <w:szCs w:val="18"/>
        </w:rPr>
        <w:t xml:space="preserve">HL7 International 2019, </w:t>
      </w:r>
      <w:r>
        <w:rPr>
          <w:rFonts w:ascii="Times New Roman" w:cs="Times New Roman" w:eastAsia="Times New Roman" w:hAnsi="Times New Roman"/>
          <w:i/>
          <w:iCs/>
          <w:sz w:val="18"/>
          <w:szCs w:val="18"/>
        </w:rPr>
        <w:t xml:space="preserve">HL7 FHIR Release 4 (R4)</w:t>
      </w:r>
      <w:r>
        <w:rPr>
          <w:rFonts w:ascii="Times New Roman" w:cs="Times New Roman" w:eastAsia="Times New Roman" w:hAnsi="Times New Roman"/>
          <w:sz w:val="18"/>
          <w:szCs w:val="18"/>
        </w:rPr>
        <w:t xml:space="preserve">, viewed 7 October 2026, &lt;https://hl7.org/fhir/R4/&gt;.</w:t>
      </w:r>
    </w:p>
    <w:p>
      <w:pPr>
        <w:spacing w:after="80" w:line="240"/>
        <w:ind w:left="560" w:hanging="560"/>
        <w:jc w:val="left"/>
      </w:pPr>
      <w:r>
        <w:rPr>
          <w:rFonts w:ascii="Times New Roman" w:cs="Times New Roman" w:eastAsia="Times New Roman" w:hAnsi="Times New Roman"/>
          <w:sz w:val="18"/>
          <w:szCs w:val="18"/>
        </w:rPr>
        <w:t xml:space="preserve">Ibrahim, A.M., Abdel-Aziz, H.R., Mohamed, H.A.H., Zaghamir, D.E.F., Wahba, N.M.I., Hassan, G.A. et al. 2024, 'Balancing confidentiality and care coordination: Challenges in patient privacy', </w:t>
      </w:r>
      <w:r>
        <w:rPr>
          <w:rFonts w:ascii="Times New Roman" w:cs="Times New Roman" w:eastAsia="Times New Roman" w:hAnsi="Times New Roman"/>
          <w:i/>
          <w:iCs/>
          <w:sz w:val="18"/>
          <w:szCs w:val="18"/>
        </w:rPr>
        <w:t xml:space="preserve">BMC Nursing</w:t>
      </w:r>
      <w:r>
        <w:rPr>
          <w:rFonts w:ascii="Times New Roman" w:cs="Times New Roman" w:eastAsia="Times New Roman" w:hAnsi="Times New Roman"/>
          <w:sz w:val="18"/>
          <w:szCs w:val="18"/>
        </w:rPr>
        <w:t xml:space="preserve">, vol. 23, no. 1, p. 564, &lt;https://doi.org/10.1186/s12912-024-02231-1&gt;.</w:t>
      </w:r>
    </w:p>
    <w:p>
      <w:pPr>
        <w:spacing w:after="80" w:line="240"/>
        <w:ind w:left="560" w:hanging="560"/>
        <w:jc w:val="left"/>
      </w:pPr>
      <w:r>
        <w:rPr>
          <w:rFonts w:ascii="Times New Roman" w:cs="Times New Roman" w:eastAsia="Times New Roman" w:hAnsi="Times New Roman"/>
          <w:sz w:val="18"/>
          <w:szCs w:val="18"/>
        </w:rPr>
        <w:t xml:space="preserve">iden3 2026a, </w:t>
      </w:r>
      <w:r>
        <w:rPr>
          <w:rFonts w:ascii="Times New Roman" w:cs="Times New Roman" w:eastAsia="Times New Roman" w:hAnsi="Times New Roman"/>
          <w:i/>
          <w:iCs/>
          <w:sz w:val="18"/>
          <w:szCs w:val="18"/>
        </w:rPr>
        <w:t xml:space="preserve">snarkjs: zkSNARKs implementation in JavaScript</w:t>
      </w:r>
      <w:r>
        <w:rPr>
          <w:rFonts w:ascii="Times New Roman" w:cs="Times New Roman" w:eastAsia="Times New Roman" w:hAnsi="Times New Roman"/>
          <w:sz w:val="18"/>
          <w:szCs w:val="18"/>
        </w:rPr>
        <w:t xml:space="preserve">, version 0.7, npm package, viewed 7 October 2026, &lt;https://www.npmjs.com/package/snarkjs&gt;.</w:t>
      </w:r>
    </w:p>
    <w:p>
      <w:pPr>
        <w:spacing w:after="80" w:line="240"/>
        <w:ind w:left="560" w:hanging="560"/>
        <w:jc w:val="left"/>
      </w:pPr>
      <w:r>
        <w:rPr>
          <w:rFonts w:ascii="Times New Roman" w:cs="Times New Roman" w:eastAsia="Times New Roman" w:hAnsi="Times New Roman"/>
          <w:sz w:val="18"/>
          <w:szCs w:val="18"/>
        </w:rPr>
        <w:t xml:space="preserve">iden3 2026b, </w:t>
      </w:r>
      <w:r>
        <w:rPr>
          <w:rFonts w:ascii="Times New Roman" w:cs="Times New Roman" w:eastAsia="Times New Roman" w:hAnsi="Times New Roman"/>
          <w:i/>
          <w:iCs/>
          <w:sz w:val="18"/>
          <w:szCs w:val="18"/>
        </w:rPr>
        <w:t xml:space="preserve">circom: circuit compiler for zero-knowledge proofs</w:t>
      </w:r>
      <w:r>
        <w:rPr>
          <w:rFonts w:ascii="Times New Roman" w:cs="Times New Roman" w:eastAsia="Times New Roman" w:hAnsi="Times New Roman"/>
          <w:sz w:val="18"/>
          <w:szCs w:val="18"/>
        </w:rPr>
        <w:t xml:space="preserve">, viewed 7 October 2026, &lt;https://docs.circom.io/&gt;.</w:t>
      </w:r>
    </w:p>
    <w:p>
      <w:pPr>
        <w:spacing w:after="80" w:line="240"/>
        <w:ind w:left="560" w:hanging="560"/>
        <w:jc w:val="left"/>
      </w:pPr>
      <w:r>
        <w:rPr>
          <w:rFonts w:ascii="Times New Roman" w:cs="Times New Roman" w:eastAsia="Times New Roman" w:hAnsi="Times New Roman"/>
          <w:sz w:val="18"/>
          <w:szCs w:val="18"/>
        </w:rPr>
        <w:t xml:space="preserve">Jaiman, V. &amp; Urovi, V. 2020, 'A consent model for blockchain-based health data sharing platforms',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143734–143745, &lt;https://doi.org/10.1109/ACCESS.2020.3014565&gt;.</w:t>
      </w:r>
    </w:p>
    <w:p>
      <w:pPr>
        <w:spacing w:after="80" w:line="240"/>
        <w:ind w:left="560" w:hanging="560"/>
        <w:jc w:val="left"/>
      </w:pPr>
      <w:r>
        <w:rPr>
          <w:rFonts w:ascii="Times New Roman" w:cs="Times New Roman" w:eastAsia="Times New Roman" w:hAnsi="Times New Roman"/>
          <w:sz w:val="18"/>
          <w:szCs w:val="18"/>
        </w:rPr>
        <w:t xml:space="preserve">Jesus, V. &amp; Pandit, H.J. 2022, 'Consent receipts for a usable and auditable web of personal data',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28545–28563, &lt;https://doi.org/10.1109/ACCESS.2022.3157850&gt;.</w:t>
      </w:r>
    </w:p>
    <w:p>
      <w:pPr>
        <w:spacing w:after="80" w:line="240"/>
        <w:ind w:left="560" w:hanging="560"/>
        <w:jc w:val="left"/>
      </w:pPr>
      <w:r>
        <w:rPr>
          <w:rFonts w:ascii="Times New Roman" w:cs="Times New Roman" w:eastAsia="Times New Roman" w:hAnsi="Times New Roman"/>
          <w:sz w:val="18"/>
          <w:szCs w:val="18"/>
        </w:rPr>
        <w:t xml:space="preserve">Jiang, R., Chen, X., Yu, Y., Zhang, Y. &amp; Ding, W. 2023, 'Risk and UCON-based access control model for healthcare big data', </w:t>
      </w:r>
      <w:r>
        <w:rPr>
          <w:rFonts w:ascii="Times New Roman" w:cs="Times New Roman" w:eastAsia="Times New Roman" w:hAnsi="Times New Roman"/>
          <w:i/>
          <w:iCs/>
          <w:sz w:val="18"/>
          <w:szCs w:val="18"/>
        </w:rPr>
        <w:t xml:space="preserve">Journal of Big Data</w:t>
      </w:r>
      <w:r>
        <w:rPr>
          <w:rFonts w:ascii="Times New Roman" w:cs="Times New Roman" w:eastAsia="Times New Roman" w:hAnsi="Times New Roman"/>
          <w:sz w:val="18"/>
          <w:szCs w:val="18"/>
        </w:rPr>
        <w:t xml:space="preserve">, vol. 10, no. 1, p. 104, &lt;https://doi.org/10.1186/s40537-023-00783-8&gt;.</w:t>
      </w:r>
    </w:p>
    <w:p>
      <w:pPr>
        <w:spacing w:after="80" w:line="240"/>
        <w:ind w:left="560" w:hanging="560"/>
        <w:jc w:val="left"/>
      </w:pPr>
      <w:r>
        <w:rPr>
          <w:rFonts w:ascii="Times New Roman" w:cs="Times New Roman" w:eastAsia="Times New Roman" w:hAnsi="Times New Roman"/>
          <w:sz w:val="18"/>
          <w:szCs w:val="18"/>
        </w:rPr>
        <w:t xml:space="preserve">Kaplow, K., Downey, M., Stewart, D., Massie, A.B., Motter, J.D., Taylor, L. et al. 2024, 'Data professionals’ attitudes on data privacy, sharing, and consent in healthcare and research', </w:t>
      </w:r>
      <w:r>
        <w:rPr>
          <w:rFonts w:ascii="Times New Roman" w:cs="Times New Roman" w:eastAsia="Times New Roman" w:hAnsi="Times New Roman"/>
          <w:i/>
          <w:iCs/>
          <w:sz w:val="18"/>
          <w:szCs w:val="18"/>
        </w:rPr>
        <w:t xml:space="preserve">Digital Health</w:t>
      </w:r>
      <w:r>
        <w:rPr>
          <w:rFonts w:ascii="Times New Roman" w:cs="Times New Roman" w:eastAsia="Times New Roman" w:hAnsi="Times New Roman"/>
          <w:sz w:val="18"/>
          <w:szCs w:val="18"/>
        </w:rPr>
        <w:t xml:space="preserve">, vol. 10, p. 20552076241290964, &lt;https://doi.org/10.1177/20552076241290964&gt;.</w:t>
      </w:r>
    </w:p>
    <w:p>
      <w:pPr>
        <w:spacing w:after="80" w:line="240"/>
        <w:ind w:left="560" w:hanging="560"/>
        <w:jc w:val="left"/>
      </w:pPr>
      <w:r>
        <w:rPr>
          <w:rFonts w:ascii="Times New Roman" w:cs="Times New Roman" w:eastAsia="Times New Roman" w:hAnsi="Times New Roman"/>
          <w:sz w:val="18"/>
          <w:szCs w:val="18"/>
        </w:rPr>
        <w:t xml:space="preserve">Khalid, M.I., Ahmed, M., Helfert, M. &amp; Kim, J. 2023, 'Privacy-first paradigm for dynamic consent management systems: Empowering data subjects through decentralized data controllers and privacy-preserving techniques',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12, no. 24, p. 4973, &lt;https://doi.org/10.3390/electronics12244973&gt;.</w:t>
      </w:r>
    </w:p>
    <w:p>
      <w:pPr>
        <w:spacing w:after="80" w:line="240"/>
        <w:ind w:left="560" w:hanging="560"/>
        <w:jc w:val="left"/>
      </w:pPr>
      <w:r>
        <w:rPr>
          <w:rFonts w:ascii="Times New Roman" w:cs="Times New Roman" w:eastAsia="Times New Roman" w:hAnsi="Times New Roman"/>
          <w:sz w:val="18"/>
          <w:szCs w:val="18"/>
        </w:rPr>
        <w:t xml:space="preserve">Kharlamov, A., Hohmann, R. &amp; Parry, G. 2023, 'Data sharing decisions: Perceptions and intentions in healthcare', </w:t>
      </w:r>
      <w:r>
        <w:rPr>
          <w:rFonts w:ascii="Times New Roman" w:cs="Times New Roman" w:eastAsia="Times New Roman" w:hAnsi="Times New Roman"/>
          <w:i/>
          <w:iCs/>
          <w:sz w:val="18"/>
          <w:szCs w:val="18"/>
        </w:rPr>
        <w:t xml:space="preserve">Strategic Change</w:t>
      </w:r>
      <w:r>
        <w:rPr>
          <w:rFonts w:ascii="Times New Roman" w:cs="Times New Roman" w:eastAsia="Times New Roman" w:hAnsi="Times New Roman"/>
          <w:sz w:val="18"/>
          <w:szCs w:val="18"/>
        </w:rPr>
        <w:t xml:space="preserve">, vol. 32, no. 6, pp. 223–237, &lt;https://doi.org/10.1002/jsc.2558&gt;.</w:t>
      </w:r>
    </w:p>
    <w:p>
      <w:pPr>
        <w:spacing w:after="80" w:line="240"/>
        <w:ind w:left="560" w:hanging="560"/>
        <w:jc w:val="left"/>
      </w:pPr>
      <w:r>
        <w:rPr>
          <w:rFonts w:ascii="Times New Roman" w:cs="Times New Roman" w:eastAsia="Times New Roman" w:hAnsi="Times New Roman"/>
          <w:sz w:val="18"/>
          <w:szCs w:val="18"/>
        </w:rPr>
        <w:t xml:space="preserve">Khayer, B., Mirzaei, S., Alavizadeh, H. &amp; Salehi Shahraki, A. 2025, 'Blockchain for secure IoT: A review of identity management, access control, and trust mechanisms', </w:t>
      </w:r>
      <w:r>
        <w:rPr>
          <w:rFonts w:ascii="Times New Roman" w:cs="Times New Roman" w:eastAsia="Times New Roman" w:hAnsi="Times New Roman"/>
          <w:i/>
          <w:iCs/>
          <w:sz w:val="18"/>
          <w:szCs w:val="18"/>
        </w:rPr>
        <w:t xml:space="preserve">IoT</w:t>
      </w:r>
      <w:r>
        <w:rPr>
          <w:rFonts w:ascii="Times New Roman" w:cs="Times New Roman" w:eastAsia="Times New Roman" w:hAnsi="Times New Roman"/>
          <w:sz w:val="18"/>
          <w:szCs w:val="18"/>
        </w:rPr>
        <w:t xml:space="preserve">, vol. 6, no. 4, p. 65, &lt;https://doi.org/10.3390/iot6040065&gt;.</w:t>
      </w:r>
    </w:p>
    <w:p>
      <w:pPr>
        <w:spacing w:after="80" w:line="240"/>
        <w:ind w:left="560" w:hanging="560"/>
        <w:jc w:val="left"/>
      </w:pPr>
      <w:r>
        <w:rPr>
          <w:rFonts w:ascii="Times New Roman" w:cs="Times New Roman" w:eastAsia="Times New Roman" w:hAnsi="Times New Roman"/>
          <w:sz w:val="18"/>
          <w:szCs w:val="18"/>
        </w:rPr>
        <w:t xml:space="preserve">Li, L., Liu, C.Z. &amp; Shrestha, S. 2026, 'Analytical entropy approach for measuring blockchain immutability and tamper-resilient trust', </w:t>
      </w:r>
      <w:r>
        <w:rPr>
          <w:rFonts w:ascii="Times New Roman" w:cs="Times New Roman" w:eastAsia="Times New Roman" w:hAnsi="Times New Roman"/>
          <w:i/>
          <w:iCs/>
          <w:sz w:val="18"/>
          <w:szCs w:val="18"/>
        </w:rPr>
        <w:t xml:space="preserve">Entropy</w:t>
      </w:r>
      <w:r>
        <w:rPr>
          <w:rFonts w:ascii="Times New Roman" w:cs="Times New Roman" w:eastAsia="Times New Roman" w:hAnsi="Times New Roman"/>
          <w:sz w:val="18"/>
          <w:szCs w:val="18"/>
        </w:rPr>
        <w:t xml:space="preserve">, vol. 28, no. 6, p. 690, &lt;https://doi.org/10.3390/e28060690&gt;.</w:t>
      </w:r>
    </w:p>
    <w:p>
      <w:pPr>
        <w:spacing w:after="80" w:line="240"/>
        <w:ind w:left="560" w:hanging="560"/>
        <w:jc w:val="left"/>
      </w:pPr>
      <w:r>
        <w:rPr>
          <w:rFonts w:ascii="Times New Roman" w:cs="Times New Roman" w:eastAsia="Times New Roman" w:hAnsi="Times New Roman"/>
          <w:sz w:val="18"/>
          <w:szCs w:val="18"/>
        </w:rPr>
        <w:t xml:space="preserve">Li, H., Li, D., Lv, G., Crespi, N., Minerva, R., Shao, W. et al. 2026a, 'Privacy-preserving fine-grained EMR access control for IoMT: A hybrid RBAC-smart contract scheme with attribute-based authorization',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2, pp. 2970–2987, &lt;https://doi.org/10.1109/JIOT.2025.3633504&gt;.</w:t>
      </w:r>
    </w:p>
    <w:p>
      <w:pPr>
        <w:spacing w:after="80" w:line="240"/>
        <w:ind w:left="560" w:hanging="560"/>
        <w:jc w:val="left"/>
      </w:pPr>
      <w:r>
        <w:rPr>
          <w:rFonts w:ascii="Times New Roman" w:cs="Times New Roman" w:eastAsia="Times New Roman" w:hAnsi="Times New Roman"/>
          <w:sz w:val="18"/>
          <w:szCs w:val="18"/>
        </w:rPr>
        <w:t xml:space="preserve">Li, L., Liu, C.Z., Huang, K., Deng, R., Alrowaily, M.A., Alghamdi, M. et al. 2026b, 'Trust-aware environmental state consensus for smart agriculture with TEE-enabled sensing and Byzantine-resilient blockchain coordination',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26, no. 14, p. 4577, &lt;https://doi.org/10.3390/s26144577&gt;.</w:t>
      </w:r>
    </w:p>
    <w:p>
      <w:pPr>
        <w:spacing w:after="80" w:line="240"/>
        <w:ind w:left="560" w:hanging="560"/>
        <w:jc w:val="left"/>
      </w:pPr>
      <w:r>
        <w:rPr>
          <w:rFonts w:ascii="Times New Roman" w:cs="Times New Roman" w:eastAsia="Times New Roman" w:hAnsi="Times New Roman"/>
          <w:sz w:val="18"/>
          <w:szCs w:val="18"/>
        </w:rPr>
        <w:t xml:space="preserve">Lomotey, R.K., Kumi, S. &amp; Deters, R. 2022, 'Data trusts as a service: Providing a platform for multi-party data sharing', </w:t>
      </w:r>
      <w:r>
        <w:rPr>
          <w:rFonts w:ascii="Times New Roman" w:cs="Times New Roman" w:eastAsia="Times New Roman" w:hAnsi="Times New Roman"/>
          <w:i/>
          <w:iCs/>
          <w:sz w:val="18"/>
          <w:szCs w:val="18"/>
        </w:rPr>
        <w:t xml:space="preserve">International Journal of Information Management Data Insights</w:t>
      </w:r>
      <w:r>
        <w:rPr>
          <w:rFonts w:ascii="Times New Roman" w:cs="Times New Roman" w:eastAsia="Times New Roman" w:hAnsi="Times New Roman"/>
          <w:sz w:val="18"/>
          <w:szCs w:val="18"/>
        </w:rPr>
        <w:t xml:space="preserve">, vol. 2, no. 1, p. 100075, &lt;https://doi.org/10.1016/j.jjimei.2022.100075&gt;.</w:t>
      </w:r>
    </w:p>
    <w:p>
      <w:pPr>
        <w:spacing w:after="80" w:line="240"/>
        <w:ind w:left="560" w:hanging="560"/>
        <w:jc w:val="left"/>
      </w:pPr>
      <w:r>
        <w:rPr>
          <w:rFonts w:ascii="Times New Roman" w:cs="Times New Roman" w:eastAsia="Times New Roman" w:hAnsi="Times New Roman"/>
          <w:sz w:val="18"/>
          <w:szCs w:val="18"/>
        </w:rPr>
        <w:t xml:space="preserve">Madine, M.M., Salah, K., Jayaraman, R., Yaqoob, I., Al-Hammadi, Y., Ellahham, S. et al. 2020, 'Fully decentralized multi-party consent management for secure sharing of patient health records',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225777–225791, &lt;https://doi.org/10.1109/ACCESS.2020.3045048&gt;.</w:t>
      </w:r>
    </w:p>
    <w:p>
      <w:pPr>
        <w:spacing w:after="80" w:line="240"/>
        <w:ind w:left="560" w:hanging="560"/>
        <w:jc w:val="left"/>
      </w:pPr>
      <w:r>
        <w:rPr>
          <w:rFonts w:ascii="Times New Roman" w:cs="Times New Roman" w:eastAsia="Times New Roman" w:hAnsi="Times New Roman"/>
          <w:sz w:val="18"/>
          <w:szCs w:val="18"/>
        </w:rPr>
        <w:t xml:space="preserve">Maruthi, V. &amp; Singh, K. 2025, 'Enhancing security and privacy of IoMT data for unconscious patient with blockchain', </w:t>
      </w:r>
      <w:r>
        <w:rPr>
          <w:rFonts w:ascii="Times New Roman" w:cs="Times New Roman" w:eastAsia="Times New Roman" w:hAnsi="Times New Roman"/>
          <w:i/>
          <w:iCs/>
          <w:sz w:val="18"/>
          <w:szCs w:val="18"/>
        </w:rPr>
        <w:t xml:space="preserve">IEEE Transactions on Network and Service Management</w:t>
      </w:r>
      <w:r>
        <w:rPr>
          <w:rFonts w:ascii="Times New Roman" w:cs="Times New Roman" w:eastAsia="Times New Roman" w:hAnsi="Times New Roman"/>
          <w:sz w:val="18"/>
          <w:szCs w:val="18"/>
        </w:rPr>
        <w:t xml:space="preserve">, vol. 22, no. 6, pp. 5223–5238, &lt;https://doi.org/10.1109/TNSM.2025.3602117&gt;.</w:t>
      </w:r>
    </w:p>
    <w:p>
      <w:pPr>
        <w:spacing w:after="80" w:line="240"/>
        <w:ind w:left="560" w:hanging="560"/>
        <w:jc w:val="left"/>
      </w:pPr>
      <w:r>
        <w:rPr>
          <w:rFonts w:ascii="Times New Roman" w:cs="Times New Roman" w:eastAsia="Times New Roman" w:hAnsi="Times New Roman"/>
          <w:sz w:val="18"/>
          <w:szCs w:val="18"/>
        </w:rPr>
        <w:t xml:space="preserve">Mazzocca, C., Acar, A., Uluagac, A.S., Montanari, R., Bellavista, P. &amp; Conti, M. 2025, 'A survey on decentralized identifiers and verifiable credentials',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27, no. 6, pp. 3641–3671, &lt;https://doi.org/10.1109/COMST.2025.3543197&gt;.</w:t>
      </w:r>
    </w:p>
    <w:p>
      <w:pPr>
        <w:spacing w:after="80" w:line="240"/>
        <w:ind w:left="560" w:hanging="560"/>
        <w:jc w:val="left"/>
      </w:pPr>
      <w:r>
        <w:rPr>
          <w:rFonts w:ascii="Times New Roman" w:cs="Times New Roman" w:eastAsia="Times New Roman" w:hAnsi="Times New Roman"/>
          <w:sz w:val="18"/>
          <w:szCs w:val="18"/>
        </w:rPr>
        <w:t xml:space="preserve">McClelland, R. &amp; Harper, C.M. 2023, 'Information privacy in healthcare — the vital role of informed consent', </w:t>
      </w:r>
      <w:r>
        <w:rPr>
          <w:rFonts w:ascii="Times New Roman" w:cs="Times New Roman" w:eastAsia="Times New Roman" w:hAnsi="Times New Roman"/>
          <w:i/>
          <w:iCs/>
          <w:sz w:val="18"/>
          <w:szCs w:val="18"/>
        </w:rPr>
        <w:t xml:space="preserve">European Journal of Health Law</w:t>
      </w:r>
      <w:r>
        <w:rPr>
          <w:rFonts w:ascii="Times New Roman" w:cs="Times New Roman" w:eastAsia="Times New Roman" w:hAnsi="Times New Roman"/>
          <w:sz w:val="18"/>
          <w:szCs w:val="18"/>
        </w:rPr>
        <w:t xml:space="preserve">, vol. 30, no. 4, pp. 469–480, &lt;https://doi.org/10.1163/15718093-bja10097&gt;.</w:t>
      </w:r>
    </w:p>
    <w:p>
      <w:pPr>
        <w:spacing w:after="80" w:line="240"/>
        <w:ind w:left="560" w:hanging="560"/>
        <w:jc w:val="left"/>
      </w:pPr>
      <w:r>
        <w:rPr>
          <w:rFonts w:ascii="Times New Roman" w:cs="Times New Roman" w:eastAsia="Times New Roman" w:hAnsi="Times New Roman"/>
          <w:sz w:val="18"/>
          <w:szCs w:val="18"/>
        </w:rPr>
        <w:t xml:space="preserve">Mei, L., Huang, K., Li, X., Wang, H. &amp; Zhang, X. 2026, 'Efficient dual-revocation CP-ABE for secure and fine-grained data sharing in IoMT',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14, pp. 30933–30940, &lt;https://doi.org/10.1109/JIOT.2026.3685269&gt;.</w:t>
      </w:r>
    </w:p>
    <w:p>
      <w:pPr>
        <w:spacing w:after="80" w:line="240"/>
        <w:ind w:left="560" w:hanging="560"/>
        <w:jc w:val="left"/>
      </w:pPr>
      <w:r>
        <w:rPr>
          <w:rFonts w:ascii="Times New Roman" w:cs="Times New Roman" w:eastAsia="Times New Roman" w:hAnsi="Times New Roman"/>
          <w:sz w:val="18"/>
          <w:szCs w:val="18"/>
        </w:rPr>
        <w:t xml:space="preserve">Ménétrey, J., Göttel, C., Khurshid, A., Pasin, M., Felber, P., Schiavoni, V. et al. 2022, 'Attestation mechanisms for trusted execution environments demystified', </w:t>
      </w:r>
      <w:r>
        <w:rPr>
          <w:rFonts w:ascii="Times New Roman" w:cs="Times New Roman" w:eastAsia="Times New Roman" w:hAnsi="Times New Roman"/>
          <w:i/>
          <w:iCs/>
          <w:sz w:val="18"/>
          <w:szCs w:val="18"/>
        </w:rPr>
        <w:t xml:space="preserve">IFIP International Conference on Distributed Applications and Interoperable Systems (DAIS 2022), LNCS</w:t>
      </w:r>
      <w:r>
        <w:rPr>
          <w:rFonts w:ascii="Times New Roman" w:cs="Times New Roman" w:eastAsia="Times New Roman" w:hAnsi="Times New Roman"/>
          <w:sz w:val="18"/>
          <w:szCs w:val="18"/>
        </w:rPr>
        <w:t xml:space="preserve">, vol. 13272, pp. 95–113, Springer, &lt;https://doi.org/10.1007/978-3-031-16092-9_7&gt;.</w:t>
      </w:r>
    </w:p>
    <w:p>
      <w:pPr>
        <w:spacing w:after="80" w:line="240"/>
        <w:ind w:left="560" w:hanging="560"/>
        <w:jc w:val="left"/>
      </w:pPr>
      <w:r>
        <w:rPr>
          <w:rFonts w:ascii="Times New Roman" w:cs="Times New Roman" w:eastAsia="Times New Roman" w:hAnsi="Times New Roman"/>
          <w:sz w:val="18"/>
          <w:szCs w:val="18"/>
        </w:rPr>
        <w:t xml:space="preserve">Narkhede, M.R., Wankhede, N.I. &amp; Kamble, A.M. 2025, 'Enhancing patient autonomy in data ownership: Privacy models and consent frameworks for healthcare', </w:t>
      </w:r>
      <w:r>
        <w:rPr>
          <w:rFonts w:ascii="Times New Roman" w:cs="Times New Roman" w:eastAsia="Times New Roman" w:hAnsi="Times New Roman"/>
          <w:i/>
          <w:iCs/>
          <w:sz w:val="18"/>
          <w:szCs w:val="18"/>
        </w:rPr>
        <w:t xml:space="preserve">Journal of Digital Health</w:t>
      </w:r>
      <w:r>
        <w:rPr>
          <w:rFonts w:ascii="Times New Roman" w:cs="Times New Roman" w:eastAsia="Times New Roman" w:hAnsi="Times New Roman"/>
          <w:sz w:val="18"/>
          <w:szCs w:val="18"/>
        </w:rPr>
        <w:t xml:space="preserve">, vol. 4, no. 1, pp. 1–23, &lt;https://doi.org/10.55976/jdh.4202513361-23&gt;.</w:t>
      </w:r>
    </w:p>
    <w:p>
      <w:pPr>
        <w:spacing w:after="80" w:line="240"/>
        <w:ind w:left="560" w:hanging="560"/>
        <w:jc w:val="left"/>
      </w:pPr>
      <w:r>
        <w:rPr>
          <w:rFonts w:ascii="Times New Roman" w:cs="Times New Roman" w:eastAsia="Times New Roman" w:hAnsi="Times New Roman"/>
          <w:sz w:val="18"/>
          <w:szCs w:val="18"/>
        </w:rPr>
        <w:t xml:space="preserve">Nassar Kyriakidou, C.D., Papathanasiou, A.M. &amp; Polyzos, G.C. 2023, 'Decentralized identity with applications to security and privacy for the internet of things', </w:t>
      </w:r>
      <w:r>
        <w:rPr>
          <w:rFonts w:ascii="Times New Roman" w:cs="Times New Roman" w:eastAsia="Times New Roman" w:hAnsi="Times New Roman"/>
          <w:i/>
          <w:iCs/>
          <w:sz w:val="18"/>
          <w:szCs w:val="18"/>
        </w:rPr>
        <w:t xml:space="preserve">Computer Networks and Communications</w:t>
      </w:r>
      <w:r>
        <w:rPr>
          <w:rFonts w:ascii="Times New Roman" w:cs="Times New Roman" w:eastAsia="Times New Roman" w:hAnsi="Times New Roman"/>
          <w:sz w:val="18"/>
          <w:szCs w:val="18"/>
        </w:rPr>
        <w:t xml:space="preserve">, vol. 1, no. 2, pp. 244–271, &lt;https://doi.org/10.37256/cnc.1220233048&gt;.</w:t>
      </w:r>
    </w:p>
    <w:p>
      <w:pPr>
        <w:spacing w:after="80" w:line="240"/>
        <w:ind w:left="560" w:hanging="560"/>
        <w:jc w:val="left"/>
      </w:pPr>
      <w:r>
        <w:rPr>
          <w:rFonts w:ascii="Times New Roman" w:cs="Times New Roman" w:eastAsia="Times New Roman" w:hAnsi="Times New Roman"/>
          <w:sz w:val="18"/>
          <w:szCs w:val="18"/>
        </w:rPr>
        <w:t xml:space="preserve">Nazir, A., Rehmani, M.H., Butler, B. &amp; O’Shea, D. 2026, 'Access control in healthcare IoT: A comprehensive survey', </w:t>
      </w:r>
      <w:r>
        <w:rPr>
          <w:rFonts w:ascii="Times New Roman" w:cs="Times New Roman" w:eastAsia="Times New Roman" w:hAnsi="Times New Roman"/>
          <w:i/>
          <w:iCs/>
          <w:sz w:val="18"/>
          <w:szCs w:val="18"/>
        </w:rPr>
        <w:t xml:space="preserve">Engineering Reports</w:t>
      </w:r>
      <w:r>
        <w:rPr>
          <w:rFonts w:ascii="Times New Roman" w:cs="Times New Roman" w:eastAsia="Times New Roman" w:hAnsi="Times New Roman"/>
          <w:sz w:val="18"/>
          <w:szCs w:val="18"/>
        </w:rPr>
        <w:t xml:space="preserve">, vol. 8, no. 4, p. e70766, &lt;https://doi.org/10.1002/eng2.70766&gt;.</w:t>
      </w:r>
    </w:p>
    <w:p>
      <w:pPr>
        <w:spacing w:after="80" w:line="240"/>
        <w:ind w:left="560" w:hanging="560"/>
        <w:jc w:val="left"/>
      </w:pPr>
      <w:r>
        <w:rPr>
          <w:rFonts w:ascii="Times New Roman" w:cs="Times New Roman" w:eastAsia="Times New Roman" w:hAnsi="Times New Roman"/>
          <w:sz w:val="18"/>
          <w:szCs w:val="18"/>
        </w:rPr>
        <w:t xml:space="preserve">Nguyen, T.L., Nguyen, L., Hoang, T., Bandara, D., Wang, Q., Lu, Q. et al. 2025, 'Blockchain-empowered trustworthy data sharing: Fundamentals, applications, and challenges', </w:t>
      </w:r>
      <w:r>
        <w:rPr>
          <w:rFonts w:ascii="Times New Roman" w:cs="Times New Roman" w:eastAsia="Times New Roman" w:hAnsi="Times New Roman"/>
          <w:i/>
          <w:iCs/>
          <w:sz w:val="18"/>
          <w:szCs w:val="18"/>
        </w:rPr>
        <w:t xml:space="preserve">ACM Computing Surveys</w:t>
      </w:r>
      <w:r>
        <w:rPr>
          <w:rFonts w:ascii="Times New Roman" w:cs="Times New Roman" w:eastAsia="Times New Roman" w:hAnsi="Times New Roman"/>
          <w:sz w:val="18"/>
          <w:szCs w:val="18"/>
        </w:rPr>
        <w:t xml:space="preserve">, vol. 57, no. 8, p. 195, &lt;https://doi.org/10.1145/3718082&gt;.</w:t>
      </w:r>
    </w:p>
    <w:p>
      <w:pPr>
        <w:spacing w:after="80" w:line="240"/>
        <w:ind w:left="560" w:hanging="560"/>
        <w:jc w:val="left"/>
      </w:pPr>
      <w:r>
        <w:rPr>
          <w:rFonts w:ascii="Times New Roman" w:cs="Times New Roman" w:eastAsia="Times New Roman" w:hAnsi="Times New Roman"/>
          <w:sz w:val="18"/>
          <w:szCs w:val="18"/>
        </w:rPr>
        <w:t xml:space="preserve">Page, M.J., McKenzie, J.E., Bossuyt, P.M., Boutron, I., Hoffmann, T.C., Mulrow, C.D. et al. 2021, 'The PRISMA 2020 statement: An updated guideline for reporting systematic reviews', </w:t>
      </w:r>
      <w:r>
        <w:rPr>
          <w:rFonts w:ascii="Times New Roman" w:cs="Times New Roman" w:eastAsia="Times New Roman" w:hAnsi="Times New Roman"/>
          <w:i/>
          <w:iCs/>
          <w:sz w:val="18"/>
          <w:szCs w:val="18"/>
        </w:rPr>
        <w:t xml:space="preserve">BMJ</w:t>
      </w:r>
      <w:r>
        <w:rPr>
          <w:rFonts w:ascii="Times New Roman" w:cs="Times New Roman" w:eastAsia="Times New Roman" w:hAnsi="Times New Roman"/>
          <w:sz w:val="18"/>
          <w:szCs w:val="18"/>
        </w:rPr>
        <w:t xml:space="preserve">, vol. 372, p. n71, &lt;https://doi.org/10.1136/bmj.n71&gt;.</w:t>
      </w:r>
    </w:p>
    <w:p>
      <w:pPr>
        <w:spacing w:after="80" w:line="240"/>
        <w:ind w:left="560" w:hanging="560"/>
        <w:jc w:val="left"/>
      </w:pPr>
      <w:r>
        <w:rPr>
          <w:rFonts w:ascii="Times New Roman" w:cs="Times New Roman" w:eastAsia="Times New Roman" w:hAnsi="Times New Roman"/>
          <w:sz w:val="18"/>
          <w:szCs w:val="18"/>
        </w:rPr>
        <w:t xml:space="preserve">Panagoulias, D.P., Damian, A.I., Stamate, C., Toderian, V., Butusina, P., De Franceschi, A. et al. 2026, 'Blockchain-enabled trust and compliance for clinical AI: Decentralized governance without decentralized data storage',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15, no. 14, p. 3046, &lt;https://doi.org/10.3390/electronics15143046&gt;.</w:t>
      </w:r>
    </w:p>
    <w:p>
      <w:pPr>
        <w:spacing w:after="80" w:line="240"/>
        <w:ind w:left="560" w:hanging="560"/>
        <w:jc w:val="left"/>
      </w:pPr>
      <w:r>
        <w:rPr>
          <w:rFonts w:ascii="Times New Roman" w:cs="Times New Roman" w:eastAsia="Times New Roman" w:hAnsi="Times New Roman"/>
          <w:sz w:val="18"/>
          <w:szCs w:val="18"/>
        </w:rPr>
        <w:t xml:space="preserve">Parameswarath, R.P., Gope, P. &amp; Sikdar, B. 2022, 'User-empowered privacy-preserving authentication protocol for electric vehicle charging based on decentralized identity and verifiable credential', </w:t>
      </w:r>
      <w:r>
        <w:rPr>
          <w:rFonts w:ascii="Times New Roman" w:cs="Times New Roman" w:eastAsia="Times New Roman" w:hAnsi="Times New Roman"/>
          <w:i/>
          <w:iCs/>
          <w:sz w:val="18"/>
          <w:szCs w:val="18"/>
        </w:rPr>
        <w:t xml:space="preserve">ACM Transactions on Management Information Systems</w:t>
      </w:r>
      <w:r>
        <w:rPr>
          <w:rFonts w:ascii="Times New Roman" w:cs="Times New Roman" w:eastAsia="Times New Roman" w:hAnsi="Times New Roman"/>
          <w:sz w:val="18"/>
          <w:szCs w:val="18"/>
        </w:rPr>
        <w:t xml:space="preserve">, vol. 13, no. 4, p. 44, &lt;https://doi.org/10.1145/3532869&gt;.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2026a, 'A blockchain-based architecture for dynamic and auditable patient consent in secondary use of health data', </w:t>
      </w:r>
      <w:r>
        <w:rPr>
          <w:rFonts w:ascii="Times New Roman" w:cs="Times New Roman" w:eastAsia="Times New Roman" w:hAnsi="Times New Roman"/>
          <w:i/>
          <w:iCs/>
          <w:sz w:val="18"/>
          <w:szCs w:val="18"/>
        </w:rPr>
        <w:t xml:space="preserve">Blockchain in Healthcare Today</w:t>
      </w:r>
      <w:r>
        <w:rPr>
          <w:rFonts w:ascii="Times New Roman" w:cs="Times New Roman" w:eastAsia="Times New Roman" w:hAnsi="Times New Roman"/>
          <w:sz w:val="18"/>
          <w:szCs w:val="18"/>
        </w:rPr>
        <w:t xml:space="preserve">, vol. 9, no. 1, p. 491, &lt;https://doi.org/10.30953/bhty.v9.491&gt;.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2026b, 'Enabling cross-institution health data sharing in Norway: EUDI wallets, on-chain consent, and openEHR↔FHIR translation',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20309–20327, &lt;https://doi.org/10.1109/ACCESS.2026.3661642&gt;.</w:t>
      </w:r>
    </w:p>
    <w:p>
      <w:pPr>
        <w:spacing w:after="80" w:line="240"/>
        <w:ind w:left="560" w:hanging="560"/>
        <w:jc w:val="left"/>
      </w:pPr>
      <w:r>
        <w:rPr>
          <w:rFonts w:ascii="Times New Roman" w:cs="Times New Roman" w:eastAsia="Times New Roman" w:hAnsi="Times New Roman"/>
          <w:sz w:val="18"/>
          <w:szCs w:val="18"/>
        </w:rPr>
        <w:t xml:space="preserve">Prashanth, M.S., Karnati, R., Velpuru, M.S. &amp; Venkateshwara Reddy, H. 2024, 'Enhancing health record security and privacy with blockchain-based access management', </w:t>
      </w:r>
      <w:r>
        <w:rPr>
          <w:rFonts w:ascii="Times New Roman" w:cs="Times New Roman" w:eastAsia="Times New Roman" w:hAnsi="Times New Roman"/>
          <w:i/>
          <w:iCs/>
          <w:sz w:val="18"/>
          <w:szCs w:val="18"/>
        </w:rPr>
        <w:t xml:space="preserve">Pervasive Knowledge and Collective Intelligence on Web and Social Media (PerSOM 2023), LNICST</w:t>
      </w:r>
      <w:r>
        <w:rPr>
          <w:rFonts w:ascii="Times New Roman" w:cs="Times New Roman" w:eastAsia="Times New Roman" w:hAnsi="Times New Roman"/>
          <w:sz w:val="18"/>
          <w:szCs w:val="18"/>
        </w:rPr>
        <w:t xml:space="preserve">, vol. 517, pp. 182–202, Springer, &lt;https://doi.org/10.1007/978-3-031-66044-3_13&gt;.</w:t>
      </w:r>
    </w:p>
    <w:p>
      <w:pPr>
        <w:spacing w:after="80" w:line="240"/>
        <w:ind w:left="560" w:hanging="560"/>
        <w:jc w:val="left"/>
      </w:pPr>
      <w:r>
        <w:rPr>
          <w:rFonts w:ascii="Times New Roman" w:cs="Times New Roman" w:eastAsia="Times New Roman" w:hAnsi="Times New Roman"/>
          <w:sz w:val="18"/>
          <w:szCs w:val="18"/>
        </w:rPr>
        <w:t xml:space="preserve">Punia, A., Gulia, P., Gill, N.S., Kaushik, D., Alduaiji, N., Shukla, P.K. et al. 2025, 'An access control system for cloud-based healthcare systems driven by blockchain', </w:t>
      </w:r>
      <w:r>
        <w:rPr>
          <w:rFonts w:ascii="Times New Roman" w:cs="Times New Roman" w:eastAsia="Times New Roman" w:hAnsi="Times New Roman"/>
          <w:i/>
          <w:iCs/>
          <w:sz w:val="18"/>
          <w:szCs w:val="18"/>
        </w:rPr>
        <w:t xml:space="preserve">Journal of Cloud Computing</w:t>
      </w:r>
      <w:r>
        <w:rPr>
          <w:rFonts w:ascii="Times New Roman" w:cs="Times New Roman" w:eastAsia="Times New Roman" w:hAnsi="Times New Roman"/>
          <w:sz w:val="18"/>
          <w:szCs w:val="18"/>
        </w:rPr>
        <w:t xml:space="preserve">, vol. 14, no. 1, p. 78, &lt;https://doi.org/10.1186/s13677-025-00831-z&gt;.</w:t>
      </w:r>
    </w:p>
    <w:p>
      <w:pPr>
        <w:spacing w:after="80" w:line="240"/>
        <w:ind w:left="560" w:hanging="560"/>
        <w:jc w:val="left"/>
      </w:pPr>
      <w:r>
        <w:rPr>
          <w:rFonts w:ascii="Times New Roman" w:cs="Times New Roman" w:eastAsia="Times New Roman" w:hAnsi="Times New Roman"/>
          <w:sz w:val="18"/>
          <w:szCs w:val="18"/>
        </w:rPr>
        <w:t xml:space="preserve">Román-Martínez, I., Calvillo-Arbizu, J., Mayor-Gallego, V.J., Madinabeitia-Luque, G., Estepa-Alonso, A.J. &amp; Estepa-Alonso, R.M. 2023, 'Blockchain-based service-oriented architecture for consent management, access control, and auditing',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12727–12741, &lt;https://doi.org/10.1109/ACCESS.2023.3242605&gt;.</w:t>
      </w:r>
    </w:p>
    <w:p>
      <w:pPr>
        <w:spacing w:after="80" w:line="240"/>
        <w:ind w:left="560" w:hanging="560"/>
        <w:jc w:val="left"/>
      </w:pPr>
      <w:r>
        <w:rPr>
          <w:rFonts w:ascii="Times New Roman" w:cs="Times New Roman" w:eastAsia="Times New Roman" w:hAnsi="Times New Roman"/>
          <w:sz w:val="18"/>
          <w:szCs w:val="18"/>
        </w:rPr>
        <w:t xml:space="preserve">Sawant, N.M. &amp; Gomes, J. 2026, 'A decentralized solution for smarter and safer healthcare systems with FabricMedChain', </w:t>
      </w:r>
      <w:r>
        <w:rPr>
          <w:rFonts w:ascii="Times New Roman" w:cs="Times New Roman" w:eastAsia="Times New Roman" w:hAnsi="Times New Roman"/>
          <w:i/>
          <w:iCs/>
          <w:sz w:val="18"/>
          <w:szCs w:val="18"/>
        </w:rPr>
        <w:t xml:space="preserve">Iranian Journal of Science and Technology, Transactions of Electrical Engineering</w:t>
      </w:r>
      <w:r>
        <w:rPr>
          <w:rFonts w:ascii="Times New Roman" w:cs="Times New Roman" w:eastAsia="Times New Roman" w:hAnsi="Times New Roman"/>
          <w:sz w:val="18"/>
          <w:szCs w:val="18"/>
        </w:rPr>
        <w:t xml:space="preserve">, vol. 50, pp. 2843–2869, &lt;https://doi.org/10.1007/s40998-025-00994-0&gt;.</w:t>
      </w:r>
    </w:p>
    <w:p>
      <w:pPr>
        <w:spacing w:after="80" w:line="240"/>
        <w:ind w:left="560" w:hanging="560"/>
        <w:jc w:val="left"/>
      </w:pPr>
      <w:r>
        <w:rPr>
          <w:rFonts w:ascii="Times New Roman" w:cs="Times New Roman" w:eastAsia="Times New Roman" w:hAnsi="Times New Roman"/>
          <w:sz w:val="18"/>
          <w:szCs w:val="18"/>
        </w:rPr>
        <w:t xml:space="preserve">Shanmugham, M. &amp; Senthilkumar, C. 2026, 'Blockchain enabled self-sovereign identity and consent framework for secure healthcare data access', </w:t>
      </w:r>
      <w:r>
        <w:rPr>
          <w:rFonts w:ascii="Times New Roman" w:cs="Times New Roman" w:eastAsia="Times New Roman" w:hAnsi="Times New Roman"/>
          <w:i/>
          <w:iCs/>
          <w:sz w:val="18"/>
          <w:szCs w:val="18"/>
        </w:rPr>
        <w:t xml:space="preserve">2026 3rd International Conference on Emerging Trends in Engineering and Medical Sciences (ICETEMS)</w:t>
      </w:r>
      <w:r>
        <w:rPr>
          <w:rFonts w:ascii="Times New Roman" w:cs="Times New Roman" w:eastAsia="Times New Roman" w:hAnsi="Times New Roman"/>
          <w:sz w:val="18"/>
          <w:szCs w:val="18"/>
        </w:rPr>
        <w:t xml:space="preserve">, pp. 1–6, &lt;https://doi.org/10.1109/ICETEMS66917.2026.11469586&gt;.</w:t>
      </w:r>
    </w:p>
    <w:p>
      <w:pPr>
        <w:spacing w:after="80" w:line="240"/>
        <w:ind w:left="560" w:hanging="560"/>
        <w:jc w:val="left"/>
      </w:pPr>
      <w:r>
        <w:rPr>
          <w:rFonts w:ascii="Times New Roman" w:cs="Times New Roman" w:eastAsia="Times New Roman" w:hAnsi="Times New Roman"/>
          <w:sz w:val="18"/>
          <w:szCs w:val="18"/>
        </w:rPr>
        <w:t xml:space="preserve">SooHoo, S.L., Keller, M.S., Chen, Y., Hu, D., Huang, S.-C., Kuo, T.-T. et al. 2026, 'Development of the authentication and authorization processes for the iAgree portal, a platform for patient-controlled data sharing across health systems', </w:t>
      </w:r>
      <w:r>
        <w:rPr>
          <w:rFonts w:ascii="Times New Roman" w:cs="Times New Roman" w:eastAsia="Times New Roman" w:hAnsi="Times New Roman"/>
          <w:i/>
          <w:iCs/>
          <w:sz w:val="18"/>
          <w:szCs w:val="18"/>
        </w:rPr>
        <w:t xml:space="preserve">JAMIA Open</w:t>
      </w:r>
      <w:r>
        <w:rPr>
          <w:rFonts w:ascii="Times New Roman" w:cs="Times New Roman" w:eastAsia="Times New Roman" w:hAnsi="Times New Roman"/>
          <w:sz w:val="18"/>
          <w:szCs w:val="18"/>
        </w:rPr>
        <w:t xml:space="preserve">, vol. 9, no. 3, p. ooag111, &lt;https://doi.org/10.1093/jamiaopen/ooag111&gt;.</w:t>
      </w:r>
    </w:p>
    <w:p>
      <w:pPr>
        <w:spacing w:after="80" w:line="240"/>
        <w:ind w:left="560" w:hanging="560"/>
        <w:jc w:val="left"/>
      </w:pPr>
      <w:r>
        <w:rPr>
          <w:rFonts w:ascii="Times New Roman" w:cs="Times New Roman" w:eastAsia="Times New Roman" w:hAnsi="Times New Roman"/>
          <w:sz w:val="18"/>
          <w:szCs w:val="18"/>
        </w:rPr>
        <w:t xml:space="preserve">Tan, K.-L., Chi, C.-H. &amp; Lam, K.-Y. 2024, 'Secure and privacy-preserving sharing of personal health records with multi-party pre-authorization verification', </w:t>
      </w:r>
      <w:r>
        <w:rPr>
          <w:rFonts w:ascii="Times New Roman" w:cs="Times New Roman" w:eastAsia="Times New Roman" w:hAnsi="Times New Roman"/>
          <w:i/>
          <w:iCs/>
          <w:sz w:val="18"/>
          <w:szCs w:val="18"/>
        </w:rPr>
        <w:t xml:space="preserve">Wireless Networks</w:t>
      </w:r>
      <w:r>
        <w:rPr>
          <w:rFonts w:ascii="Times New Roman" w:cs="Times New Roman" w:eastAsia="Times New Roman" w:hAnsi="Times New Roman"/>
          <w:sz w:val="18"/>
          <w:szCs w:val="18"/>
        </w:rPr>
        <w:t xml:space="preserve">, vol. 30, no. 4, pp. 4773–4795, &lt;https://doi.org/10.1007/s11276-022-03114-6&gt;.</w:t>
      </w:r>
    </w:p>
    <w:p>
      <w:pPr>
        <w:spacing w:after="80" w:line="240"/>
        <w:ind w:left="560" w:hanging="560"/>
        <w:jc w:val="left"/>
      </w:pPr>
      <w:r>
        <w:rPr>
          <w:rFonts w:ascii="Times New Roman" w:cs="Times New Roman" w:eastAsia="Times New Roman" w:hAnsi="Times New Roman"/>
          <w:sz w:val="18"/>
          <w:szCs w:val="18"/>
        </w:rPr>
        <w:t xml:space="preserve">Tawfik, A.M., Al-Ahwal, A., Tag Eldien, A.S. &amp; Zayed, H.H. 2025, 'Blockchain-based access control and privacy preservation in healthcare: A comprehensive survey', </w:t>
      </w:r>
      <w:r>
        <w:rPr>
          <w:rFonts w:ascii="Times New Roman" w:cs="Times New Roman" w:eastAsia="Times New Roman" w:hAnsi="Times New Roman"/>
          <w:i/>
          <w:iCs/>
          <w:sz w:val="18"/>
          <w:szCs w:val="18"/>
        </w:rPr>
        <w:t xml:space="preserve">Cluster Computing</w:t>
      </w:r>
      <w:r>
        <w:rPr>
          <w:rFonts w:ascii="Times New Roman" w:cs="Times New Roman" w:eastAsia="Times New Roman" w:hAnsi="Times New Roman"/>
          <w:sz w:val="18"/>
          <w:szCs w:val="18"/>
        </w:rPr>
        <w:t xml:space="preserve">, vol. 28, p. 529, &lt;https://doi.org/10.1007/s10586-025-05308-x&gt;.</w:t>
      </w:r>
    </w:p>
    <w:p>
      <w:pPr>
        <w:spacing w:after="80" w:line="240"/>
        <w:ind w:left="560" w:hanging="560"/>
        <w:jc w:val="left"/>
      </w:pPr>
      <w:r>
        <w:rPr>
          <w:rFonts w:ascii="Times New Roman" w:cs="Times New Roman" w:eastAsia="Times New Roman" w:hAnsi="Times New Roman"/>
          <w:sz w:val="18"/>
          <w:szCs w:val="18"/>
        </w:rPr>
        <w:t xml:space="preserve">Teeda, A. &amp; Subba Rao, Y.V. 2026, 'A patient-centric blockchain based electronic health records for data privacy and confidentiality', </w:t>
      </w:r>
      <w:r>
        <w:rPr>
          <w:rFonts w:ascii="Times New Roman" w:cs="Times New Roman" w:eastAsia="Times New Roman" w:hAnsi="Times New Roman"/>
          <w:i/>
          <w:iCs/>
          <w:sz w:val="18"/>
          <w:szCs w:val="18"/>
        </w:rPr>
        <w:t xml:space="preserve">International Conference on Smart Computing and Informatics, LNNS</w:t>
      </w:r>
      <w:r>
        <w:rPr>
          <w:rFonts w:ascii="Times New Roman" w:cs="Times New Roman" w:eastAsia="Times New Roman" w:hAnsi="Times New Roman"/>
          <w:sz w:val="18"/>
          <w:szCs w:val="18"/>
        </w:rPr>
        <w:t xml:space="preserve">, vol. 1684, pp. 179–192, Springer, &lt;https://doi.org/10.1007/978-3-032-08246-6_15&gt;.</w:t>
      </w:r>
    </w:p>
    <w:p>
      <w:pPr>
        <w:spacing w:after="80" w:line="240"/>
        <w:ind w:left="560" w:hanging="560"/>
        <w:jc w:val="left"/>
      </w:pPr>
      <w:r>
        <w:rPr>
          <w:rFonts w:ascii="Times New Roman" w:cs="Times New Roman" w:eastAsia="Times New Roman" w:hAnsi="Times New Roman"/>
          <w:sz w:val="18"/>
          <w:szCs w:val="18"/>
        </w:rPr>
        <w:t xml:space="preserve">Theodorakopoulos, L., Theodoropoulou, A. &amp; Halkiopoulos, C. 2024, 'Enhancing decentralized decision-making with big data and blockchain technology: A comprehensive review', </w:t>
      </w:r>
      <w:r>
        <w:rPr>
          <w:rFonts w:ascii="Times New Roman" w:cs="Times New Roman" w:eastAsia="Times New Roman" w:hAnsi="Times New Roman"/>
          <w:i/>
          <w:iCs/>
          <w:sz w:val="18"/>
          <w:szCs w:val="18"/>
        </w:rPr>
        <w:t xml:space="preserve">Applied Sciences</w:t>
      </w:r>
      <w:r>
        <w:rPr>
          <w:rFonts w:ascii="Times New Roman" w:cs="Times New Roman" w:eastAsia="Times New Roman" w:hAnsi="Times New Roman"/>
          <w:sz w:val="18"/>
          <w:szCs w:val="18"/>
        </w:rPr>
        <w:t xml:space="preserve">, vol. 14, no. 16, p. 7007, &lt;https://doi.org/10.3390/app14167007&gt;.</w:t>
      </w:r>
    </w:p>
    <w:p>
      <w:pPr>
        <w:spacing w:after="80" w:line="240"/>
        <w:ind w:left="560" w:hanging="560"/>
        <w:jc w:val="left"/>
      </w:pPr>
      <w:r>
        <w:rPr>
          <w:rFonts w:ascii="Times New Roman" w:cs="Times New Roman" w:eastAsia="Times New Roman" w:hAnsi="Times New Roman"/>
          <w:sz w:val="18"/>
          <w:szCs w:val="18"/>
        </w:rPr>
        <w:t xml:space="preserve">Tith, D., Lee, J.-S., Suzuki, H., Wijesundara, W.M.A.B., Taira, N., Obi, T. et al. 2020, 'Patient consent management by a purpose-based consent model for electronic health record based on blockchain technology', </w:t>
      </w:r>
      <w:r>
        <w:rPr>
          <w:rFonts w:ascii="Times New Roman" w:cs="Times New Roman" w:eastAsia="Times New Roman" w:hAnsi="Times New Roman"/>
          <w:i/>
          <w:iCs/>
          <w:sz w:val="18"/>
          <w:szCs w:val="18"/>
        </w:rPr>
        <w:t xml:space="preserve">Healthcare Informatics Research</w:t>
      </w:r>
      <w:r>
        <w:rPr>
          <w:rFonts w:ascii="Times New Roman" w:cs="Times New Roman" w:eastAsia="Times New Roman" w:hAnsi="Times New Roman"/>
          <w:sz w:val="18"/>
          <w:szCs w:val="18"/>
        </w:rPr>
        <w:t xml:space="preserve">, vol. 26, no. 4, pp. 265–273, &lt;https://doi.org/10.4258/hir.2020.26.4.265&gt;.</w:t>
      </w:r>
    </w:p>
    <w:p>
      <w:pPr>
        <w:spacing w:after="80" w:line="240"/>
        <w:ind w:left="560" w:hanging="560"/>
        <w:jc w:val="left"/>
      </w:pPr>
      <w:r>
        <w:rPr>
          <w:rFonts w:ascii="Times New Roman" w:cs="Times New Roman" w:eastAsia="Times New Roman" w:hAnsi="Times New Roman"/>
          <w:sz w:val="18"/>
          <w:szCs w:val="18"/>
        </w:rPr>
        <w:t xml:space="preserve">Tremper, G., Brenner, T., Ben Amor, M., Kussel, T. &amp; Lablans, M. 2026, 'Mainzelliste: Ten years of pseudonymization, record linkage, and informed consent management',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7, no. 1, p. 101432, &lt;https://doi.org/10.1016/j.patter.2025.101432&gt;.</w:t>
      </w:r>
    </w:p>
    <w:p>
      <w:pPr>
        <w:spacing w:after="80" w:line="240"/>
        <w:ind w:left="560" w:hanging="560"/>
        <w:jc w:val="left"/>
      </w:pPr>
      <w:r>
        <w:rPr>
          <w:rFonts w:ascii="Times New Roman" w:cs="Times New Roman" w:eastAsia="Times New Roman" w:hAnsi="Times New Roman"/>
          <w:sz w:val="18"/>
          <w:szCs w:val="18"/>
        </w:rPr>
        <w:t xml:space="preserve">Tseng, C.-H., Hsieh, Y.-H., Lin, H.-Y. &amp; Yuan, S.-M. 2025, 'EMR-Chain: Decentralized electronic medical record exchange system', </w:t>
      </w:r>
      <w:r>
        <w:rPr>
          <w:rFonts w:ascii="Times New Roman" w:cs="Times New Roman" w:eastAsia="Times New Roman" w:hAnsi="Times New Roman"/>
          <w:i/>
          <w:iCs/>
          <w:sz w:val="18"/>
          <w:szCs w:val="18"/>
        </w:rPr>
        <w:t xml:space="preserve">Technologies</w:t>
      </w:r>
      <w:r>
        <w:rPr>
          <w:rFonts w:ascii="Times New Roman" w:cs="Times New Roman" w:eastAsia="Times New Roman" w:hAnsi="Times New Roman"/>
          <w:sz w:val="18"/>
          <w:szCs w:val="18"/>
        </w:rPr>
        <w:t xml:space="preserve">, vol. 13, no. 10, p. 446, &lt;https://doi.org/10.3390/technologies13100446&gt;.</w:t>
      </w:r>
    </w:p>
    <w:p>
      <w:pPr>
        <w:spacing w:after="80" w:line="240"/>
        <w:ind w:left="560" w:hanging="560"/>
        <w:jc w:val="left"/>
      </w:pPr>
      <w:r>
        <w:rPr>
          <w:rFonts w:ascii="Times New Roman" w:cs="Times New Roman" w:eastAsia="Times New Roman" w:hAnsi="Times New Roman"/>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rFonts w:ascii="Times New Roman" w:cs="Times New Roman" w:eastAsia="Times New Roman" w:hAnsi="Times New Roman"/>
          <w:i/>
          <w:iCs/>
          <w:sz w:val="18"/>
          <w:szCs w:val="18"/>
        </w:rPr>
        <w:t xml:space="preserve">Nata Palemahan: Journal of Environmental Engineering Innovations</w:t>
      </w:r>
      <w:r>
        <w:rPr>
          <w:rFonts w:ascii="Times New Roman" w:cs="Times New Roman" w:eastAsia="Times New Roman" w:hAnsi="Times New Roman"/>
          <w:sz w:val="18"/>
          <w:szCs w:val="18"/>
        </w:rPr>
        <w:t xml:space="preserve">, vol. 2, no. 2, pp. 70–79, &lt;https://doi.org/10.38043/natapalemahan.v2i2.6996&gt;.</w:t>
      </w:r>
    </w:p>
    <w:p>
      <w:pPr>
        <w:spacing w:after="80" w:line="240"/>
        <w:ind w:left="560" w:hanging="560"/>
        <w:jc w:val="left"/>
      </w:pPr>
      <w:r>
        <w:rPr>
          <w:rFonts w:ascii="Times New Roman" w:cs="Times New Roman" w:eastAsia="Times New Roman" w:hAnsi="Times New Roman"/>
          <w:sz w:val="18"/>
          <w:szCs w:val="18"/>
        </w:rPr>
        <w:t xml:space="preserve">Walonoski, J., Kramer, M., Nichols, J., Quina, A., Moesel, C., Hall, D. et al. 2018, 'Synthea: An approach, method, and software mechanism for generating synthetic patients and the synthetic electronic health care record', </w:t>
      </w:r>
      <w:r>
        <w:rPr>
          <w:rFonts w:ascii="Times New Roman" w:cs="Times New Roman" w:eastAsia="Times New Roman" w:hAnsi="Times New Roman"/>
          <w:i/>
          <w:iCs/>
          <w:sz w:val="18"/>
          <w:szCs w:val="18"/>
        </w:rPr>
        <w:t xml:space="preserve">Journal of the American Medical Informatics Association</w:t>
      </w:r>
      <w:r>
        <w:rPr>
          <w:rFonts w:ascii="Times New Roman" w:cs="Times New Roman" w:eastAsia="Times New Roman" w:hAnsi="Times New Roman"/>
          <w:sz w:val="18"/>
          <w:szCs w:val="18"/>
        </w:rPr>
        <w:t xml:space="preserve">, vol. 25, no. 3, pp. 230–238, &lt;https://doi.org/10.1093/jamia/ocx079&gt;.</w:t>
      </w:r>
    </w:p>
    <w:p>
      <w:pPr>
        <w:spacing w:after="80" w:line="240"/>
        <w:ind w:left="560" w:hanging="560"/>
        <w:jc w:val="left"/>
      </w:pPr>
      <w:r>
        <w:rPr>
          <w:rFonts w:ascii="Times New Roman" w:cs="Times New Roman" w:eastAsia="Times New Roman" w:hAnsi="Times New Roman"/>
          <w:sz w:val="18"/>
          <w:szCs w:val="18"/>
        </w:rPr>
        <w:t xml:space="preserve">Webber, E.C., Brick, D., Scibilia, J.P., Dehnel, P., Council on Clinical Information Technology et al. 2019, 'Electronic communication of the health record and information with pediatric patients and their guardians', </w:t>
      </w:r>
      <w:r>
        <w:rPr>
          <w:rFonts w:ascii="Times New Roman" w:cs="Times New Roman" w:eastAsia="Times New Roman" w:hAnsi="Times New Roman"/>
          <w:i/>
          <w:iCs/>
          <w:sz w:val="18"/>
          <w:szCs w:val="18"/>
        </w:rPr>
        <w:t xml:space="preserve">Pediatrics</w:t>
      </w:r>
      <w:r>
        <w:rPr>
          <w:rFonts w:ascii="Times New Roman" w:cs="Times New Roman" w:eastAsia="Times New Roman" w:hAnsi="Times New Roman"/>
          <w:sz w:val="18"/>
          <w:szCs w:val="18"/>
        </w:rPr>
        <w:t xml:space="preserve">, vol. 144, no. 1, p. e20191359, &lt;https://doi.org/10.1542/peds.2019-1359&gt;.</w:t>
      </w:r>
    </w:p>
    <w:p>
      <w:pPr>
        <w:spacing w:after="80" w:line="240"/>
        <w:ind w:left="560" w:hanging="560"/>
        <w:jc w:val="left"/>
      </w:pPr>
      <w:r>
        <w:rPr>
          <w:rFonts w:ascii="Times New Roman" w:cs="Times New Roman" w:eastAsia="Times New Roman" w:hAnsi="Times New Roman"/>
          <w:sz w:val="18"/>
          <w:szCs w:val="18"/>
        </w:rPr>
        <w:t xml:space="preserve">Welzel, C., Ostermann, M., Smith, H.L., Minssen, T., Kirsten, T. &amp; Gilbert, S. 2025, 'Enabling secure and self determined health data sharing and consent management', </w:t>
      </w:r>
      <w:r>
        <w:rPr>
          <w:rFonts w:ascii="Times New Roman" w:cs="Times New Roman" w:eastAsia="Times New Roman" w:hAnsi="Times New Roman"/>
          <w:i/>
          <w:iCs/>
          <w:sz w:val="18"/>
          <w:szCs w:val="18"/>
        </w:rPr>
        <w:t xml:space="preserve">npj Digital Medicine</w:t>
      </w:r>
      <w:r>
        <w:rPr>
          <w:rFonts w:ascii="Times New Roman" w:cs="Times New Roman" w:eastAsia="Times New Roman" w:hAnsi="Times New Roman"/>
          <w:sz w:val="18"/>
          <w:szCs w:val="18"/>
        </w:rPr>
        <w:t xml:space="preserve">, vol. 8, no. 1, p. 560, &lt;https://doi.org/10.1038/s41746-025-01945-z&gt;.</w:t>
      </w:r>
    </w:p>
    <w:p>
      <w:pPr>
        <w:spacing w:after="80" w:line="240"/>
        <w:ind w:left="560" w:hanging="560"/>
        <w:jc w:val="left"/>
      </w:pPr>
      <w:r>
        <w:rPr>
          <w:rFonts w:ascii="Times New Roman" w:cs="Times New Roman" w:eastAsia="Times New Roman" w:hAnsi="Times New Roman"/>
          <w:sz w:val="18"/>
          <w:szCs w:val="18"/>
        </w:rPr>
        <w:t xml:space="preserve">Wood, G. 2014, </w:t>
      </w:r>
      <w:r>
        <w:rPr>
          <w:rFonts w:ascii="Times New Roman" w:cs="Times New Roman" w:eastAsia="Times New Roman" w:hAnsi="Times New Roman"/>
          <w:i/>
          <w:iCs/>
          <w:sz w:val="18"/>
          <w:szCs w:val="18"/>
        </w:rPr>
        <w:t xml:space="preserve">Ethereum: A secure decentralised generalised transaction ledger</w:t>
      </w:r>
      <w:r>
        <w:rPr>
          <w:rFonts w:ascii="Times New Roman" w:cs="Times New Roman" w:eastAsia="Times New Roman" w:hAnsi="Times New Roman"/>
          <w:sz w:val="18"/>
          <w:szCs w:val="18"/>
        </w:rPr>
        <w:t xml:space="preserve">, Ethereum Project Yellow Paper.</w:t>
      </w:r>
    </w:p>
    <w:p>
      <w:pPr>
        <w:spacing w:after="80" w:line="240"/>
        <w:ind w:left="560" w:hanging="560"/>
        <w:jc w:val="left"/>
      </w:pPr>
      <w:r>
        <w:rPr>
          <w:rFonts w:ascii="Times New Roman" w:cs="Times New Roman" w:eastAsia="Times New Roman" w:hAnsi="Times New Roman"/>
          <w:sz w:val="18"/>
          <w:szCs w:val="18"/>
        </w:rPr>
        <w:t xml:space="preserve">Wu, Y., Liu, C., Sebald, L., Nguyen, P. &amp; Yesha, Y. 2022, 'Apply trust computing and privacy preserving smart contracts to manage, share, and analyze multi-site clinical trial data', </w:t>
      </w:r>
      <w:r>
        <w:rPr>
          <w:rFonts w:ascii="Times New Roman" w:cs="Times New Roman" w:eastAsia="Times New Roman" w:hAnsi="Times New Roman"/>
          <w:i/>
          <w:iCs/>
          <w:sz w:val="18"/>
          <w:szCs w:val="18"/>
        </w:rPr>
        <w:t xml:space="preserve">Proceedings of the International Conference on Deep Learning, Big Data and Blockchain (DBB 2022), LNNS</w:t>
      </w:r>
      <w:r>
        <w:rPr>
          <w:rFonts w:ascii="Times New Roman" w:cs="Times New Roman" w:eastAsia="Times New Roman" w:hAnsi="Times New Roman"/>
          <w:sz w:val="18"/>
          <w:szCs w:val="18"/>
        </w:rPr>
        <w:t xml:space="preserve">, vol. 541, pp. 3–14, Springer, &lt;https://doi.org/10.1007/978-3-031-16035-6_1&gt;.</w:t>
      </w:r>
    </w:p>
    <w:p>
      <w:pPr>
        <w:spacing w:after="80" w:line="240"/>
        <w:ind w:left="560" w:hanging="560"/>
        <w:jc w:val="left"/>
      </w:pPr>
      <w:r>
        <w:rPr>
          <w:rFonts w:ascii="Times New Roman" w:cs="Times New Roman" w:eastAsia="Times New Roman" w:hAnsi="Times New Roman"/>
          <w:sz w:val="18"/>
          <w:szCs w:val="18"/>
        </w:rPr>
        <w:t xml:space="preserve">Wu, Z. &amp; Zhang, D. 2025, 'HealthDID: An efficient and authorizable multi-party privacy-preserving EMR sharing system based on DID', </w:t>
      </w:r>
      <w:r>
        <w:rPr>
          <w:rFonts w:ascii="Times New Roman" w:cs="Times New Roman" w:eastAsia="Times New Roman" w:hAnsi="Times New Roman"/>
          <w:i/>
          <w:iCs/>
          <w:sz w:val="18"/>
          <w:szCs w:val="18"/>
        </w:rPr>
        <w:t xml:space="preserve">Computer Standards &amp; Interfaces</w:t>
      </w:r>
      <w:r>
        <w:rPr>
          <w:rFonts w:ascii="Times New Roman" w:cs="Times New Roman" w:eastAsia="Times New Roman" w:hAnsi="Times New Roman"/>
          <w:sz w:val="18"/>
          <w:szCs w:val="18"/>
        </w:rPr>
        <w:t xml:space="preserve">, vol. 93, p. 103967, &lt;https://doi.org/10.1016/j.csi.2024.103967&gt;.</w:t>
      </w:r>
    </w:p>
    <w:p>
      <w:pPr>
        <w:spacing w:after="80" w:line="240"/>
        <w:ind w:left="560" w:hanging="560"/>
        <w:jc w:val="left"/>
      </w:pPr>
      <w:r>
        <w:rPr>
          <w:rFonts w:ascii="Times New Roman" w:cs="Times New Roman" w:eastAsia="Times New Roman" w:hAnsi="Times New Roman"/>
          <w:sz w:val="18"/>
          <w:szCs w:val="18"/>
        </w:rPr>
        <w:t xml:space="preserve">Yin, H., Zhao, Y., Zhang, L., Qiao, B., Chen, W. &amp; Wang, H. 2024, 'Attribute-based searchable encryption with decentralized key management for healthcare data sharing', </w:t>
      </w:r>
      <w:r>
        <w:rPr>
          <w:rFonts w:ascii="Times New Roman" w:cs="Times New Roman" w:eastAsia="Times New Roman" w:hAnsi="Times New Roman"/>
          <w:i/>
          <w:iCs/>
          <w:sz w:val="18"/>
          <w:szCs w:val="18"/>
        </w:rPr>
        <w:t xml:space="preserve">Journal of Systems Architecture</w:t>
      </w:r>
      <w:r>
        <w:rPr>
          <w:rFonts w:ascii="Times New Roman" w:cs="Times New Roman" w:eastAsia="Times New Roman" w:hAnsi="Times New Roman"/>
          <w:sz w:val="18"/>
          <w:szCs w:val="18"/>
        </w:rPr>
        <w:t xml:space="preserve">, vol. 148, p. 103081, &lt;https://doi.org/10.1016/j.sysarc.2024.103081&gt;.</w:t>
      </w:r>
    </w:p>
    <w:p>
      <w:pPr>
        <w:spacing w:after="80" w:line="240"/>
        <w:ind w:left="560" w:hanging="560"/>
        <w:jc w:val="left"/>
      </w:pPr>
      <w:r>
        <w:rPr>
          <w:rFonts w:ascii="Times New Roman" w:cs="Times New Roman" w:eastAsia="Times New Roman" w:hAnsi="Times New Roman"/>
          <w:sz w:val="18"/>
          <w:szCs w:val="18"/>
        </w:rPr>
        <w:t xml:space="preserve">Yin, J., Xiao, Y., Chen, Q., Lim, Y.Z., Liu, X., Pei, Q. et al. 2025, 'DP-DID: A dynamic and proactive decentralized identity system', </w:t>
      </w:r>
      <w:r>
        <w:rPr>
          <w:rFonts w:ascii="Times New Roman" w:cs="Times New Roman" w:eastAsia="Times New Roman" w:hAnsi="Times New Roman"/>
          <w:i/>
          <w:iCs/>
          <w:sz w:val="18"/>
          <w:szCs w:val="18"/>
        </w:rPr>
        <w:t xml:space="preserve">IEEE Transactions on Information Forensics and Security</w:t>
      </w:r>
      <w:r>
        <w:rPr>
          <w:rFonts w:ascii="Times New Roman" w:cs="Times New Roman" w:eastAsia="Times New Roman" w:hAnsi="Times New Roman"/>
          <w:sz w:val="18"/>
          <w:szCs w:val="18"/>
        </w:rPr>
        <w:t xml:space="preserve">, vol. 20, pp. 4999–5014, &lt;https://doi.org/10.1109/TIFS.2025.3561662&gt;.</w:t>
      </w:r>
    </w:p>
    <w:p>
      <w:pPr>
        <w:spacing w:after="80" w:line="240"/>
        <w:ind w:left="560" w:hanging="560"/>
        <w:jc w:val="left"/>
      </w:pPr>
      <w:r>
        <w:rPr>
          <w:rFonts w:ascii="Times New Roman" w:cs="Times New Roman" w:eastAsia="Times New Roman" w:hAnsi="Times New Roman"/>
          <w:sz w:val="18"/>
          <w:szCs w:val="18"/>
        </w:rPr>
        <w:t xml:space="preserve">Zhang, L., Kan, H. &amp; Huang, H. 2022, 'Patient-centered cross-enterprise document sharing and dynamic consent framework using consortium blockchain and ciphertext-policy attribute-based encryption', </w:t>
      </w:r>
      <w:r>
        <w:rPr>
          <w:rFonts w:ascii="Times New Roman" w:cs="Times New Roman" w:eastAsia="Times New Roman" w:hAnsi="Times New Roman"/>
          <w:i/>
          <w:iCs/>
          <w:sz w:val="18"/>
          <w:szCs w:val="18"/>
        </w:rPr>
        <w:t xml:space="preserve">Proceedings of the 19th ACM International Conference on Computing Frontiers (CF ’22)</w:t>
      </w:r>
      <w:r>
        <w:rPr>
          <w:rFonts w:ascii="Times New Roman" w:cs="Times New Roman" w:eastAsia="Times New Roman" w:hAnsi="Times New Roman"/>
          <w:sz w:val="18"/>
          <w:szCs w:val="18"/>
        </w:rPr>
        <w:t xml:space="preserve">, pp. 58–66, &lt;https://doi.org/10.1145/3528416.3530228&gt;.</w:t>
      </w:r>
    </w:p>
    <w:p>
      <w:pPr>
        <w:spacing w:after="80" w:line="240"/>
        <w:ind w:left="560" w:hanging="560"/>
        <w:jc w:val="left"/>
      </w:pPr>
      <w:r>
        <w:rPr>
          <w:rFonts w:ascii="Times New Roman" w:cs="Times New Roman" w:eastAsia="Times New Roman" w:hAnsi="Times New Roman"/>
          <w:sz w:val="18"/>
          <w:szCs w:val="18"/>
        </w:rPr>
        <w:t xml:space="preserve">Zhao, J. &amp; Su, Q. 2024, 'A threshold traceable delegation authorization scheme for data sharing in healthcare', </w:t>
      </w:r>
      <w:r>
        <w:rPr>
          <w:rFonts w:ascii="Times New Roman" w:cs="Times New Roman" w:eastAsia="Times New Roman" w:hAnsi="Times New Roman"/>
          <w:i/>
          <w:iCs/>
          <w:sz w:val="18"/>
          <w:szCs w:val="18"/>
        </w:rPr>
        <w:t xml:space="preserve">Computers &amp; Security</w:t>
      </w:r>
      <w:r>
        <w:rPr>
          <w:rFonts w:ascii="Times New Roman" w:cs="Times New Roman" w:eastAsia="Times New Roman" w:hAnsi="Times New Roman"/>
          <w:sz w:val="18"/>
          <w:szCs w:val="18"/>
        </w:rPr>
        <w:t xml:space="preserve">, vol. 139, p. 103686, &lt;https://doi.org/10.1016/j.cose.2023.103686&gt;.</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13e368c9dad0544d3c7961bdb693a1f1fcac25d0.png"/><Relationship Id="rId13" Type="http://schemas.openxmlformats.org/officeDocument/2006/relationships/image" Target="media/63615071b20198cdc4ae7ca0f432c72f5d851dfa.png"/><Relationship Id="rId14" Type="http://schemas.openxmlformats.org/officeDocument/2006/relationships/image" Target="media/f5bdc53204d3b216ef8c53808cc02dbdf91460a7.png"/><Relationship Id="rId15" Type="http://schemas.openxmlformats.org/officeDocument/2006/relationships/image" Target="media/6210e08578c16ef77fb00da0c3e2b7647d50f61d.png"/><Relationship Id="rId16" Type="http://schemas.openxmlformats.org/officeDocument/2006/relationships/image" Target="media/939b693dd50d175247d7a3ec87e22966428d2f14.png"/><Relationship Id="rId17" Type="http://schemas.openxmlformats.org/officeDocument/2006/relationships/image" Target="media/11081a2422bebced6d030d22f0ebf13798832173.png"/><Relationship Id="rId18" Type="http://schemas.openxmlformats.org/officeDocument/2006/relationships/image" Target="media/560e6f3352606ebd2f66f5c072f5a750377b1bb7.png"/><Relationship Id="rId19" Type="http://schemas.openxmlformats.org/officeDocument/2006/relationships/image" Target="media/b2b4b377ac5cb0405033b334092b0179dbded4b2.png"/><Relationship Id="rId20" Type="http://schemas.openxmlformats.org/officeDocument/2006/relationships/image" Target="media/5948f78f464791cf95217dda72dcb1e147ae87fb.png"/><Relationship Id="rId21" Type="http://schemas.openxmlformats.org/officeDocument/2006/relationships/image" Target="media/3f71846d42f224996eb357c7ac4f2281babf68df.png"/><Relationship Id="rId22" Type="http://schemas.openxmlformats.org/officeDocument/2006/relationships/image" Target="media/f94087c706045b0f1775713da3437a59f9adad54.png"/><Relationship Id="rId23" Type="http://schemas.openxmlformats.org/officeDocument/2006/relationships/image" Target="media/3b43f208c34e619a9b1fcd7a8da9990014f117c8.png"/><Relationship Id="rId24" Type="http://schemas.openxmlformats.org/officeDocument/2006/relationships/image" Target="media/00d6986401b6325763b2855292d411f63286ea76.png"/><Relationship Id="rId25" Type="http://schemas.openxmlformats.org/officeDocument/2006/relationships/image" Target="media/e59b5686af22a06dff9cd4bfae93b397759ea42a.png"/><Relationship Id="rId26" Type="http://schemas.openxmlformats.org/officeDocument/2006/relationships/image" Target="media/551744d4db41183fe0c9b4d913479007233462c1.png"/><Relationship Id="rId27" Type="http://schemas.openxmlformats.org/officeDocument/2006/relationships/image" Target="media/379af060121c595b8dab938b017503bf01d94543.png"/><Relationship Id="rId28" Type="http://schemas.openxmlformats.org/officeDocument/2006/relationships/image" Target="media/8b0dede8cf949138f1ca18f2a0be3b9f91a5a8b2.png"/><Relationship Id="rId29" Type="http://schemas.openxmlformats.org/officeDocument/2006/relationships/image" Target="media/f0af766d9de14575067307b6f7dccaf71ca25b88.png"/><Relationship Id="rId30" Type="http://schemas.openxmlformats.org/officeDocument/2006/relationships/image" Target="media/32a920cb8d148805391dcda55782af93c6edfd51.png"/><Relationship Id="rId31" Type="http://schemas.openxmlformats.org/officeDocument/2006/relationships/image" Target="media/06dd8d4f71199a2b46751bf3ced20974c9f60efc.png"/><Relationship Id="rId32" Type="http://schemas.openxmlformats.org/officeDocument/2006/relationships/image" Target="media/58a3dc9e97a1fde36ae77d904dbd45452e311245.png"/><Relationship Id="rId33" Type="http://schemas.openxmlformats.org/officeDocument/2006/relationships/image" Target="media/e564093f40c2adf79662a8a449a41d29d9852b78.png"/><Relationship Id="rId34" Type="http://schemas.openxmlformats.org/officeDocument/2006/relationships/image" Target="media/1cde75c3ba6eefdc88f22c3d35398d022b2cb38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2026-10-12T18:23:15.533Z</dcterms:created>
  <dcterms:modified xsi:type="dcterms:W3CDTF">2026-10-12T18:23:15.533Z</dcterms:modified>
</cp:coreProperties>
</file>

<file path=docProps/custom.xml><?xml version="1.0" encoding="utf-8"?>
<Properties xmlns="http://schemas.openxmlformats.org/officeDocument/2006/custom-properties" xmlns:vt="http://schemas.openxmlformats.org/officeDocument/2006/docPropsVTypes"/>
</file>