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35.png" ContentType="image/png"/>
  <Override PartName="/word/media/rId139.png" ContentType="image/png"/>
  <Override PartName="/word/media/rId142.png" ContentType="image/png"/>
  <Override PartName="/word/media/rId146.png" ContentType="image/png"/>
  <Override PartName="/word/media/rId16.png" ContentType="image/png"/>
  <Override PartName="/word/media/rId86.png" ContentType="image/png"/>
  <Override PartName="/word/media/rId94.png" ContentType="image/png"/>
  <Override PartName="/word/media/rId101.png" ContentType="image/png"/>
  <Override PartName="/word/media/rId107.png" ContentType="image/png"/>
  <Override PartName="/word/media/rId116.png" ContentType="image/png"/>
  <Override PartName="/word/media/rId122.png" ContentType="image/png"/>
  <Override PartName="/word/media/rId154.png" ContentType="image/png"/>
  <Override PartName="/word/media/rId22.png" ContentType="image/png"/>
  <Override PartName="/word/media/rId58.png" ContentType="image/png"/>
  <Override PartName="/word/media/rId61.png" ContentType="image/png"/>
  <Override PartName="/word/media/rId65.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[35]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[dd]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753100" cy="2898564"/>
            <wp:effectExtent b="0" l="0" r="0" t="0"/>
            <wp:docPr descr="Figure 2: PRISMA Study Selection Summary" title="" id="23" name="Picture"/>
            <a:graphic>
              <a:graphicData uri="http://schemas.openxmlformats.org/drawingml/2006/picture">
                <pic:pic>
                  <pic:nvPicPr>
                    <pic:cNvPr descr="media_col/fig02.png" id="24" name="Picture"/>
                    <pic:cNvPicPr>
                      <a:picLocks noChangeArrowheads="1" noChangeAspect="1"/>
                    </pic:cNvPicPr>
                  </pic:nvPicPr>
                  <pic:blipFill>
                    <a:blip r:embed="rId22"/>
                    <a:stretch>
                      <a:fillRect/>
                    </a:stretch>
                  </pic:blipFill>
                  <pic:spPr bwMode="auto">
                    <a:xfrm>
                      <a:off x="0" y="0"/>
                      <a:ext cx="5753100" cy="2898564"/>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prepared following PRISMA 2020 [37], which summarises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t xml:space="preserve">2.2.8 Quality Assessment</w:t>
      </w:r>
    </w:p>
    <w:p>
      <w:pPr>
        <w:pStyle w:val="FirstParagraph"/>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bookmarkEnd w:id="27"/>
    <w:bookmarkEnd w:id="28"/>
    <w:bookmarkStart w:id="36" w:name="review"/>
    <w:p>
      <w:pPr>
        <w:pStyle w:val="Heading2"/>
      </w:pPr>
      <w:r>
        <w:t xml:space="preserve">2.3 Review</w:t>
      </w:r>
    </w:p>
    <w:p>
      <w:pPr>
        <w:pStyle w:val="FirstParagraph"/>
      </w:pPr>
      <w: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w:r>
        <w:t xml:space="preserve"> </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w:r>
        <w:t xml:space="preserve"> </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3, 7, 8, 26, 29, 30]</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[4, 9, 19, 21]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[17, 18, 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 </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[38]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 </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4. The mapping follows the structure of the research program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continued: RQ4 current stage; RQ5–RQ6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r>
        <w:t xml:space="preserve"> </w:t>
      </w:r>
      <w:r>
        <w:t xml:space="preserve"> </w:t>
      </w:r>
      <w:r>
        <w:t xml:space="preserve"> </w:t>
      </w: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5"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1"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753100" cy="5884501"/>
            <wp:effectExtent b="0" l="0" r="0" t="0"/>
            <wp:docPr descr="Figure 3: Layered MVC Architecture and Component Decomposition of the HALAH Framework" title="" id="59" name="Picture"/>
            <a:graphic>
              <a:graphicData uri="http://schemas.openxmlformats.org/drawingml/2006/picture">
                <pic:pic>
                  <pic:nvPicPr>
                    <pic:cNvPr descr="media_col/fig03.png" id="60" name="Picture"/>
                    <pic:cNvPicPr>
                      <a:picLocks noChangeArrowheads="1" noChangeAspect="1"/>
                    </pic:cNvPicPr>
                  </pic:nvPicPr>
                  <pic:blipFill>
                    <a:blip r:embed="rId58"/>
                    <a:stretch>
                      <a:fillRect/>
                    </a:stretch>
                  </pic:blipFill>
                  <pic:spPr bwMode="auto">
                    <a:xfrm>
                      <a:off x="0" y="0"/>
                      <a:ext cx="5753100" cy="5884501"/>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4"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753100" cy="3155240"/>
            <wp:effectExtent b="0" l="0" r="0" t="0"/>
            <wp:docPr descr="Figure 4: Functional Decomposition of the MVC Components" title="" id="62" name="Picture"/>
            <a:graphic>
              <a:graphicData uri="http://schemas.openxmlformats.org/drawingml/2006/picture">
                <pic:pic>
                  <pic:nvPicPr>
                    <pic:cNvPr descr="media_col/fig04.png" id="63" name="Picture"/>
                    <pic:cNvPicPr>
                      <a:picLocks noChangeArrowheads="1" noChangeAspect="1"/>
                    </pic:cNvPicPr>
                  </pic:nvPicPr>
                  <pic:blipFill>
                    <a:blip r:embed="rId61"/>
                    <a:stretch>
                      <a:fillRect/>
                    </a:stretch>
                  </pic:blipFill>
                  <pic:spPr bwMode="auto">
                    <a:xfrm>
                      <a:off x="0" y="0"/>
                      <a:ext cx="5753100" cy="3155240"/>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4"/>
    <w:bookmarkStart w:id="68"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 </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BodyText"/>
      </w:pPr>
      <w:r>
        <w:t xml:space="preserve"> </w:t>
      </w:r>
    </w:p>
    <w:p>
      <w:pPr>
        <w:pStyle w:val="CaptionedFigure"/>
      </w:pPr>
      <w:r>
        <w:drawing>
          <wp:inline>
            <wp:extent cx="2880360" cy="7676010"/>
            <wp:effectExtent b="0" l="0" r="0" t="0"/>
            <wp:docPr descr="Figure 5: Trust Predicate Evaluation and Authorisation Decision Flow" title="" id="66" name="Picture"/>
            <a:graphic>
              <a:graphicData uri="http://schemas.openxmlformats.org/drawingml/2006/picture">
                <pic:pic>
                  <pic:nvPicPr>
                    <pic:cNvPr descr="media_col/fig05.png" id="67" name="Picture"/>
                    <pic:cNvPicPr>
                      <a:picLocks noChangeArrowheads="1" noChangeAspect="1"/>
                    </pic:cNvPicPr>
                  </pic:nvPicPr>
                  <pic:blipFill>
                    <a:blip r:embed="rId65"/>
                    <a:stretch>
                      <a:fillRect/>
                    </a:stretch>
                  </pic:blipFill>
                  <pic:spPr bwMode="auto">
                    <a:xfrm>
                      <a:off x="0" y="0"/>
                      <a:ext cx="2880360" cy="7676010"/>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8"/>
    <w:bookmarkStart w:id="69"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9"/>
    <w:bookmarkStart w:id="70"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0"/>
    <w:bookmarkEnd w:id="71"/>
    <w:bookmarkStart w:id="75" w:name="X558a2b42e7f558743af400a9676e37558071ee0"/>
    <w:p>
      <w:pPr>
        <w:pStyle w:val="Heading2"/>
      </w:pPr>
      <w:r>
        <w:t xml:space="preserve">5.2 Trust-Oriented Consent Authorisation Workflow</w:t>
      </w:r>
    </w:p>
    <w:p>
      <w:pPr>
        <w:pStyle w:val="FirstParagraph"/>
      </w:pPr>
      <w:r>
        <w:t xml:space="preserve">Figure 6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2121408" cy="7666389"/>
            <wp:effectExtent b="0" l="0" r="0" t="0"/>
            <wp:docPr descr="Figure 6: End-to-End Workflow of Trust-Oriented Consent Authorisation Framework" title="" id="73" name="Picture"/>
            <a:graphic>
              <a:graphicData uri="http://schemas.openxmlformats.org/drawingml/2006/picture">
                <pic:pic>
                  <pic:nvPicPr>
                    <pic:cNvPr descr="media_col/fig06.png" id="74" name="Picture"/>
                    <pic:cNvPicPr>
                      <a:picLocks noChangeArrowheads="1" noChangeAspect="1"/>
                    </pic:cNvPicPr>
                  </pic:nvPicPr>
                  <pic:blipFill>
                    <a:blip r:embed="rId72"/>
                    <a:stretch>
                      <a:fillRect/>
                    </a:stretch>
                  </pic:blipFill>
                  <pic:spPr bwMode="auto">
                    <a:xfrm>
                      <a:off x="0" y="0"/>
                      <a:ext cx="2121408" cy="7666389"/>
                    </a:xfrm>
                    <a:prstGeom prst="rect">
                      <a:avLst/>
                    </a:prstGeom>
                    <a:noFill/>
                    <a:ln w="9525">
                      <a:noFill/>
                      <a:headEnd/>
                      <a:tailEnd/>
                    </a:ln>
                  </pic:spPr>
                </pic:pic>
              </a:graphicData>
            </a:graphic>
          </wp:inline>
        </w:drawing>
      </w:r>
    </w:p>
    <w:p>
      <w:pPr>
        <w:pStyle w:val="ImageCaption"/>
      </w:pPr>
      <w:r>
        <w:t xml:space="preserve">Figure 6: End-to-End Workflow of Trust-Oriented Consent Authorisation Framework</w:t>
      </w:r>
    </w:p>
    <w:p>
      <w:pPr>
        <w:pStyle w:val="BodyText"/>
      </w:pPr>
      <w:r>
        <w:t xml:space="preserve"> </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 </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75"/>
    <w:bookmarkStart w:id="76"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 </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76"/>
    <w:bookmarkStart w:id="77"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7"/>
    <w:bookmarkStart w:id="78"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r>
        <w:t xml:space="preserve"> </w:t>
      </w:r>
      <w:r>
        <w:t xml:space="preserve"> </w:t>
      </w:r>
      <w:r>
        <w:t xml:space="preserve"> </w:t>
      </w: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 </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 </w:t>
      </w:r>
    </w:p>
    <w:p>
      <w:pPr>
        <w:pStyle w:val="BodyText"/>
      </w:pPr>
      <w:r>
        <w:t xml:space="preserve">The overall current stage authorisation decision is therefore determined by the conjunction of the foundational trust conditions in Eq. (6).</w:t>
      </w:r>
    </w:p>
    <w:p>
      <w:pPr>
        <w:pStyle w:val="BodyText"/>
      </w:pPr>
      <w:r>
        <w:t xml:space="preserve"> </w:t>
      </w:r>
    </w:p>
    <w:p>
      <w:pPr>
        <w:pStyle w:val="BodyText"/>
      </w:pPr>
      <w:r>
        <w:t xml:space="preserve"> </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8"/>
    <w:bookmarkStart w:id="79"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9"/>
    <w:bookmarkStart w:id="80"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 </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0"/>
    <w:bookmarkStart w:id="81"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1"/>
    <w:bookmarkStart w:id="82"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2"/>
    <w:bookmarkStart w:id="83"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3"/>
    <w:bookmarkStart w:id="84"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4"/>
    <w:bookmarkEnd w:id="85"/>
    <w:bookmarkStart w:id="129" w:name="proposed-solution"/>
    <w:p>
      <w:pPr>
        <w:pStyle w:val="Heading1"/>
      </w:pPr>
      <w:r>
        <w:t xml:space="preserve">6 Proposed Solution</w:t>
      </w:r>
    </w:p>
    <w:bookmarkStart w:id="92"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9"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13 (Section 7.2). The implementation also collects the start and expiry time of the consent.</w:t>
      </w:r>
    </w:p>
    <w:p>
      <w:pPr>
        <w:pStyle w:val="CaptionedFigure"/>
      </w:pPr>
      <w:r>
        <w:drawing>
          <wp:inline>
            <wp:extent cx="4288536" cy="7675254"/>
            <wp:effectExtent b="0" l="0" r="0" t="0"/>
            <wp:docPr descr="Figure 7: RO1 workflow for trust-centric consent creation" title="" id="87" name="Picture"/>
            <a:graphic>
              <a:graphicData uri="http://schemas.openxmlformats.org/drawingml/2006/picture">
                <pic:pic>
                  <pic:nvPicPr>
                    <pic:cNvPr descr="media_bw/fig07.png" id="88" name="Picture"/>
                    <pic:cNvPicPr>
                      <a:picLocks noChangeArrowheads="1" noChangeAspect="1"/>
                    </pic:cNvPicPr>
                  </pic:nvPicPr>
                  <pic:blipFill>
                    <a:blip r:embed="rId86"/>
                    <a:stretch>
                      <a:fillRect/>
                    </a:stretch>
                  </pic:blipFill>
                  <pic:spPr bwMode="auto">
                    <a:xfrm>
                      <a:off x="0" y="0"/>
                      <a:ext cx="4288536" cy="7675254"/>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9"/>
    <w:bookmarkStart w:id="90"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0"/>
    <w:bookmarkStart w:id="91"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1"/>
    <w:bookmarkEnd w:id="92"/>
    <w:bookmarkStart w:id="99"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 </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r>
        <w:t xml:space="preserve"> </w:t>
      </w:r>
      <w:r>
        <w:t xml:space="preserve"> </w:t>
      </w:r>
      <w:r>
        <w:t xml:space="preserve"> </w:t>
      </w: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3"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3"/>
    <w:bookmarkStart w:id="97"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4480560" cy="7681842"/>
            <wp:effectExtent b="0" l="0" r="0" t="0"/>
            <wp:docPr descr="Figure 8: RO2 workflow for decentralised identity and authority verification" title="" id="95" name="Picture"/>
            <a:graphic>
              <a:graphicData uri="http://schemas.openxmlformats.org/drawingml/2006/picture">
                <pic:pic>
                  <pic:nvPicPr>
                    <pic:cNvPr descr="media_bw/fig08.png" id="96" name="Picture"/>
                    <pic:cNvPicPr>
                      <a:picLocks noChangeArrowheads="1" noChangeAspect="1"/>
                    </pic:cNvPicPr>
                  </pic:nvPicPr>
                  <pic:blipFill>
                    <a:blip r:embed="rId94"/>
                    <a:stretch>
                      <a:fillRect/>
                    </a:stretch>
                  </pic:blipFill>
                  <pic:spPr bwMode="auto">
                    <a:xfrm>
                      <a:off x="0" y="0"/>
                      <a:ext cx="4480560" cy="7681842"/>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7"/>
    <w:bookmarkStart w:id="98"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8"/>
    <w:bookmarkEnd w:id="99"/>
    <w:bookmarkStart w:id="106"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 </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0"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BodyText"/>
      </w:pPr>
      <w:r>
        <w:t xml:space="preserve">In the HALAH prototype, the Guardian workflow (Figure 14,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0"/>
    <w:bookmarkStart w:id="104"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4690872" cy="7676810"/>
            <wp:effectExtent b="0" l="0" r="0" t="0"/>
            <wp:docPr descr="Figure 9: RO3 workflow for threshold-based multi-party authorisation" title="" id="102" name="Picture"/>
            <a:graphic>
              <a:graphicData uri="http://schemas.openxmlformats.org/drawingml/2006/picture">
                <pic:pic>
                  <pic:nvPicPr>
                    <pic:cNvPr descr="media_bw/fig09.png" id="103" name="Picture"/>
                    <pic:cNvPicPr>
                      <a:picLocks noChangeArrowheads="1" noChangeAspect="1"/>
                    </pic:cNvPicPr>
                  </pic:nvPicPr>
                  <pic:blipFill>
                    <a:blip r:embed="rId101"/>
                    <a:stretch>
                      <a:fillRect/>
                    </a:stretch>
                  </pic:blipFill>
                  <pic:spPr bwMode="auto">
                    <a:xfrm>
                      <a:off x="0" y="0"/>
                      <a:ext cx="4690872" cy="7676810"/>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oMath>
      <w:r>
        <w:t xml:space="preserve"> </w:t>
      </w:r>
      <w: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04"/>
    <w:bookmarkStart w:id="105"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5"/>
    <w:bookmarkEnd w:id="106"/>
    <w:bookmarkStart w:id="113"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p>
      <w:pPr>
        <w:pStyle w:val="BodyText"/>
      </w:pPr>
      <w:r>
        <w:t xml:space="preserve"> </w:t>
      </w:r>
    </w:p>
    <w:bookmarkStart w:id="110"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15–16 (Section 7.4).</w:t>
      </w:r>
    </w:p>
    <w:p>
      <w:pPr>
        <w:pStyle w:val="BodyText"/>
      </w:pPr>
      <w:r>
        <w:t xml:space="preserve"> </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p>
      <w:pPr>
        <w:pStyle w:val="CaptionedFigure"/>
      </w:pPr>
      <w:r>
        <w:drawing>
          <wp:inline>
            <wp:extent cx="2788920" cy="7689425"/>
            <wp:effectExtent b="0" l="0" r="0" t="0"/>
            <wp:docPr descr="Figure 10: RO4 workflow for policy- and context-aware access control" title="" id="108" name="Picture"/>
            <a:graphic>
              <a:graphicData uri="http://schemas.openxmlformats.org/drawingml/2006/picture">
                <pic:pic>
                  <pic:nvPicPr>
                    <pic:cNvPr descr="media_bw/fig10.png" id="109" name="Picture"/>
                    <pic:cNvPicPr>
                      <a:picLocks noChangeArrowheads="1" noChangeAspect="1"/>
                    </pic:cNvPicPr>
                  </pic:nvPicPr>
                  <pic:blipFill>
                    <a:blip r:embed="rId107"/>
                    <a:stretch>
                      <a:fillRect/>
                    </a:stretch>
                  </pic:blipFill>
                  <pic:spPr bwMode="auto">
                    <a:xfrm>
                      <a:off x="0" y="0"/>
                      <a:ext cx="2788920" cy="7689425"/>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bookmarkEnd w:id="110"/>
    <w:bookmarkStart w:id="111"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1"/>
    <w:bookmarkStart w:id="112"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2"/>
    <w:bookmarkEnd w:id="113"/>
    <w:bookmarkStart w:id="120"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 </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 </w:t>
      </w:r>
    </w:p>
    <w:p>
      <w:pPr>
        <w:pStyle w:val="BodyText"/>
      </w:pPr>
      <w:r>
        <w:t xml:space="preserve">The extended authorisation decision is therefore given by Eq. (24).</w:t>
      </w:r>
    </w:p>
    <w:p>
      <w:pPr>
        <w:pStyle w:val="BodyText"/>
      </w:pPr>
      <w:r>
        <w:t xml:space="preserve"> </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14"/>
    <w:bookmarkStart w:id="115"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5"/>
    <w:bookmarkStart w:id="119"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4142232" cy="7687826"/>
            <wp:effectExtent b="0" l="0" r="0" t="0"/>
            <wp:docPr descr="Figure 11: RO5 planned workflow for temporal and consent lifecycle trust" title="" id="117" name="Picture"/>
            <a:graphic>
              <a:graphicData uri="http://schemas.openxmlformats.org/drawingml/2006/picture">
                <pic:pic>
                  <pic:nvPicPr>
                    <pic:cNvPr descr="media_bw/fig11.png" id="118" name="Picture"/>
                    <pic:cNvPicPr>
                      <a:picLocks noChangeArrowheads="1" noChangeAspect="1"/>
                    </pic:cNvPicPr>
                  </pic:nvPicPr>
                  <pic:blipFill>
                    <a:blip r:embed="rId116"/>
                    <a:stretch>
                      <a:fillRect/>
                    </a:stretch>
                  </pic:blipFill>
                  <pic:spPr bwMode="auto">
                    <a:xfrm>
                      <a:off x="0" y="0"/>
                      <a:ext cx="4142232" cy="7687826"/>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9"/>
    <w:bookmarkEnd w:id="120"/>
    <w:bookmarkStart w:id="127"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 </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21"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21"/>
    <w:bookmarkStart w:id="125"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5753100" cy="6601216"/>
            <wp:effectExtent b="0" l="0" r="0" t="0"/>
            <wp:docPr descr="Figure 12: RO6 planned workflow for formal security assurance and empirical validation" title="" id="123" name="Picture"/>
            <a:graphic>
              <a:graphicData uri="http://schemas.openxmlformats.org/drawingml/2006/picture">
                <pic:pic>
                  <pic:nvPicPr>
                    <pic:cNvPr descr="media_bw/fig12.png" id="124" name="Picture"/>
                    <pic:cNvPicPr>
                      <a:picLocks noChangeArrowheads="1" noChangeAspect="1"/>
                    </pic:cNvPicPr>
                  </pic:nvPicPr>
                  <pic:blipFill>
                    <a:blip r:embed="rId122"/>
                    <a:stretch>
                      <a:fillRect/>
                    </a:stretch>
                  </pic:blipFill>
                  <pic:spPr bwMode="auto">
                    <a:xfrm>
                      <a:off x="0" y="0"/>
                      <a:ext cx="5753100" cy="6601216"/>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5"/>
    <w:bookmarkStart w:id="126"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6"/>
    <w:bookmarkEnd w:id="127"/>
    <w:bookmarkStart w:id="128"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 stage implementation, the operational decision is based on Eq. (6).</w:t>
      </w:r>
    </w:p>
    <w:p>
      <w:pPr>
        <w:pStyle w:val="BodyText"/>
      </w:pPr>
      <w:r>
        <w:t xml:space="preserve"> </w:t>
      </w:r>
    </w:p>
    <w:p>
      <w:pPr>
        <w:pStyle w:val="BodyText"/>
      </w:pPr>
      <w:r>
        <w:t xml:space="preserve">The CA3 extension incorporates temporal and lifecycle conditions, as in Eq. (24).</w:t>
      </w:r>
    </w:p>
    <w:p>
      <w:pPr>
        <w:pStyle w:val="BodyText"/>
      </w:pPr>
      <w:r>
        <w:t xml:space="preserve"> </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8"/>
    <w:bookmarkEnd w:id="129"/>
    <w:bookmarkStart w:id="161"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implemented by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0"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0"/>
    <w:bookmarkStart w:id="134"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65445" cy="2746127"/>
            <wp:effectExtent b="0" l="0" r="0" t="0"/>
            <wp:docPr descr="Figure 13: HALAH patient subsystem – Create Smart Consent Contract" title="" id="132" name="Picture"/>
            <a:graphic>
              <a:graphicData uri="http://schemas.openxmlformats.org/drawingml/2006/picture">
                <pic:pic>
                  <pic:nvPicPr>
                    <pic:cNvPr descr="halah_media/media/image1.png" id="133" name="Picture"/>
                    <pic:cNvPicPr>
                      <a:picLocks noChangeArrowheads="1" noChangeAspect="1"/>
                    </pic:cNvPicPr>
                  </pic:nvPicPr>
                  <pic:blipFill>
                    <a:blip r:embed="rId131"/>
                    <a:stretch>
                      <a:fillRect/>
                    </a:stretch>
                  </pic:blipFill>
                  <pic:spPr bwMode="auto">
                    <a:xfrm>
                      <a:off x="0" y="0"/>
                      <a:ext cx="5465445" cy="2746127"/>
                    </a:xfrm>
                    <a:prstGeom prst="rect">
                      <a:avLst/>
                    </a:prstGeom>
                    <a:noFill/>
                    <a:ln w="9525">
                      <a:noFill/>
                      <a:headEnd/>
                      <a:tailEnd/>
                    </a:ln>
                  </pic:spPr>
                </pic:pic>
              </a:graphicData>
            </a:graphic>
          </wp:inline>
        </w:drawing>
      </w:r>
    </w:p>
    <w:p>
      <w:pPr>
        <w:pStyle w:val="ImageCaption"/>
      </w:pPr>
      <w:r>
        <w:t xml:space="preserve">Figure 13: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34"/>
    <w:bookmarkStart w:id="138"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operationalises the multi-party authorisation component of the proposed framework.</w:t>
      </w:r>
    </w:p>
    <w:p>
      <w:pPr>
        <w:pStyle w:val="CaptionedFigure"/>
      </w:pPr>
      <w:r>
        <w:drawing>
          <wp:inline>
            <wp:extent cx="5465445" cy="2225799"/>
            <wp:effectExtent b="0" l="0" r="0" t="0"/>
            <wp:docPr descr="Figure 14: HALAH guardian subsystem – Guardian Cryptographic Approval" title="" id="136" name="Picture"/>
            <a:graphic>
              <a:graphicData uri="http://schemas.openxmlformats.org/drawingml/2006/picture">
                <pic:pic>
                  <pic:nvPicPr>
                    <pic:cNvPr descr="halah_media/media/image2.png" id="137" name="Picture"/>
                    <pic:cNvPicPr>
                      <a:picLocks noChangeArrowheads="1" noChangeAspect="1"/>
                    </pic:cNvPicPr>
                  </pic:nvPicPr>
                  <pic:blipFill>
                    <a:blip r:embed="rId135"/>
                    <a:stretch>
                      <a:fillRect/>
                    </a:stretch>
                  </pic:blipFill>
                  <pic:spPr bwMode="auto">
                    <a:xfrm>
                      <a:off x="0" y="0"/>
                      <a:ext cx="5465445" cy="2225799"/>
                    </a:xfrm>
                    <a:prstGeom prst="rect">
                      <a:avLst/>
                    </a:prstGeom>
                    <a:noFill/>
                    <a:ln w="9525">
                      <a:noFill/>
                      <a:headEnd/>
                      <a:tailEnd/>
                    </a:ln>
                  </pic:spPr>
                </pic:pic>
              </a:graphicData>
            </a:graphic>
          </wp:inline>
        </w:drawing>
      </w:r>
    </w:p>
    <w:p>
      <w:pPr>
        <w:pStyle w:val="ImageCaption"/>
      </w:pPr>
      <w:r>
        <w:t xml:space="preserve">Figure 14: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38"/>
    <w:bookmarkStart w:id="145"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65445" cy="3388081"/>
            <wp:effectExtent b="0" l="0" r="0" t="0"/>
            <wp:docPr descr="Figure 15: HALAH doctor subsystem – consent information, state and authorised data scope" title="" id="140" name="Picture"/>
            <a:graphic>
              <a:graphicData uri="http://schemas.openxmlformats.org/drawingml/2006/picture">
                <pic:pic>
                  <pic:nvPicPr>
                    <pic:cNvPr descr="halah_media/media/image3.png" id="141" name="Picture"/>
                    <pic:cNvPicPr>
                      <a:picLocks noChangeArrowheads="1" noChangeAspect="1"/>
                    </pic:cNvPicPr>
                  </pic:nvPicPr>
                  <pic:blipFill>
                    <a:blip r:embed="rId139"/>
                    <a:stretch>
                      <a:fillRect/>
                    </a:stretch>
                  </pic:blipFill>
                  <pic:spPr bwMode="auto">
                    <a:xfrm>
                      <a:off x="0" y="0"/>
                      <a:ext cx="5465445" cy="3388081"/>
                    </a:xfrm>
                    <a:prstGeom prst="rect">
                      <a:avLst/>
                    </a:prstGeom>
                    <a:noFill/>
                    <a:ln w="9525">
                      <a:noFill/>
                      <a:headEnd/>
                      <a:tailEnd/>
                    </a:ln>
                  </pic:spPr>
                </pic:pic>
              </a:graphicData>
            </a:graphic>
          </wp:inline>
        </w:drawing>
      </w:r>
    </w:p>
    <w:p>
      <w:pPr>
        <w:pStyle w:val="ImageCaption"/>
      </w:pPr>
      <w:r>
        <w:t xml:space="preserve">Figure 15: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p>
    <w:p>
      <w:pPr>
        <w:pStyle w:val="BodyText"/>
      </w:pPr>
      <w:r>
        <w:t xml:space="preserve">The message shows Cryptographic Verification Successful — Access Granted.</w:t>
      </w:r>
    </w:p>
    <w:p>
      <w:pPr>
        <w:pStyle w:val="BodyText"/>
      </w:pPr>
      <w:r>
        <w:t xml:space="preserve">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65445" cy="3048937"/>
            <wp:effectExtent b="0" l="0" r="0" t="0"/>
            <wp:docPr descr="Figure 16: HALAH doctor subsystem – requested modules, access decision and authorised medical records" title="" id="143" name="Picture"/>
            <a:graphic>
              <a:graphicData uri="http://schemas.openxmlformats.org/drawingml/2006/picture">
                <pic:pic>
                  <pic:nvPicPr>
                    <pic:cNvPr descr="halah_media/media/image4.png" id="144" name="Picture"/>
                    <pic:cNvPicPr>
                      <a:picLocks noChangeArrowheads="1" noChangeAspect="1"/>
                    </pic:cNvPicPr>
                  </pic:nvPicPr>
                  <pic:blipFill>
                    <a:blip r:embed="rId142"/>
                    <a:stretch>
                      <a:fillRect/>
                    </a:stretch>
                  </pic:blipFill>
                  <pic:spPr bwMode="auto">
                    <a:xfrm>
                      <a:off x="0" y="0"/>
                      <a:ext cx="5465445" cy="3048937"/>
                    </a:xfrm>
                    <a:prstGeom prst="rect">
                      <a:avLst/>
                    </a:prstGeom>
                    <a:noFill/>
                    <a:ln w="9525">
                      <a:noFill/>
                      <a:headEnd/>
                      <a:tailEnd/>
                    </a:ln>
                  </pic:spPr>
                </pic:pic>
              </a:graphicData>
            </a:graphic>
          </wp:inline>
        </w:drawing>
      </w:r>
    </w:p>
    <w:p>
      <w:pPr>
        <w:pStyle w:val="ImageCaption"/>
      </w:pPr>
      <w:r>
        <w:t xml:space="preserve">Figure 16: HALAH doctor subsystem – requested modules, access decision and authorised medical records</w:t>
      </w:r>
    </w:p>
    <w:p>
      <w:pPr>
        <w:pStyle w:val="BodyText"/>
      </w:pPr>
      <w:r>
        <w:t xml:space="preserve">This distinction is central to the HALAH design. Consent and data access are not treated as identical events. Instead, it goes the flow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45"/>
    <w:bookmarkStart w:id="149"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65445" cy="2905354"/>
            <wp:effectExtent b="0" l="0" r="0" t="0"/>
            <wp:docPr descr="Figure 17: HALAH auditor subsystem – Blockchain Audit &amp; Consent Lifecycle" title="" id="147" name="Picture"/>
            <a:graphic>
              <a:graphicData uri="http://schemas.openxmlformats.org/drawingml/2006/picture">
                <pic:pic>
                  <pic:nvPicPr>
                    <pic:cNvPr descr="halah_media/media/image5.png" id="148" name="Picture"/>
                    <pic:cNvPicPr>
                      <a:picLocks noChangeArrowheads="1" noChangeAspect="1"/>
                    </pic:cNvPicPr>
                  </pic:nvPicPr>
                  <pic:blipFill>
                    <a:blip r:embed="rId146"/>
                    <a:stretch>
                      <a:fillRect/>
                    </a:stretch>
                  </pic:blipFill>
                  <pic:spPr bwMode="auto">
                    <a:xfrm>
                      <a:off x="0" y="0"/>
                      <a:ext cx="5465445" cy="2905354"/>
                    </a:xfrm>
                    <a:prstGeom prst="rect">
                      <a:avLst/>
                    </a:prstGeom>
                    <a:noFill/>
                    <a:ln w="9525">
                      <a:noFill/>
                      <a:headEnd/>
                      <a:tailEnd/>
                    </a:ln>
                  </pic:spPr>
                </pic:pic>
              </a:graphicData>
            </a:graphic>
          </wp:inline>
        </w:drawing>
      </w:r>
    </w:p>
    <w:p>
      <w:pPr>
        <w:pStyle w:val="ImageCaption"/>
      </w:pPr>
      <w:r>
        <w:t xml:space="preserve">Figure 17: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displayed records include:</w:t>
      </w:r>
      <w:r>
        <w:t xml:space="preserve"> </w:t>
      </w:r>
      <m:oMath>
        <m:r>
          <m:t>C</m:t>
        </m:r>
        <m:r>
          <m:t>R</m:t>
        </m:r>
        <m:r>
          <m:t>E</m:t>
        </m:r>
        <m:r>
          <m:t>A</m:t>
        </m:r>
        <m:r>
          <m:t>T</m:t>
        </m:r>
        <m:r>
          <m:t>E</m:t>
        </m:r>
        <m:r>
          <m:rPr>
            <m:nor/>
          </m:rPr>
          <m:t>_</m:t>
        </m:r>
        <m:r>
          <m:t>C</m:t>
        </m:r>
        <m:r>
          <m:t>O</m:t>
        </m:r>
        <m:r>
          <m:t>N</m:t>
        </m:r>
        <m:r>
          <m:t>S</m:t>
        </m:r>
        <m:r>
          <m:t>E</m:t>
        </m:r>
        <m:r>
          <m:t>N</m:t>
        </m:r>
        <m:r>
          <m:t>T</m:t>
        </m:r>
      </m:oMath>
    </w:p>
    <w:p>
      <w:pPr>
        <w:pStyle w:val="BodyText"/>
      </w:pPr>
      <w:r>
        <w:t xml:space="preserve">performed by the patient, followed by:</w:t>
      </w:r>
      <w:r>
        <w:t xml:space="preserve"> </w:t>
      </w:r>
      <m:oMath>
        <m:r>
          <m:t>S</m:t>
        </m:r>
        <m:r>
          <m:t>I</m:t>
        </m:r>
        <m:r>
          <m:t>G</m:t>
        </m:r>
        <m:r>
          <m:t>N</m:t>
        </m:r>
        <m:r>
          <m:rPr>
            <m:nor/>
          </m:rPr>
          <m:t>_</m:t>
        </m:r>
        <m:r>
          <m:t>C</m:t>
        </m:r>
        <m:r>
          <m:t>O</m:t>
        </m:r>
        <m:r>
          <m:t>N</m:t>
        </m:r>
        <m:r>
          <m:t>S</m:t>
        </m:r>
        <m:r>
          <m:t>E</m:t>
        </m:r>
        <m:r>
          <m:t>N</m:t>
        </m:r>
        <m:r>
          <m:t>T</m:t>
        </m:r>
      </m:oMath>
    </w:p>
    <w:p>
      <w:pPr>
        <w:pStyle w:val="BodyText"/>
      </w:pPr>
      <w:r>
        <w:t xml:space="preserve">performed by the guardians, followed by:</w:t>
      </w:r>
      <w:r>
        <w:t xml:space="preserve"> </w:t>
      </w:r>
      <m:oMath>
        <m:r>
          <m:t>M</m:t>
        </m:r>
        <m:r>
          <m:t>I</m:t>
        </m:r>
        <m:r>
          <m:t>N</m:t>
        </m:r>
        <m:r>
          <m:t>T</m:t>
        </m:r>
        <m:r>
          <m:rPr>
            <m:nor/>
          </m:rPr>
          <m:t>_</m:t>
        </m:r>
        <m:r>
          <m:t>S</m:t>
        </m:r>
        <m:r>
          <m:t>B</m:t>
        </m:r>
        <m:r>
          <m:t>T</m:t>
        </m:r>
      </m:oMath>
    </w:p>
    <w:p>
      <w:pPr>
        <w:pStyle w:val="BodyText"/>
      </w:pPr>
      <w:r>
        <w:t xml:space="preserve">performed by the smart contract.</w:t>
      </w:r>
    </w:p>
    <w:p>
      <w:pPr>
        <w:pStyle w:val="BodyText"/>
      </w:pPr>
      <w:r>
        <w:t xml:space="preserve">The subsequent system events:</w:t>
      </w:r>
      <w:r>
        <w:t xml:space="preserve"> </w:t>
      </w:r>
      <m:oMath>
        <m:r>
          <m:t>S</m:t>
        </m:r>
        <m:r>
          <m:t>T</m:t>
        </m:r>
        <m:r>
          <m:t>A</m:t>
        </m:r>
        <m:r>
          <m:t>T</m:t>
        </m:r>
        <m:r>
          <m:t>E</m:t>
        </m:r>
        <m:r>
          <m:rPr>
            <m:nor/>
          </m:rPr>
          <m:t>_</m:t>
        </m:r>
        <m:r>
          <m:t>C</m:t>
        </m:r>
        <m:r>
          <m:t>H</m:t>
        </m:r>
        <m:r>
          <m:t>E</m:t>
        </m:r>
        <m:r>
          <m:t>C</m:t>
        </m:r>
        <m:r>
          <m:t>K</m:t>
        </m:r>
      </m:oMath>
    </w:p>
    <w:p>
      <w:pPr>
        <w:pStyle w:val="BodyText"/>
      </w:pPr>
      <w:r>
        <w:t xml:space="preserve">demonstrate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p>
    <w:p>
      <w:pPr>
        <w:pStyle w:val="BodyText"/>
      </w:pPr>
      <w:r>
        <w:t xml:space="preserve">with the result:</w:t>
      </w:r>
      <w:r>
        <w:t xml:space="preserve"> </w:t>
      </w:r>
      <m:oMath>
        <m:r>
          <m:t>G</m:t>
        </m:r>
        <m:r>
          <m:t>R</m:t>
        </m:r>
        <m:r>
          <m:t>A</m:t>
        </m:r>
        <m:r>
          <m:t>N</m:t>
        </m:r>
        <m:r>
          <m:t>T</m:t>
        </m:r>
        <m:r>
          <m:t>E</m:t>
        </m:r>
        <m:r>
          <m:t>D</m:t>
        </m:r>
      </m:oMath>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49"/>
    <w:bookmarkStart w:id="150"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p>
      <w:pPr>
        <w:pStyle w:val="BodyText"/>
      </w:pPr>
      <w:r>
        <w:rPr>
          <w:b/>
          <w:bCs/>
        </w:rPr>
        <w:t xml:space="preserve">CA 3 Discussion</w:t>
      </w:r>
    </w:p>
    <w:bookmarkEnd w:id="150"/>
    <w:bookmarkStart w:id="151"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1"/>
    <w:bookmarkStart w:id="152"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2"/>
    <w:bookmarkStart w:id="153"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3"/>
    <w:bookmarkStart w:id="157" w:name="X88b3d53607b792a9f4430f1be3c348b9a46cb27"/>
    <w:p>
      <w:pPr>
        <w:pStyle w:val="Heading2"/>
      </w:pPr>
      <w:r>
        <w:t xml:space="preserve">7.10 Implementation Mapping to the Source Code</w:t>
      </w:r>
    </w:p>
    <w:p>
      <w:pPr>
        <w:pStyle w:val="FirstParagraph"/>
      </w:pPr>
      <w:r>
        <w:t xml:space="preserve">Table 8 shows how the MVC layers of Chapter 5 are realised in the HALAH prototype (repository commit 0a960ca, 22 September 2026), so that the architectural claims can be checked directly against the source code.</w:t>
      </w:r>
    </w:p>
    <w:p>
      <w:pPr>
        <w:pStyle w:val="TableCaption"/>
      </w:pPr>
      <w: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 2,</w:t>
            </w:r>
            <w:r>
              <w:t xml:space="preserve"> </w:t>
            </w:r>
            <m:oMath>
              <m:sSub>
                <m:e>
                  <m:r>
                    <m:t>V</m:t>
                  </m:r>
                </m:e>
                <m:sub>
                  <m:r>
                    <m:t>I</m:t>
                  </m:r>
                </m:sub>
              </m:sSub>
            </m:oMath>
            <w:r>
              <w:t xml:space="preserve">)</w:t>
            </w:r>
          </w:p>
        </w:tc>
      </w:tr>
      <w:tr>
        <w:trPr>
          <w:cantSplit/>
        </w:trPr>
        <w:tc>
          <w:tcPr/>
          <w:p>
            <w:pPr>
              <w:pStyle w:val="Compact"/>
              <w:jc w:val="left"/>
            </w:pPr>
            <w:r>
              <w:t xml:space="preserve">Controller</w:t>
            </w:r>
          </w:p>
        </w:tc>
        <w:tc>
          <w:tcPr/>
          <w:p>
            <w:pPr>
              <w:pStyle w:val="Compact"/>
              <w:jc w:val="left"/>
            </w:pPr>
            <w:r>
              <w:t xml:space="preserve">services/state_service.py</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[38], released only after authorisation</w:t>
            </w:r>
          </w:p>
        </w:tc>
      </w:tr>
      <w:tr>
        <w:trPr>
          <w:cantSplit/>
        </w:trPr>
        <w:tc>
          <w:tcPr/>
          <w:p>
            <w:pPr>
              <w:pStyle w:val="Compact"/>
              <w:jc w:val="left"/>
            </w:pPr>
            <w:r>
              <w:t xml:space="preserve">Smart contract</w:t>
            </w:r>
          </w:p>
        </w:tc>
        <w:tc>
          <w:tcPr/>
          <w:p>
            <w:pPr>
              <w:pStyle w:val="Compact"/>
              <w:jc w:val="left"/>
            </w:pPr>
            <w:r>
              <w:t xml:space="preserve">contracts/ConsentSBTv3.sol</w:t>
            </w:r>
          </w:p>
        </w:tc>
        <w:tc>
          <w:tcPr/>
          <w:p>
            <w:pPr>
              <w:pStyle w:val="Compact"/>
              <w:jc w:val="left"/>
            </w:pPr>
            <w:r>
              <w:t xml:space="preserve">Soulbound consent token; on-chain validity; ERC-5484 burn [40]</w:t>
            </w:r>
          </w:p>
        </w:tc>
      </w:tr>
    </w:tbl>
    <w:p>
      <w:pPr>
        <w:pStyle w:val="BodyText"/>
      </w:pPr>
      <w:r>
        <w:t xml:space="preserve">Figure 18 traces one consent through the four subsystems of the prototype and shows where each check is enforced and which events are written to the audit log.</w:t>
      </w:r>
    </w:p>
    <w:p>
      <w:pPr>
        <w:pStyle w:val="CaptionedFigure"/>
      </w:pPr>
      <w:r>
        <w:drawing>
          <wp:inline>
            <wp:extent cx="3886200" cy="7632356"/>
            <wp:effectExtent b="0" l="0" r="0" t="0"/>
            <wp:docPr descr="Figure 18: HALAH prototype workflow from consent creation to audited access decision" title="" id="155" name="Picture"/>
            <a:graphic>
              <a:graphicData uri="http://schemas.openxmlformats.org/drawingml/2006/picture">
                <pic:pic>
                  <pic:nvPicPr>
                    <pic:cNvPr descr="media_bw/fig_halah.png" id="156" name="Picture"/>
                    <pic:cNvPicPr>
                      <a:picLocks noChangeArrowheads="1" noChangeAspect="1"/>
                    </pic:cNvPicPr>
                  </pic:nvPicPr>
                  <pic:blipFill>
                    <a:blip r:embed="rId154"/>
                    <a:stretch>
                      <a:fillRect/>
                    </a:stretch>
                  </pic:blipFill>
                  <pic:spPr bwMode="auto">
                    <a:xfrm>
                      <a:off x="0" y="0"/>
                      <a:ext cx="3886200" cy="7632356"/>
                    </a:xfrm>
                    <a:prstGeom prst="rect">
                      <a:avLst/>
                    </a:prstGeom>
                    <a:noFill/>
                    <a:ln w="9525">
                      <a:noFill/>
                      <a:headEnd/>
                      <a:tailEnd/>
                    </a:ln>
                  </pic:spPr>
                </pic:pic>
              </a:graphicData>
            </a:graphic>
          </wp:inline>
        </w:drawing>
      </w:r>
    </w:p>
    <w:p>
      <w:pPr>
        <w:pStyle w:val="ImageCaption"/>
      </w:pPr>
      <w:r>
        <w:t xml:space="preserve">Figure 18: HALAH prototype workflow from consent creation to audited access decision</w:t>
      </w:r>
    </w:p>
    <w:bookmarkEnd w:id="157"/>
    <w:bookmarkStart w:id="158" w:name="automated-test-evidence"/>
    <w:p>
      <w:pPr>
        <w:pStyle w:val="Heading2"/>
      </w:pPr>
      <w:r>
        <w:t xml:space="preserve">7.11 Automated Test Evidence</w:t>
      </w:r>
    </w:p>
    <w:p>
      <w:pPr>
        <w:pStyle w:val="FirstParagraph"/>
      </w:pPr>
      <w:r>
        <w:t xml:space="preserve">Table 9 summarises the automated tests of the prototype (pytest 9.1.1, Python 3.11, run on 28 September 2026): 16 tests passed, 2 were skipped and none failed.</w:t>
      </w:r>
    </w:p>
    <w:p>
      <w:pPr>
        <w:pStyle w:val="TableCaption"/>
      </w:pPr>
      <w: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446"/>
        <w:gridCol w:w="1338"/>
        <w:gridCol w:w="4127"/>
        <w:gridCol w:w="892"/>
        <w:gridCol w:w="111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8"/>
    <w:bookmarkStart w:id="159" w:name="on-chain-evidence"/>
    <w:p>
      <w:pPr>
        <w:pStyle w:val="Heading2"/>
      </w:pPr>
      <w:r>
        <w:t xml:space="preserve">7.12 On-Chain Evidence</w:t>
      </w:r>
    </w:p>
    <w:p>
      <w:pPr>
        <w:pStyle w:val="FirstParagraph"/>
      </w:pPr>
      <w:r>
        <w:t xml:space="preserve">Table 10 lists the consent tokens anchored on the Ethereum Sepolia testnet (chain ID 11155111) by the ConsentSBTv2 contract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59"/>
    <w:bookmarkStart w:id="160" w:name="implementation-status-and-limitations"/>
    <w:p>
      <w:pPr>
        <w:pStyle w:val="Heading2"/>
      </w:pPr>
      <w:r>
        <w:t xml:space="preserve">7.13 Implementation Status and Limitations</w:t>
      </w:r>
    </w:p>
    <w:p>
      <w:pPr>
        <w:pStyle w:val="FirstParagraph"/>
      </w:pPr>
      <w:r>
        <w:t xml:space="preserve">The screenshots in Figures 13–17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t xml:space="preserve">Guardian signing keys are derived from the DID for demonstration; a deployment would use each guardian’s own wallet.</w:t>
      </w:r>
    </w:p>
    <w:p>
      <w:pPr>
        <w:pStyle w:val="Compact"/>
        <w:numPr>
          <w:ilvl w:val="0"/>
          <w:numId w:val="1075"/>
        </w:numPr>
      </w:pPr>
      <w:r>
        <w:t xml:space="preserve">DID verification is syntactic, and no W3C Verifiable Credential is yet issued or verified (Stage 2).</w:t>
      </w:r>
    </w:p>
    <w:p>
      <w:pPr>
        <w:pStyle w:val="Compact"/>
        <w:numPr>
          <w:ilvl w:val="0"/>
          <w:numId w:val="1075"/>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5"/>
        </w:numPr>
      </w:pPr>
      <w:r>
        <w:t xml:space="preserve">Purpose is checked against a fixed list; per-request purpose binding is Stage 2 work.</w:t>
      </w:r>
    </w:p>
    <w:p>
      <w:pPr>
        <w:pStyle w:val="Compact"/>
        <w:numPr>
          <w:ilvl w:val="0"/>
          <w:numId w:val="1075"/>
        </w:numPr>
      </w:pPr>
      <w:r>
        <w:t xml:space="preserve">Data release is gated by consent state, proof and scope rather than by the full decision matrix.</w:t>
      </w:r>
    </w:p>
    <w:p>
      <w:pPr>
        <w:pStyle w:val="Compact"/>
        <w:numPr>
          <w:ilvl w:val="0"/>
          <w:numId w:val="1075"/>
        </w:numPr>
      </w:pPr>
      <w:r>
        <w:t xml:space="preserve">Healthcare data are synthetic (Synthea [38]), and the blockchain is a public testnet rather than a production network.</w:t>
      </w:r>
    </w:p>
    <w:p>
      <w:pPr>
        <w:pStyle w:val="Compact"/>
        <w:numPr>
          <w:ilvl w:val="0"/>
          <w:numId w:val="1075"/>
        </w:numPr>
      </w:pPr>
      <w:r>
        <w:t xml:space="preserve">The Groth16 circuit proves consent validity only and uses a development-only trusted setup.</w:t>
      </w:r>
    </w:p>
    <w:p>
      <w:pPr>
        <w:pStyle w:val="Compact"/>
        <w:numPr>
          <w:ilvl w:val="0"/>
          <w:numId w:val="1075"/>
        </w:numPr>
      </w:pPr>
      <w:r>
        <w:t xml:space="preserve">Evaluation to date is functional (18 automated tests); performance and adversarial measurements are Stage 2 work.</w:t>
      </w:r>
    </w:p>
    <w:bookmarkEnd w:id="160"/>
    <w:bookmarkEnd w:id="161"/>
    <w:bookmarkStart w:id="168" w:name="current-progress-status"/>
    <w:p>
      <w:pPr>
        <w:pStyle w:val="Heading1"/>
      </w:pPr>
      <w:r>
        <w:t xml:space="preserve">8 Current Progress Status</w:t>
      </w:r>
    </w:p>
    <w:bookmarkStart w:id="162"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 </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provides a conceptual basis for dynamic access decisions and allows subsequent authorisation conditions to be evaluated consistently.</w:t>
      </w:r>
    </w:p>
    <w:bookmarkEnd w:id="162"/>
    <w:bookmarkStart w:id="163"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 </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 </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9, T1).</w:t>
      </w:r>
    </w:p>
    <w:bookmarkEnd w:id="163"/>
    <w:bookmarkStart w:id="164"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 </w:t>
      </w:r>
    </w:p>
    <w:p>
      <w:pPr>
        <w:pStyle w:val="BodyText"/>
      </w:pPr>
      <w:r>
        <w:t xml:space="preserve">If the threshold is not satisfied, the decision is DENY (Eq. (10)).</w:t>
      </w:r>
    </w:p>
    <w:p>
      <w:pPr>
        <w:pStyle w:val="BodyText"/>
      </w:pPr>
      <w:r>
        <w:t xml:space="preserve"> </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14; Table 9, T3).</w:t>
      </w:r>
    </w:p>
    <w:p>
      <w:pPr>
        <w:pStyle w:val="BodyText"/>
      </w:pPr>
      <w:r>
        <w:t xml:space="preserve"> </w:t>
      </w:r>
    </w:p>
    <w:p>
      <w:pPr>
        <w:pStyle w:val="BodyText"/>
      </w:pPr>
      <w:r>
        <w:t xml:space="preserve">This provides preliminary evidence that the proposed framework can enforce collective rather than unilateral authorisation.</w:t>
      </w:r>
    </w:p>
    <w:bookmarkEnd w:id="164"/>
    <w:bookmarkStart w:id="165"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15–16,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65"/>
    <w:bookmarkStart w:id="166"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by Eq. (12).</w:t>
      </w:r>
    </w:p>
    <w:p>
      <w:pPr>
        <w:pStyle w:val="BodyText"/>
      </w:pPr>
      <w:r>
        <w:t xml:space="preserve"> </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6"/>
    <w:bookmarkStart w:id="167"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 </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7"/>
    <w:bookmarkEnd w:id="168"/>
    <w:bookmarkStart w:id="169"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 Table 11: Summary of Research Outputs and Publication Plan</w:t>
      </w:r>
    </w:p>
    <w:tbl>
      <w:tblPr>
        <w:tblStyle w:val="Table"/>
        <w:tblW w:type="pct" w:w="5000"/>
        <w:tblLayout w:type="fixed"/>
        <w:tblLook w:firstRow="1" w:lastRow="0" w:firstColumn="0" w:lastColumn="0" w:noHBand="0" w:noVBand="0" w:val="0020"/>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[name the target journal]</w:t>
            </w:r>
          </w:p>
        </w:tc>
        <w:tc>
          <w:tcPr/>
          <w:p>
            <w:pPr>
              <w:pStyle w:val="Compact"/>
              <w:jc w:val="left"/>
            </w:pPr>
            <w:r>
              <w:t xml:space="preserve">Draft complete; submission planned [month] 2026</w:t>
            </w:r>
          </w:p>
        </w:tc>
        <w:tc>
          <w:tcPr/>
          <w:p>
            <w:pPr>
              <w:pStyle w:val="Compact"/>
              <w:jc w:val="left"/>
            </w:pPr>
            <w:r>
              <w:t xml:space="preserve">Core architectural contribution; addresses SRQ1-RQ4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9"/>
    <w:bookmarkStart w:id="172" w:name="research-plan"/>
    <w:p>
      <w:pPr>
        <w:pStyle w:val="Heading1"/>
      </w:pPr>
      <w:r>
        <w:t xml:space="preserve">10 Research Plan</w:t>
      </w:r>
    </w:p>
    <w:p>
      <w:pPr>
        <w:pStyle w:val="FirstParagraph"/>
      </w:pPr>
      <w:r>
        <w:t xml:space="preserve">The research plan is divided into two major stages corresponding to current and next stage.</w:t>
      </w:r>
    </w:p>
    <w:bookmarkStart w:id="170"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0"/>
    <w:bookmarkStart w:id="171"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12: Next Stage Research Activities, Methodological Focus, and Expected Outcomes</w:t>
      </w:r>
    </w:p>
    <w:tbl>
      <w:tblPr>
        <w:tblStyle w:val="Table"/>
        <w:tblW w:type="pct" w:w="5000"/>
        <w:tblLayout w:type="fixed"/>
        <w:tblLook w:firstRow="1" w:lastRow="0" w:firstColumn="0" w:lastColumn="0" w:noHBand="0" w:noVBand="0" w:val="0020"/>
        <w:tblCaption w:val="Table 12: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 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1"/>
    <w:bookmarkEnd w:id="172"/>
    <w:bookmarkStart w:id="173"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bookmarkEnd w:id="173"/>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6" Target="media/rId16.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2026-09-28T10:51:27Z</dcterms:created>
  <dcterms:modified xsi:type="dcterms:W3CDTF">2026-09-28T10:51:27Z</dcterms:modified>
</cp:coreProperties>
</file>

<file path=docProps/custom.xml><?xml version="1.0" encoding="utf-8"?>
<Properties xmlns="http://schemas.openxmlformats.org/officeDocument/2006/custom-properties" xmlns:vt="http://schemas.openxmlformats.org/officeDocument/2006/docPropsVTypes"/>
</file>