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2.png" ContentType="image/png"/>
  <Override PartName="/word/media/rId57.png" ContentType="image/png"/>
  <Override PartName="/word/media/rId60.png" ContentType="image/png"/>
  <Override PartName="/word/media/rId64.png" ContentType="image/png"/>
  <Override PartName="/word/media/rId71.png" ContentType="image/png"/>
  <Override PartName="/word/media/rId85.png" ContentType="image/png"/>
  <Override PartName="/word/media/rId93.png" ContentType="image/png"/>
  <Override PartName="/word/media/rId100.png" ContentType="image/png"/>
  <Override PartName="/word/media/rId106.png" ContentType="image/png"/>
  <Override PartName="/word/media/rId115.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Authorization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August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subsequent next stage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7"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7" w:name="systematic-literature-review-methodology"/>
    <w:p>
      <w:pPr>
        <w:pStyle w:val="Heading2"/>
      </w:pPr>
      <w:r>
        <w:t xml:space="preserve">2.2 Systematic Literature Review Methodology</w:t>
      </w:r>
    </w:p>
    <w:p>
      <w:pPr>
        <w:pStyle w:val="FirstParagraph"/>
      </w:pPr>
      <w: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pStyle w:val="BodyText"/>
      </w:pPr>
      <w: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bookmarkEnd w:id="14"/>
    <w:bookmarkStart w:id="15" w:name="questions-for-review"/>
    <w:p>
      <w:pPr>
        <w:pStyle w:val="Heading3"/>
      </w:pPr>
      <w:r>
        <w:t xml:space="preserve">2.2.2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decentralized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decentralized 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on</w:t>
      </w:r>
      <w:r>
        <w:t xml:space="preserve"> </w:t>
      </w:r>
      <w:r>
        <w:rPr>
          <w:b/>
          <w:bCs/>
        </w:rPr>
        <w:t xml:space="preserve">August 2026</w:t>
      </w:r>
      <w:r>
        <w:t xml:space="preserve">.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decentralized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65445" cy="2819058"/>
            <wp:effectExtent b="0" l="0" r="0" t="0"/>
            <wp:docPr descr="Figure 2: PRISMA Study Selection Summary" title="" id="23" name="Picture"/>
            <a:graphic>
              <a:graphicData uri="http://schemas.openxmlformats.org/drawingml/2006/picture">
                <pic:pic>
                  <pic:nvPicPr>
                    <pic:cNvPr descr="media/fig02.png" id="24" name="Picture"/>
                    <pic:cNvPicPr>
                      <a:picLocks noChangeArrowheads="1" noChangeAspect="1"/>
                    </pic:cNvPicPr>
                  </pic:nvPicPr>
                  <pic:blipFill>
                    <a:blip r:embed="rId22"/>
                    <a:stretch>
                      <a:fillRect/>
                    </a:stretch>
                  </pic:blipFill>
                  <pic:spPr bwMode="auto">
                    <a:xfrm>
                      <a:off x="0" y="0"/>
                      <a:ext cx="5465445" cy="2819058"/>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BodyText"/>
      </w:pPr>
      <w: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End w:id="27"/>
    <w:bookmarkStart w:id="35" w:name="review"/>
    <w:p>
      <w:pPr>
        <w:pStyle w:val="Heading2"/>
      </w:pPr>
      <w:r>
        <w:t xml:space="preserve">2.3 Review</w:t>
      </w:r>
    </w:p>
    <w:p>
      <w:pPr>
        <w:pStyle w:val="FirstParagraph"/>
      </w:pPr>
      <w: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Start w:id="28"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8"/>
    <w:bookmarkStart w:id="29"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29"/>
    <w:bookmarkStart w:id="30"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0"/>
    <w:bookmarkStart w:id="31"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1"/>
    <w:bookmarkStart w:id="32"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observations and medications,</w:t>
      </w:r>
    </w:p>
    <w:p>
      <w:pPr>
        <w:pStyle w:val="BodyText"/>
      </w:pPr>
      <m:oMathPara>
        <m:oMathParaPr>
          <m:jc m:val="center"/>
        </m:oMathParaPr>
        <m:oMath>
          <m:sSub>
            <m:e>
              <m:r>
                <m:t>S</m:t>
              </m:r>
            </m:e>
            <m:sub>
              <m:r>
                <m:t>C</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rPr>
              <m:sty m:val="p"/>
            </m:rPr>
            <m:t>,</m:t>
          </m:r>
          <m:r>
            <m:t>  </m:t>
          </m:r>
          <m:r>
            <m:t>  </m:t>
          </m:r>
          <m:r>
            <m:rPr>
              <m:sty m:val="p"/>
            </m:rPr>
            <m:t>(</m:t>
          </m:r>
          <m:r>
            <m:t>3</m:t>
          </m:r>
          <m:r>
            <m:rPr>
              <m:sty m:val="p"/>
            </m:rPr>
            <m:t>)</m:t>
          </m:r>
        </m:oMath>
      </m:oMathPara>
    </w:p>
    <w:p>
      <w:pPr>
        <w:pStyle w:val="FirstParagraph"/>
      </w:pPr>
      <w:r>
        <w:t xml:space="preserve">then a request for observations, medications, and procedures,</w:t>
      </w:r>
    </w:p>
    <w:p>
      <w:pPr>
        <w:pStyle w:val="BodyText"/>
      </w:pPr>
      <m:oMathPara>
        <m:oMathParaPr>
          <m:jc m:val="center"/>
        </m:oMathParaPr>
        <m:oMath>
          <m:sSub>
            <m:e>
              <m:r>
                <m:t>S</m:t>
              </m:r>
            </m:e>
            <m:sub>
              <m:r>
                <m:t>R</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2"/>
    <w:bookmarkStart w:id="33"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3"/>
    <w:bookmarkStart w:id="34"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[31, 22, 14, 24, 12, 13, 10]</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7, 3, 30, 26, 8, 29]</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[20, 33, 4, 16, 27, 5]</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[19, 4, 21, 9]</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[32, 11, 28, 25]</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[23, 17, 18]</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4"/>
    <w:bookmarkEnd w:id="35"/>
    <w:bookmarkStart w:id="36"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6"/>
    <w:bookmarkEnd w:id="37"/>
    <w:bookmarkStart w:id="48" w:name="research-gaps-and-questions"/>
    <w:p>
      <w:pPr>
        <w:pStyle w:val="Heading1"/>
      </w:pPr>
      <w:r>
        <w:t xml:space="preserve">3 Research Gaps and Questions</w:t>
      </w:r>
    </w:p>
    <w:bookmarkStart w:id="38"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8"/>
    <w:bookmarkStart w:id="39"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39"/>
    <w:bookmarkStart w:id="46"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0"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0"/>
    <w:bookmarkStart w:id="41"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w:t>
      </w:r>
      <w:r>
        <w:rPr>
          <w:i/>
          <w:iCs/>
        </w:rPr>
        <w:t xml:space="preserve">Identity</w:t>
      </w:r>
      <w:r>
        <w:t xml:space="preserve"≯ =</w:t>
      </w:r>
      <w:r>
        <w:t xml:space="preserve"> </w:t>
      </w:r>
      <w:r>
        <w:rPr>
          <w:i/>
          <w:iCs/>
        </w:rPr>
        <w:t xml:space="preserve">Authorisation.</w:t>
      </w:r>
      <w:r>
        <w:t xml:space="preserve"> </w:t>
      </w:r>
      <w:r>
        <w:t xml:space="preserve">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1"/>
    <w:bookmarkStart w:id="42"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2"/>
    <w:bookmarkStart w:id="43"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if a consent authorises access to</w:t>
      </w:r>
    </w:p>
    <w:p>
      <w:pPr>
        <w:pStyle w:val="BodyText"/>
      </w:pPr>
      <m:oMathPara>
        <m:oMathParaPr>
          <m:jc m:val="center"/>
        </m:oMathParaPr>
        <m:oMath>
          <m:sSub>
            <m:e>
              <m:r>
                <m:t>S</m:t>
              </m:r>
            </m:e>
            <m:sub>
              <m:r>
                <m:t>C</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  </m:t>
          </m:r>
          <m:r>
            <m:t>  </m:t>
          </m:r>
          <m:r>
            <m:rPr>
              <m:sty m:val="p"/>
            </m:rPr>
            <m:t>(</m:t>
          </m:r>
          <m:r>
            <m:t>12</m:t>
          </m:r>
          <m:r>
            <m:rPr>
              <m:sty m:val="p"/>
            </m:rPr>
            <m:t>)</m:t>
          </m:r>
        </m:oMath>
      </m:oMathPara>
    </w:p>
    <w:p>
      <w:pPr>
        <w:pStyle w:val="FirstParagraph"/>
      </w:pPr>
      <w:r>
        <w:t xml:space="preserve">while the request contains</w:t>
      </w:r>
    </w:p>
    <w:p>
      <w:pPr>
        <w:pStyle w:val="BodyText"/>
      </w:pPr>
      <m:oMathPara>
        <m:oMathParaPr>
          <m:jc m:val="center"/>
        </m:oMathParaPr>
        <m:oMath>
          <m:sSub>
            <m:e>
              <m:r>
                <m:t>S</m:t>
              </m:r>
            </m:e>
            <m:sub>
              <m:r>
                <m:t>R</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  </m:t>
          </m:r>
          <m:r>
            <m:t>  </m:t>
          </m:r>
          <m:r>
            <m:rPr>
              <m:sty m:val="p"/>
            </m:rPr>
            <m:t>(</m:t>
          </m:r>
          <m:r>
            <m:t>13</m:t>
          </m:r>
          <m:r>
            <m:rPr>
              <m:sty m:val="p"/>
            </m:rPr>
            <m:t>)</m:t>
          </m:r>
        </m:oMath>
      </m:oMathPara>
    </w:p>
    <w:p>
      <w:pPr>
        <w:pStyle w:val="FirstParagraph"/>
      </w:pPr>
      <w:r>
        <w:t xml:space="preserve">the request must be rejected when</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14</m:t>
          </m:r>
          <m:r>
            <m:rPr>
              <m:sty m:val="p"/>
            </m:rPr>
            <m:t>)</m:t>
          </m:r>
        </m:oMath>
      </m:oMathPara>
    </w:p>
    <w:p>
      <w:pPr>
        <w:pStyle w:val="FirstParagraph"/>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3"/>
    <w:bookmarkStart w:id="44"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15</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16</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17</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18</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4"/>
    <w:bookmarkStart w:id="45"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19</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20</m:t>
          </m:r>
          <m:r>
            <m:rPr>
              <m:sty m:val="p"/>
            </m:rPr>
            <m:t>)</m:t>
          </m:r>
        </m:oMath>
      </m:oMathPara>
    </w:p>
    <w:p>
      <w:pPr>
        <w:pStyle w:val="FirstParagraph"/>
      </w:pPr>
      <w:r>
        <w:t xml:space="preserve">authorisation integrity</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21</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22</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23</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24</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25</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26</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5"/>
    <w:bookmarkEnd w:id="46"/>
    <w:bookmarkStart w:id="47"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27</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D</m:t>
          </m:r>
          <m:r>
            <m:t>E</m:t>
          </m:r>
          <m:r>
            <m:t>N</m:t>
          </m:r>
          <m:r>
            <m:t>Y</m:t>
          </m:r>
          <m:r>
            <m:rPr>
              <m:sty m:val="p"/>
            </m:rPr>
            <m:t>.</m:t>
          </m:r>
          <m:r>
            <m:t>  </m:t>
          </m:r>
          <m:r>
            <m:t>  </m:t>
          </m:r>
          <m:r>
            <m:rPr>
              <m:sty m:val="p"/>
            </m:rPr>
            <m:t>(</m:t>
          </m:r>
          <m:r>
            <m:t>28</m:t>
          </m:r>
          <m:r>
            <m:rPr>
              <m:sty m:val="p"/>
            </m:rPr>
            <m:t>)</m:t>
          </m:r>
        </m:oMath>
      </m:oMathPara>
    </w:p>
    <w:p>
      <w:pPr>
        <w:pStyle w:val="FirstParagraph"/>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seamlessly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7"/>
    <w:bookmarkEnd w:id="48"/>
    <w:bookmarkStart w:id="56"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 while the final two objectives extend and evaluate these mechanisms as part of the next research programme.</w:t>
      </w:r>
    </w:p>
    <w:bookmarkStart w:id="49"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bookmarkEnd w:id="49"/>
    <w:bookmarkStart w:id="50"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0"/>
    <w:bookmarkStart w:id="51"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RQ3 and extends the consent model from an individual permission statement to a collective authorisation decision.</w:t>
      </w:r>
    </w:p>
    <w:bookmarkEnd w:id="51"/>
    <w:bookmarkStart w:id="52"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bookmarkEnd w:id="52"/>
    <w:bookmarkStart w:id="53"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 stageresearch programme. It will investigate how temporal and lifecycle conditions can be incorporated into the authorisation decision without weakening the trust relationships established by the current stage mechanisms.</w:t>
      </w:r>
    </w:p>
    <w:bookmarkEnd w:id="53"/>
    <w:bookmarkStart w:id="54"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next stage works.</w:t>
      </w:r>
    </w:p>
    <w:bookmarkEnd w:id="54"/>
    <w:bookmarkStart w:id="55"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3 and Table 3.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 Thesis Chapters for CA3</w:t>
      </w:r>
    </w:p>
    <w:tbl>
      <w:tblPr>
        <w:tblStyle w:val="Table"/>
        <w:tblW w:type="pct" w:w="5000"/>
        <w:tblLayout w:type="fixed"/>
        <w:tblLook w:firstRow="1" w:lastRow="0" w:firstColumn="0" w:lastColumn="0" w:noHBand="0" w:noVBand="0" w:val="0020"/>
        <w:tblCaption w:val="Table 4: Research Questions, Research Objectives, and Thesis Chapters for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29</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30</m:t>
          </m:r>
          <m:r>
            <m:rPr>
              <m:sty m:val="p"/>
            </m:rPr>
            <m:t>)</m:t>
          </m:r>
        </m:oMath>
      </m:oMathPara>
    </w:p>
    <w:p>
      <w:pPr>
        <w:pStyle w:val="FirstParagraph"/>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5"/>
    <w:bookmarkEnd w:id="56"/>
    <w:bookmarkStart w:id="84"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0"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65445" cy="3378365"/>
            <wp:effectExtent b="0" l="0" r="0" t="0"/>
            <wp:docPr descr="Figure 3: Layered MVC Architecture and Component Decomposition of the HALAH Framework" title="" id="58" name="Picture"/>
            <a:graphic>
              <a:graphicData uri="http://schemas.openxmlformats.org/drawingml/2006/picture">
                <pic:pic>
                  <pic:nvPicPr>
                    <pic:cNvPr descr="media/fig03.png" id="59" name="Picture"/>
                    <pic:cNvPicPr>
                      <a:picLocks noChangeArrowheads="1" noChangeAspect="1"/>
                    </pic:cNvPicPr>
                  </pic:nvPicPr>
                  <pic:blipFill>
                    <a:blip r:embed="rId57"/>
                    <a:stretch>
                      <a:fillRect/>
                    </a:stretch>
                  </pic:blipFill>
                  <pic:spPr bwMode="auto">
                    <a:xfrm>
                      <a:off x="0" y="0"/>
                      <a:ext cx="5465445" cy="3378365"/>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bookmarkStart w:id="63"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65445" cy="848345"/>
            <wp:effectExtent b="0" l="0" r="0" t="0"/>
            <wp:docPr descr="Figure 4: Functional Decomposition of the MVC Components" title="" id="61" name="Picture"/>
            <a:graphic>
              <a:graphicData uri="http://schemas.openxmlformats.org/drawingml/2006/picture">
                <pic:pic>
                  <pic:nvPicPr>
                    <pic:cNvPr descr="media/fig04.png" id="62" name="Picture"/>
                    <pic:cNvPicPr>
                      <a:picLocks noChangeArrowheads="1" noChangeAspect="1"/>
                    </pic:cNvPicPr>
                  </pic:nvPicPr>
                  <pic:blipFill>
                    <a:blip r:embed="rId60"/>
                    <a:stretch>
                      <a:fillRect/>
                    </a:stretch>
                  </pic:blipFill>
                  <pic:spPr bwMode="auto">
                    <a:xfrm>
                      <a:off x="0" y="0"/>
                      <a:ext cx="5465445" cy="848345"/>
                    </a:xfrm>
                    <a:prstGeom prst="rect">
                      <a:avLst/>
                    </a:prstGeom>
                    <a:noFill/>
                    <a:ln w="9525">
                      <a:noFill/>
                      <a:headEnd/>
                      <a:tailEnd/>
                    </a:ln>
                  </pic:spPr>
                </pic:pic>
              </a:graphicData>
            </a:graphic>
          </wp:inline>
        </w:drawing>
      </w:r>
    </w:p>
    <w:p>
      <w:pPr>
        <w:pStyle w:val="ImageCaption"/>
      </w:pPr>
      <w:r>
        <w:t xml:space="preserve">Figure 4: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3"/>
    <w:bookmarkStart w:id="67"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31</m:t>
          </m:r>
          <m:r>
            <m:rPr>
              <m:sty m:val="p"/>
            </m:rPr>
            <m:t>)</m:t>
          </m:r>
        </m:oMath>
      </m:oMathPara>
    </w:p>
    <w:p>
      <w:pPr>
        <w:pStyle w:val="FirstParagraph"/>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D</m:t>
          </m:r>
          <m:r>
            <m:t>E</m:t>
          </m:r>
          <m:r>
            <m:t>N</m:t>
          </m:r>
          <m:r>
            <m:t>Y</m:t>
          </m:r>
          <m:r>
            <m:rPr>
              <m:sty m:val="p"/>
            </m:rPr>
            <m:t>.</m:t>
          </m:r>
          <m:r>
            <m:t>  </m:t>
          </m:r>
          <m:r>
            <m:t>  </m:t>
          </m:r>
          <m:r>
            <m:rPr>
              <m:sty m:val="p"/>
            </m:rPr>
            <m:t>(</m:t>
          </m:r>
          <m:r>
            <m:t>32</m:t>
          </m:r>
          <m:r>
            <m:rPr>
              <m:sty m:val="p"/>
            </m:rPr>
            <m:t>)</m:t>
          </m:r>
        </m:oMath>
      </m:oMathPara>
    </w:p>
    <w:p>
      <w:pPr>
        <w:pStyle w:val="CaptionedFigure"/>
      </w:pPr>
      <w:r>
        <w:drawing>
          <wp:inline>
            <wp:extent cx="3043824" cy="7519791"/>
            <wp:effectExtent b="0" l="0" r="0" t="0"/>
            <wp:docPr descr="Figure 5: Trust Predicate Evaluation and Authorisation Decision Flow" title="" id="65" name="Picture"/>
            <a:graphic>
              <a:graphicData uri="http://schemas.openxmlformats.org/drawingml/2006/picture">
                <pic:pic>
                  <pic:nvPicPr>
                    <pic:cNvPr descr="media/fig05.png" id="66" name="Picture"/>
                    <pic:cNvPicPr>
                      <a:picLocks noChangeArrowheads="1" noChangeAspect="1"/>
                    </pic:cNvPicPr>
                  </pic:nvPicPr>
                  <pic:blipFill>
                    <a:blip r:embed="rId64"/>
                    <a:stretch>
                      <a:fillRect/>
                    </a:stretch>
                  </pic:blipFill>
                  <pic:spPr bwMode="auto">
                    <a:xfrm>
                      <a:off x="0" y="0"/>
                      <a:ext cx="3043824" cy="7519791"/>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7"/>
    <w:bookmarkStart w:id="68"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following</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8"/>
    <w:bookmarkStart w:id="69"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69"/>
    <w:bookmarkEnd w:id="70"/>
    <w:bookmarkStart w:id="74" w:name="Xaaca485badbb4d0f2907cf52a0a8966b9bfd5bf"/>
    <w:p>
      <w:pPr>
        <w:pStyle w:val="Heading2"/>
      </w:pPr>
      <w:r>
        <w:t xml:space="preserve">5.2 Trust-Oriented Consent Authorization Workflow</w:t>
      </w:r>
    </w:p>
    <w:p>
      <w:pPr>
        <w:pStyle w:val="FirstParagraph"/>
      </w:pPr>
      <w: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w:t>
      </w:r>
    </w:p>
    <w:p>
      <w:pPr>
        <w:pStyle w:val="BodyText"/>
      </w:pPr>
      <w:r>
        <w:t xml:space="preserve">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w:t>
      </w:r>
    </w:p>
    <w:p>
      <w:pPr>
        <w:pStyle w:val="BodyText"/>
      </w:pPr>
      <w:r>
        <w:t xml:space="preserve">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authorization threshold. Multi-party authorization is satisfied when</w:t>
      </w:r>
    </w:p>
    <w:p>
      <w:pPr>
        <w:pStyle w:val="CaptionedFigure"/>
      </w:pPr>
      <w:r>
        <w:drawing>
          <wp:inline>
            <wp:extent cx="2434224" cy="7686805"/>
            <wp:effectExtent b="0" l="0" r="0" t="0"/>
            <wp:docPr descr="Figure 6: End-to-End Workflow of Trust-Oriented Consent Authorization Framework" title="" id="72" name="Picture"/>
            <a:graphic>
              <a:graphicData uri="http://schemas.openxmlformats.org/drawingml/2006/picture">
                <pic:pic>
                  <pic:nvPicPr>
                    <pic:cNvPr descr="media/fig06.png" id="73" name="Picture"/>
                    <pic:cNvPicPr>
                      <a:picLocks noChangeArrowheads="1" noChangeAspect="1"/>
                    </pic:cNvPicPr>
                  </pic:nvPicPr>
                  <pic:blipFill>
                    <a:blip r:embed="rId71"/>
                    <a:stretch>
                      <a:fillRect/>
                    </a:stretch>
                  </pic:blipFill>
                  <pic:spPr bwMode="auto">
                    <a:xfrm>
                      <a:off x="0" y="0"/>
                      <a:ext cx="2434224" cy="7686805"/>
                    </a:xfrm>
                    <a:prstGeom prst="rect">
                      <a:avLst/>
                    </a:prstGeom>
                    <a:noFill/>
                    <a:ln w="9525">
                      <a:noFill/>
                      <a:headEnd/>
                      <a:tailEnd/>
                    </a:ln>
                  </pic:spPr>
                </pic:pic>
              </a:graphicData>
            </a:graphic>
          </wp:inline>
        </w:drawing>
      </w:r>
    </w:p>
    <w:p>
      <w:pPr>
        <w:pStyle w:val="ImageCaption"/>
      </w:pPr>
      <w:r>
        <w:t xml:space="preserve">Figure 6: End-to-End Workflow of Trust-Oriented Consent Authorization Framework</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33</m:t>
          </m:r>
          <m:r>
            <m:rPr>
              <m:sty m:val="p"/>
            </m:rPr>
            <m:t>)</m:t>
          </m:r>
        </m:oMath>
      </m:oMathPara>
    </w:p>
    <w:p>
      <w:pPr>
        <w:pStyle w:val="FirstParagraph"/>
      </w:pPr>
      <w:r>
        <w:t xml:space="preserve">If the required threshold is not satisfied, the authorization process terminates with a denial decision. This prevents a single participant from unilaterally establishing authorization when the consent policy requires collective approval.</w:t>
      </w:r>
    </w:p>
    <w:p>
      <w:pPr>
        <w:pStyle w:val="BodyText"/>
      </w:pPr>
      <w:r>
        <w:t xml:space="preserve">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w:t>
      </w:r>
      <w:r>
        <w:t xml:space="preserve"> </w:t>
      </w:r>
      <w:r>
        <w:rPr>
          <w:i/>
          <w:iCs/>
        </w:rPr>
        <w:t xml:space="preserve">Observation, Medication</w:t>
      </w:r>
      <w:r>
        <w:t xml:space="preserve">, a request additionally containing</w:t>
      </w:r>
      <w:r>
        <w:t xml:space="preserve"> </w:t>
      </w:r>
      <w:r>
        <w:rPr>
          <w:i/>
          <w:iCs/>
        </w:rPr>
        <w:t xml:space="preserve">Procedure</w:t>
      </w:r>
      <w:r>
        <w:t xml:space="preserve"> </w:t>
      </w:r>
      <w:r>
        <w:t xml:space="preserve">should not be authorized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34</m:t>
          </m:r>
          <m:r>
            <m:rPr>
              <m:sty m:val="p"/>
            </m:rPr>
            <m:t>)</m:t>
          </m:r>
        </m:oMath>
      </m:oMathPara>
    </w:p>
    <w:p>
      <w:pPr>
        <w:pStyle w:val="FirstParagraph"/>
      </w:pPr>
      <w:r>
        <w:t xml:space="preserve">where</w:t>
      </w:r>
      <w:r>
        <w:t xml:space="preserve"> </w:t>
      </w:r>
      <w:r>
        <w:rPr>
          <w:i/>
          <w:iCs/>
        </w:rPr>
        <w:t xml:space="preserve">S</w:t>
      </w:r>
      <w:r>
        <w:rPr>
          <w:vertAlign w:val="subscript"/>
        </w:rPr>
        <w:t xml:space="preserve">R</w:t>
      </w:r>
      <w:r>
        <w:t xml:space="preserve"> </w:t>
      </w:r>
      <w:r>
        <w:t xml:space="preserve">represents the requested data scope and</w:t>
      </w:r>
      <w:r>
        <w:t xml:space="preserve"> </w:t>
      </w:r>
      <w:r>
        <w:rPr>
          <w:i/>
          <w:iCs/>
        </w:rPr>
        <w:t xml:space="preserve">S</w:t>
      </w:r>
      <w:r>
        <w:rPr>
          <w:vertAlign w:val="subscript"/>
        </w:rPr>
        <w:t xml:space="preserve">C</w:t>
      </w:r>
      <w:r>
        <w:t xml:space="preserve"> </w:t>
      </w:r>
      <w:r>
        <w:t xml:space="preserve">represents the consent-authorized scope. 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authorization decision is therefore determined by the conjunction of identity and authority verification, multi-party authorization, and policy compliance. For the current stage scope of the proposed framework, the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35</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authorization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bookmarkEnd w:id="74"/>
    <w:bookmarkStart w:id="75"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current stage scope, the core consent object is represented as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36</m:t>
          </m:r>
          <m:r>
            <m:rPr>
              <m:sty m:val="p"/>
            </m:rPr>
            <m:t>)</m:t>
          </m:r>
        </m:oMath>
      </m:oMathPara>
    </w:p>
    <w:p>
      <w:pPr>
        <w:pStyle w:val="FirstParagraph"/>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can then be represented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37</m:t>
          </m:r>
          <m:r>
            <m:rPr>
              <m:sty m:val="p"/>
            </m:rPr>
            <m:t>)</m:t>
          </m:r>
        </m:oMath>
      </m:oMathPara>
    </w:p>
    <w:p>
      <w:pPr>
        <w:pStyle w:val="FirstParagraph"/>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38</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current stage implementation, the Model focuses on the foundational dimensions of identity, authority, multi-party approval, policy constraints, and authorisation evidence. The subsequent next research will extend this representation to include temporal validity, expiration, revocation, lifecycle transitions, and formal security properties.</w:t>
      </w:r>
    </w:p>
    <w:bookmarkEnd w:id="75"/>
    <w:bookmarkStart w:id="76"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6"/>
    <w:bookmarkStart w:id="77"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can be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39</m:t>
          </m:r>
          <m:r>
            <m:rPr>
              <m:sty m:val="p"/>
            </m:rPr>
            <m:t>)</m:t>
          </m:r>
        </m:oMath>
      </m:oMathPara>
    </w:p>
    <w:p>
      <w:pPr>
        <w:pStyle w:val="FirstParagraph"/>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40</m:t>
          </m:r>
          <m:r>
            <m:rPr>
              <m:sty m:val="p"/>
            </m:rPr>
            <m:t>)</m:t>
          </m:r>
        </m:oMath>
      </m:oMathPara>
    </w:p>
    <w:p>
      <w:pPr>
        <w:pStyle w:val="FirstParagraph"/>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41</m:t>
          </m:r>
          <m:r>
            <m:rPr>
              <m:sty m:val="p"/>
            </m:rPr>
            <m:t>)</m:t>
          </m:r>
        </m:oMath>
      </m:oMathPara>
    </w:p>
    <w:p>
      <w:pPr>
        <w:pStyle w:val="FirstParagraph"/>
      </w:pPr>
      <w:r>
        <w:t xml:space="preserve">The overall current stage authorisation decision is therefore determined by the conjunction of the foundational trust conditions: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42</m:t>
          </m:r>
          <m:r>
            <m:rPr>
              <m:sty m:val="p"/>
            </m:rPr>
            <m:t>)</m:t>
          </m:r>
        </m:oMath>
      </m:oMathPara>
    </w:p>
    <w:p>
      <w:pPr>
        <w:pStyle w:val="FirstParagraph"/>
      </w:pPr>
      <w:r>
        <w:t xml:space="preserve">Equivalently, the decision can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r>
                      <m:t>u</m:t>
                    </m:r>
                    <m:r>
                      <m:rPr>
                        <m:sty m:val="p"/>
                      </m:rPr>
                      <m:t>)</m:t>
                    </m:r>
                    <m:r>
                      <m:rPr>
                        <m:sty m:val="p"/>
                      </m:rPr>
                      <m:t>=</m:t>
                    </m:r>
                    <m:r>
                      <m:t>1</m:t>
                    </m:r>
                    <m:r>
                      <m:rPr>
                        <m:sty m:val="p"/>
                      </m:rPr>
                      <m:t>∧</m:t>
                    </m:r>
                    <m:sSub>
                      <m:e>
                        <m:r>
                          <m:t>V</m:t>
                        </m:r>
                      </m:e>
                      <m:sub>
                        <m:r>
                          <m:t>A</m:t>
                        </m:r>
                      </m:sub>
                    </m:sSub>
                    <m:r>
                      <m:rPr>
                        <m:sty m:val="p"/>
                      </m:rPr>
                      <m:t>(</m:t>
                    </m:r>
                    <m:r>
                      <m:t>C</m:t>
                    </m:r>
                    <m:r>
                      <m:rPr>
                        <m:sty m:val="p"/>
                      </m:rPr>
                      <m:t>)</m:t>
                    </m:r>
                    <m:r>
                      <m:rPr>
                        <m:sty m:val="p"/>
                      </m:rPr>
                      <m:t>=</m:t>
                    </m:r>
                    <m:r>
                      <m:t>1</m:t>
                    </m:r>
                    <m:r>
                      <m:rPr>
                        <m:sty m:val="p"/>
                      </m:rPr>
                      <m:t>∧</m:t>
                    </m:r>
                    <m:sSub>
                      <m:e>
                        <m:r>
                          <m:t>V</m:t>
                        </m:r>
                      </m:e>
                      <m:sub>
                        <m:r>
                          <m:t>P</m:t>
                        </m:r>
                      </m:sub>
                    </m:sSub>
                    <m:r>
                      <m:rPr>
                        <m:sty m:val="p"/>
                      </m:rPr>
                      <m:t>(</m:t>
                    </m:r>
                    <m:r>
                      <m:t>C</m:t>
                    </m:r>
                    <m:r>
                      <m:rPr>
                        <m:sty m:val="p"/>
                      </m:rPr>
                      <m:t>,</m:t>
                    </m:r>
                    <m:r>
                      <m:t>R</m:t>
                    </m:r>
                    <m:r>
                      <m:rPr>
                        <m:sty m:val="p"/>
                      </m:rPr>
                      <m:t>)</m:t>
                    </m:r>
                    <m:r>
                      <m:rPr>
                        <m:sty m:val="p"/>
                      </m:rPr>
                      <m:t>=</m:t>
                    </m:r>
                    <m:r>
                      <m:t>1</m:t>
                    </m:r>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43</m:t>
          </m:r>
          <m:r>
            <m:rPr>
              <m:sty m:val="p"/>
            </m:rPr>
            <m:t>)</m:t>
          </m:r>
        </m:oMath>
      </m:oMathPara>
    </w:p>
    <w:p>
      <w:pPr>
        <w:pStyle w:val="FirstParagraph"/>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7"/>
    <w:bookmarkStart w:id="78"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44</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45</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8"/>
    <w:bookmarkStart w:id="79"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Suppose that a consent permits access to the following healthcare data categories that</w:t>
      </w:r>
    </w:p>
    <w:p>
      <w:pPr>
        <w:pStyle w:val="BodyText"/>
      </w:pPr>
      <m:oMathPara>
        <m:oMathParaPr>
          <m:jc m:val="center"/>
        </m:oMathParaPr>
        <m:oMath>
          <m:sSub>
            <m:e>
              <m:r>
                <m:t>S</m:t>
              </m:r>
            </m:e>
            <m:sub>
              <m:r>
                <m:t>C</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rPr>
              <m:sty m:val="p"/>
            </m:rPr>
            <m:t>.</m:t>
          </m:r>
          <m:r>
            <m:t>  </m:t>
          </m:r>
          <m:r>
            <m:t>  </m:t>
          </m:r>
          <m:r>
            <m:rPr>
              <m:sty m:val="p"/>
            </m:rPr>
            <m:t>(</m:t>
          </m:r>
          <m:r>
            <m:t>46</m:t>
          </m:r>
          <m:r>
            <m:rPr>
              <m:sty m:val="p"/>
            </m:rPr>
            <m:t>)</m:t>
          </m:r>
        </m:oMath>
      </m:oMathPara>
    </w:p>
    <w:p>
      <w:pPr>
        <w:pStyle w:val="FirstParagraph"/>
      </w:pPr>
      <w:r>
        <w:t xml:space="preserve">If a healthcare professional subsequently requests</w:t>
      </w:r>
    </w:p>
    <w:p>
      <w:pPr>
        <w:pStyle w:val="BodyText"/>
      </w:pPr>
      <m:oMathPara>
        <m:oMathParaPr>
          <m:jc m:val="center"/>
        </m:oMathParaPr>
        <m:oMath>
          <m:sSub>
            <m:e>
              <m:r>
                <m:t>S</m:t>
              </m:r>
            </m:e>
            <m:sub>
              <m:r>
                <m:t>R</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47</m:t>
          </m:r>
          <m:r>
            <m:rPr>
              <m:sty m:val="p"/>
            </m:rPr>
            <m:t>)</m:t>
          </m:r>
        </m:oMath>
      </m:oMathPara>
    </w:p>
    <w:p>
      <w:pPr>
        <w:pStyle w:val="FirstParagraph"/>
      </w:pPr>
      <w:r>
        <w:t xml:space="preserve">the request exceeds the authorised data scope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48</m:t>
          </m:r>
          <m:r>
            <m:rPr>
              <m:sty m:val="p"/>
            </m:rPr>
            <m:t>)</m:t>
          </m:r>
        </m:oMath>
      </m:oMathPara>
    </w:p>
    <w:p>
      <w:pPr>
        <w:pStyle w:val="FirstParagraph"/>
      </w:pPr>
      <w:r>
        <w:t xml:space="preserve">The Controller must therefore return</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49</m:t>
          </m:r>
          <m:r>
            <m:rPr>
              <m:sty m:val="p"/>
            </m:rPr>
            <m:t>)</m:t>
          </m:r>
        </m:oMath>
      </m:oMathPara>
    </w:p>
    <w:p>
      <w:pPr>
        <w:pStyle w:val="FirstParagraph"/>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79"/>
    <w:bookmarkStart w:id="80"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50</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0"/>
    <w:bookmarkStart w:id="81"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1"/>
    <w:bookmarkStart w:id="82"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2"/>
    <w:bookmarkStart w:id="83"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RQ1–RQ4.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next stagewill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83"/>
    <w:bookmarkEnd w:id="84"/>
    <w:bookmarkStart w:id="128" w:name="proposed-solution"/>
    <w:p>
      <w:pPr>
        <w:pStyle w:val="Heading1"/>
      </w:pPr>
      <w:r>
        <w:t xml:space="preserve">6 Proposed Solution</w:t>
      </w:r>
    </w:p>
    <w:bookmarkStart w:id="91" w:name="trust-centric-consent-model-for-ro1"/>
    <w:p>
      <w:pPr>
        <w:pStyle w:val="Heading2"/>
      </w:pPr>
      <w:r>
        <w:t xml:space="preserve">6.1 Trust-Centric Consent Model for RO1</w:t>
      </w:r>
    </w:p>
    <w:p>
      <w:pPr>
        <w:pStyle w:val="FirstParagrap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51</m:t>
          </m:r>
          <m:r>
            <m:rPr>
              <m:sty m:val="p"/>
            </m:rPr>
            <m:t>)</m:t>
          </m:r>
        </m:oMath>
      </m:oMathPara>
    </w:p>
    <w:p>
      <w:pPr>
        <w:pStyle w:val="FirstParagraph"/>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8"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pStyle w:val="CaptionedFigure"/>
      </w:pPr>
      <w:r>
        <w:drawing>
          <wp:inline>
            <wp:extent cx="3451860" cy="7452700"/>
            <wp:effectExtent b="0" l="0" r="0" t="0"/>
            <wp:docPr descr="Figure 7: RO1 workflow for trust-centric consent creation" title="" id="86" name="Picture"/>
            <a:graphic>
              <a:graphicData uri="http://schemas.openxmlformats.org/drawingml/2006/picture">
                <pic:pic>
                  <pic:nvPicPr>
                    <pic:cNvPr descr="media/fig07.png" id="87" name="Picture"/>
                    <pic:cNvPicPr>
                      <a:picLocks noChangeArrowheads="1" noChangeAspect="1"/>
                    </pic:cNvPicPr>
                  </pic:nvPicPr>
                  <pic:blipFill>
                    <a:blip r:embed="rId85"/>
                    <a:stretch>
                      <a:fillRect/>
                    </a:stretch>
                  </pic:blipFill>
                  <pic:spPr bwMode="auto">
                    <a:xfrm>
                      <a:off x="0" y="0"/>
                      <a:ext cx="3451860" cy="7452700"/>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8"/>
    <w:bookmarkStart w:id="89"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 that</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89"/>
    <w:bookmarkStart w:id="90"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0"/>
    <w:bookmarkEnd w:id="91"/>
    <w:bookmarkStart w:id="98" w:name="X3b93ca6d6b3213e06bf792918c5f2e554ad197d"/>
    <w:p>
      <w:pPr>
        <w:pStyle w:val="Heading2"/>
      </w:pPr>
      <w:r>
        <w:t xml:space="preserve">6.2 Decentralised Identity and Authority Trust for RO2</w:t>
      </w:r>
    </w:p>
    <w:p>
      <w:pPr>
        <w:pStyle w:val="FirstParagraph"/>
      </w:pPr>
      <w: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52</m:t>
          </m:r>
          <m:r>
            <m:rPr>
              <m:sty m:val="p"/>
            </m:rPr>
            <m:t>)</m:t>
          </m:r>
        </m:oMath>
      </m:oMathPara>
    </w:p>
    <w:p>
      <w:pPr>
        <w:pStyle w:val="FirstParagrap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53</m:t>
          </m:r>
          <m:r>
            <m:rPr>
              <m:sty m:val="p"/>
            </m:rPr>
            <m:t>)</m:t>
          </m:r>
        </m:oMath>
      </m:oMathPara>
    </w:p>
    <w:p>
      <w:pPr>
        <w:pStyle w:val="FirstParagraph"/>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2"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BodyText"/>
      </w:pPr>
      <w:r>
        <w:t xml:space="preserve">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2"/>
    <w:bookmarkStart w:id="96"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3451860" cy="6500607"/>
            <wp:effectExtent b="0" l="0" r="0" t="0"/>
            <wp:docPr descr="Figure 8: RO2 workflow for decentralised identity and authority verification" title="" id="94" name="Picture"/>
            <a:graphic>
              <a:graphicData uri="http://schemas.openxmlformats.org/drawingml/2006/picture">
                <pic:pic>
                  <pic:nvPicPr>
                    <pic:cNvPr descr="media/fig08.png" id="95" name="Picture"/>
                    <pic:cNvPicPr>
                      <a:picLocks noChangeArrowheads="1" noChangeAspect="1"/>
                    </pic:cNvPicPr>
                  </pic:nvPicPr>
                  <pic:blipFill>
                    <a:blip r:embed="rId93"/>
                    <a:stretch>
                      <a:fillRect/>
                    </a:stretch>
                  </pic:blipFill>
                  <pic:spPr bwMode="auto">
                    <a:xfrm>
                      <a:off x="0" y="0"/>
                      <a:ext cx="3451860" cy="6500607"/>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6"/>
    <w:bookmarkStart w:id="97"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7"/>
    <w:bookmarkEnd w:id="98"/>
    <w:bookmarkStart w:id="105" w:name="X2fe5cbf561c8a3bc135795b66ae3ba1eef8bc71"/>
    <w:p>
      <w:pPr>
        <w:pStyle w:val="Heading2"/>
      </w:pPr>
      <w:r>
        <w:t xml:space="preserve">6.3 Trustworthy Multi-Party Authorisation for RO3</w:t>
      </w:r>
    </w:p>
    <w:p>
      <w:pPr>
        <w:pStyle w:val="FirstParagraph"/>
      </w:pPr>
      <w: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54</m:t>
          </m:r>
          <m:r>
            <m:rPr>
              <m:sty m:val="p"/>
            </m:rPr>
            <m:t>)</m:t>
          </m:r>
        </m:oMath>
      </m:oMathPara>
    </w:p>
    <w:p>
      <w:pPr>
        <w:pStyle w:val="FirstParagraph"/>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99"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BodyText"/>
      </w:pPr>
      <w:r>
        <w:t xml:space="preserve">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99"/>
    <w:bookmarkStart w:id="103"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3451860" cy="5978933"/>
            <wp:effectExtent b="0" l="0" r="0" t="0"/>
            <wp:docPr descr="Figure 9: RO3 workflow for threshold-based multi-party authorisation" title="" id="101" name="Picture"/>
            <a:graphic>
              <a:graphicData uri="http://schemas.openxmlformats.org/drawingml/2006/picture">
                <pic:pic>
                  <pic:nvPicPr>
                    <pic:cNvPr descr="media/fig09.png" id="102" name="Picture"/>
                    <pic:cNvPicPr>
                      <a:picLocks noChangeArrowheads="1" noChangeAspect="1"/>
                    </pic:cNvPicPr>
                  </pic:nvPicPr>
                  <pic:blipFill>
                    <a:blip r:embed="rId100"/>
                    <a:stretch>
                      <a:fillRect/>
                    </a:stretch>
                  </pic:blipFill>
                  <pic:spPr bwMode="auto">
                    <a:xfrm>
                      <a:off x="0" y="0"/>
                      <a:ext cx="3451860" cy="5978933"/>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55</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56</m:t>
          </m:r>
          <m:r>
            <m:rPr>
              <m:sty m:val="p"/>
            </m:rPr>
            <m:t>)</m:t>
          </m:r>
        </m:oMath>
      </m:oMathPara>
    </w:p>
    <w:bookmarkEnd w:id="103"/>
    <w:bookmarkStart w:id="104"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4"/>
    <w:bookmarkEnd w:id="105"/>
    <w:bookmarkStart w:id="113" w:name="X77d8a567f90fbf98e40547b4be1462ed72e9750"/>
    <w:p>
      <w:pPr>
        <w:pStyle w:val="Heading2"/>
      </w:pPr>
      <w:r>
        <w:t xml:space="preserve">6.4 Policy- and Context-Aware Access Control for RO4</w:t>
      </w:r>
    </w:p>
    <w:p>
      <w:pPr>
        <w:pStyle w:val="FirstParagraph"/>
      </w:pPr>
      <w:r>
        <w:t xml:space="preserve">RO4 addresses 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57</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58</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 stage research on authorisation decision is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59</m:t>
          </m:r>
          <m:r>
            <m:rPr>
              <m:sty m:val="p"/>
            </m:rPr>
            <m:t>)</m:t>
          </m:r>
        </m:oMath>
      </m:oMathPara>
    </w:p>
    <w:bookmarkStart w:id="109"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w:t>
      </w:r>
    </w:p>
    <w:p>
      <w:pPr>
        <w:pStyle w:val="BodyText"/>
      </w:pPr>
      <w:r>
        <w:t xml:space="preserve">For example, if</w:t>
      </w:r>
    </w:p>
    <w:p>
      <w:pPr>
        <w:pStyle w:val="BodyText"/>
      </w:pPr>
      <m:oMathPara>
        <m:oMathParaPr>
          <m:jc m:val="center"/>
        </m:oMathParaPr>
        <m:oMath>
          <m:sSub>
            <m:e>
              <m:r>
                <m:t>S</m:t>
              </m:r>
            </m:e>
            <m:sub>
              <m:r>
                <m:t>C</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  </m:t>
          </m:r>
          <m:r>
            <m:t>  </m:t>
          </m:r>
          <m:r>
            <m:rPr>
              <m:sty m:val="p"/>
            </m:rPr>
            <m:t>(</m:t>
          </m:r>
          <m:r>
            <m:t>60</m:t>
          </m:r>
          <m:r>
            <m:rPr>
              <m:sty m:val="p"/>
            </m:rPr>
            <m:t>)</m:t>
          </m:r>
        </m:oMath>
      </m:oMathPara>
    </w:p>
    <w:p>
      <w:pPr>
        <w:pStyle w:val="FirstParagraph"/>
      </w:pPr>
      <w:r>
        <w:t xml:space="preserve">and</w:t>
      </w:r>
    </w:p>
    <w:p>
      <w:pPr>
        <w:pStyle w:val="BodyText"/>
      </w:pPr>
      <m:oMathPara>
        <m:oMathParaPr>
          <m:jc m:val="center"/>
        </m:oMathParaPr>
        <m:oMath>
          <m:sSub>
            <m:e>
              <m:r>
                <m:t>S</m:t>
              </m:r>
            </m:e>
            <m:sub>
              <m:r>
                <m:t>R</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  </m:t>
          </m:r>
          <m:r>
            <m:t>  </m:t>
          </m:r>
          <m:r>
            <m:rPr>
              <m:sty m:val="p"/>
            </m:rPr>
            <m:t>(</m:t>
          </m:r>
          <m:r>
            <m:t>61</m:t>
          </m:r>
          <m:r>
            <m:rPr>
              <m:sty m:val="p"/>
            </m:rPr>
            <m:t>)</m:t>
          </m:r>
        </m:oMath>
      </m:oMathPara>
    </w:p>
    <w:p>
      <w:pPr>
        <w:pStyle w:val="FirstParagraph"/>
      </w:pPr>
      <w:r>
        <w:t xml:space="preserve">then</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62</m:t>
          </m:r>
          <m:r>
            <m:rPr>
              <m:sty m:val="p"/>
            </m:rPr>
            <m:t>)</m:t>
          </m:r>
        </m:oMath>
      </m:oMathPara>
    </w:p>
    <w:p>
      <w:pPr>
        <w:pStyle w:val="FirstParagraph"/>
      </w:pPr>
      <w:r>
        <w:t xml:space="preserve">and the request must be denied. This rule prevents a legitimate participant from obtaining data outside the patient’s authorised scope.</w:t>
      </w:r>
    </w:p>
    <w:p>
      <w:pPr>
        <w:pStyle w:val="CaptionedFigure"/>
      </w:pPr>
      <w:r>
        <w:drawing>
          <wp:inline>
            <wp:extent cx="3451860" cy="7239043"/>
            <wp:effectExtent b="0" l="0" r="0" t="0"/>
            <wp:docPr descr="Figure 10: RO4 workflow for policy- and context-aware access control" title="" id="107" name="Picture"/>
            <a:graphic>
              <a:graphicData uri="http://schemas.openxmlformats.org/drawingml/2006/picture">
                <pic:pic>
                  <pic:nvPicPr>
                    <pic:cNvPr descr="media/fig10.png" id="108" name="Picture"/>
                    <pic:cNvPicPr>
                      <a:picLocks noChangeArrowheads="1" noChangeAspect="1"/>
                    </pic:cNvPicPr>
                  </pic:nvPicPr>
                  <pic:blipFill>
                    <a:blip r:embed="rId106"/>
                    <a:stretch>
                      <a:fillRect/>
                    </a:stretch>
                  </pic:blipFill>
                  <pic:spPr bwMode="auto">
                    <a:xfrm>
                      <a:off x="0" y="0"/>
                      <a:ext cx="3451860" cy="7239043"/>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bookmarkEnd w:id="109"/>
    <w:bookmarkStart w:id="110" w:name="X76e1ecd5ca9116901ef2fba9faaf6fcb0ec1702"/>
    <w:p>
      <w:pPr>
        <w:pStyle w:val="Heading3"/>
      </w:pPr>
      <w:r>
        <w:t xml:space="preserve">6.4.2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38"/>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39"/>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40"/>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41"/>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42"/>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43"/>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44"/>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45"/>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46"/>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0"/>
    <w:bookmarkStart w:id="111"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1"/>
    <w:bookmarkStart w:id="112" w:name="X9b9350abce928b4bfd4821dc61b387a8eede2be"/>
    <w:p>
      <w:pPr>
        <w:pStyle w:val="Heading3"/>
      </w:pPr>
      <w:r>
        <w:t xml:space="preserve">6.4.4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47"/>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8"/>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9"/>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50"/>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51"/>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which means</w:t>
      </w:r>
      <w:r>
        <w:t xml:space="preserve"> </w:t>
      </w:r>
      <w:r>
        <w:rPr>
          <w:i/>
          <w:iCs/>
        </w:rPr>
        <w:t xml:space="preserve">P</w:t>
      </w:r>
      <w:r>
        <w:rPr>
          <w:vertAlign w:val="subscript"/>
        </w:rPr>
        <w:t xml:space="preserve">R</w:t>
      </w:r>
      <w:r>
        <w:t xml:space="preserve"> </w:t>
      </w:r>
      <w:r>
        <w:t xml:space="preserve">guarantees, satisfies, and complies with the privacy constraint</w:t>
      </w:r>
      <w:r>
        <w:t xml:space="preserve"> </w:t>
      </w:r>
      <w:r>
        <w:rPr>
          <w:i/>
          <w:iCs/>
        </w:rPr>
        <w:t xml:space="preserve">P</w:t>
      </w:r>
      <w:r>
        <w:rPr>
          <w:vertAlign w:val="subscript"/>
        </w:rPr>
        <w:t xml:space="preserve">C</w:t>
      </w:r>
      <w:r>
        <w:t xml:space="preserve">. There is no execution path where the system can violate the privacy policy.</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52"/>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53"/>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54"/>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55"/>
        </w:numPr>
      </w:pPr>
      <w:r>
        <w:rPr>
          <w:b/>
          <w:bCs/>
        </w:rPr>
        <w:t xml:space="preserve">Step 9 – Retrieve the Authorised Healthcare Data.</w:t>
      </w:r>
    </w:p>
    <w:p>
      <w:pPr>
        <w:pStyle w:val="FirstParagraph"/>
      </w:pPr>
      <w:r>
        <w:t xml:space="preserve">Once the request has been successfully authorised, the system retrieves only the healthcare data satisfying the authorised scope</w:t>
      </w:r>
      <w:r>
        <w:t xml:space="preserve"> </w:t>
      </w:r>
      <w:r>
        <w:rPr>
          <w:i/>
          <w:iCs/>
        </w:rPr>
        <w:t xml:space="preserve">S</w:t>
      </w:r>
      <w:r>
        <w:rPr>
          <w:vertAlign w:val="subscript"/>
        </w:rPr>
        <w:t xml:space="preserve">R</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56"/>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57"/>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Identity Verification Multi-Party Auth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2"/>
    <w:bookmarkEnd w:id="113"/>
    <w:bookmarkStart w:id="119" w:name="temporal-and-lifecycle-trust-for-ro5"/>
    <w:p>
      <w:pPr>
        <w:pStyle w:val="Heading2"/>
      </w:pPr>
      <w:r>
        <w:t xml:space="preserve">6.5 Temporal and Lifecycle Trust for RO5</w:t>
      </w:r>
    </w:p>
    <w:p>
      <w:pPr>
        <w:pStyle w:val="FirstParagraph"/>
      </w:pPr>
      <w: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and lifecycle conditions that</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sSub>
                      <m:e>
                        <m:r>
                          <m:t>t</m:t>
                        </m:r>
                      </m:e>
                      <m:sub>
                        <m:r>
                          <m:t>s</m:t>
                        </m:r>
                      </m:sub>
                    </m:sSub>
                    <m:r>
                      <m:rPr>
                        <m:sty m:val="p"/>
                      </m:rPr>
                      <m:t>≤</m:t>
                    </m:r>
                    <m:r>
                      <m:t>t</m:t>
                    </m:r>
                    <m:r>
                      <m:rPr>
                        <m:sty m:val="p"/>
                      </m:rPr>
                      <m:t>≤</m:t>
                    </m:r>
                    <m:sSub>
                      <m:e>
                        <m:r>
                          <m:t>t</m:t>
                        </m:r>
                      </m:e>
                      <m:sub>
                        <m:r>
                          <m:t>e</m:t>
                        </m:r>
                      </m:sub>
                    </m:sSub>
                    <m:r>
                      <m:rPr>
                        <m:sty m:val="p"/>
                      </m:rPr>
                      <m:t>,</m:t>
                    </m:r>
                  </m:e>
                </m:mr>
                <m:mr>
                  <m:e>
                    <m:r>
                      <m:t>0</m:t>
                    </m:r>
                    <m:r>
                      <m:rPr>
                        <m:sty m:val="p"/>
                      </m:rPr>
                      <m:t>,</m:t>
                    </m:r>
                  </m:e>
                  <m:e>
                    <m:r>
                      <m:t> </m:t>
                    </m:r>
                    <m:r>
                      <m:rPr>
                        <m:nor/>
                      </m:rPr>
                      <m:t>otherwise</m:t>
                    </m:r>
                    <m:r>
                      <m:t> </m:t>
                    </m:r>
                    <m:r>
                      <m:rPr>
                        <m:sty m:val="p"/>
                      </m:rPr>
                      <m:t>.</m:t>
                    </m:r>
                  </m:e>
                </m:mr>
              </m:m>
            </m:e>
          </m:d>
          <m:r>
            <m:t>  </m:t>
          </m:r>
          <m:r>
            <m:t>  </m:t>
          </m:r>
          <m:r>
            <m:rPr>
              <m:sty m:val="p"/>
            </m:rPr>
            <m:t>(</m:t>
          </m:r>
          <m:r>
            <m:t>63</m:t>
          </m:r>
          <m:r>
            <m:rPr>
              <m:sty m:val="p"/>
            </m:rPr>
            <m:t>)</m:t>
          </m:r>
        </m:oMath>
      </m:oMathPara>
    </w:p>
    <w:p>
      <w:pPr>
        <w:pStyle w:val="FirstParagraph"/>
      </w:pPr>
      <w:r>
        <w:t xml:space="preserve">The lifecycle condition can be expressed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64</m:t>
          </m:r>
          <m:r>
            <m:rPr>
              <m:sty m:val="p"/>
            </m:rPr>
            <m:t>)</m:t>
          </m:r>
        </m:oMath>
      </m:oMathPara>
    </w:p>
    <w:p>
      <w:pPr>
        <w:pStyle w:val="FirstParagraph"/>
      </w:pPr>
      <w:r>
        <w:t xml:space="preserve">The extended authorisation decision is therefore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65</m:t>
          </m:r>
          <m:r>
            <m:rPr>
              <m:sty m:val="p"/>
            </m:rPr>
            <m:t>)</m:t>
          </m:r>
        </m:oMath>
      </m:oMathPara>
    </w:p>
    <w:p>
      <w:pPr>
        <w:pStyle w:val="FirstParagraph"/>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4"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BodyText"/>
      </w:pPr>
      <w:r>
        <w:t xml:space="preserve">The current HALAH code already collects a start time and expiry time during consent creation, but the complete temporal and lifecycle enforcement mechanism remains part of the planned CA3 extension.</w:t>
      </w:r>
    </w:p>
    <w:bookmarkEnd w:id="114"/>
    <w:bookmarkStart w:id="118" w:name="X43f085cbe35cf9229d124bd6c8707d40ef3f488"/>
    <w:p>
      <w:pPr>
        <w:pStyle w:val="Heading3"/>
      </w:pPr>
      <w:r>
        <w:t xml:space="preserve">6.5.2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3451860" cy="6065199"/>
            <wp:effectExtent b="0" l="0" r="0" t="0"/>
            <wp:docPr descr="Figure 11: RO5 planned workflow for temporal and consent lifecycle trust" title="" id="116" name="Picture"/>
            <a:graphic>
              <a:graphicData uri="http://schemas.openxmlformats.org/drawingml/2006/picture">
                <pic:pic>
                  <pic:nvPicPr>
                    <pic:cNvPr descr="media/fig11.png" id="117" name="Picture"/>
                    <pic:cNvPicPr>
                      <a:picLocks noChangeArrowheads="1" noChangeAspect="1"/>
                    </pic:cNvPicPr>
                  </pic:nvPicPr>
                  <pic:blipFill>
                    <a:blip r:embed="rId115"/>
                    <a:stretch>
                      <a:fillRect/>
                    </a:stretch>
                  </pic:blipFill>
                  <pic:spPr bwMode="auto">
                    <a:xfrm>
                      <a:off x="0" y="0"/>
                      <a:ext cx="3451860" cy="6065199"/>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BodyText"/>
      </w:pPr>
      <w:r>
        <w:t xml:space="preserve">Algorithm 5 extends the current stage works on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8"/>
    <w:bookmarkEnd w:id="119"/>
    <w:bookmarkStart w:id="126" w:name="X28e4c471c7af957781c5be37513d338d1f9028e"/>
    <w:p>
      <w:pPr>
        <w:pStyle w:val="Heading2"/>
      </w:pPr>
      <w:r>
        <w:t xml:space="preserve">6.6 Formal Security Assurance and Empirical Validation for RO6</w:t>
      </w:r>
    </w:p>
    <w:p>
      <w:pPr>
        <w:pStyle w:val="FirstParagraph"/>
      </w:pPr>
      <w:r>
        <w:t xml:space="preserve">RO6 addresses 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66</m:t>
          </m:r>
          <m:r>
            <m:rPr>
              <m:sty m:val="p"/>
            </m:rPr>
            <m:t>)</m:t>
          </m:r>
        </m:oMath>
      </m:oMathPara>
    </w:p>
    <w:p>
      <w:pPr>
        <w:pStyle w:val="FirstParagraph"/>
      </w:pPr>
      <w:r>
        <w:t xml:space="preserve">For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67</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68</m:t>
          </m:r>
          <m:r>
            <m:rPr>
              <m:sty m:val="p"/>
            </m:rPr>
            <m:t>)</m:t>
          </m:r>
        </m:oMath>
      </m:oMathPara>
    </w:p>
    <w:bookmarkStart w:id="120"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w:t>
      </w:r>
    </w:p>
    <w:bookmarkEnd w:id="120"/>
    <w:bookmarkStart w:id="124"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3451860" cy="4212881"/>
            <wp:effectExtent b="0" l="0" r="0" t="0"/>
            <wp:docPr descr="Figure 12: RO6 planned workflow for formal security assurance and empirical validation" title="" id="122" name="Picture"/>
            <a:graphic>
              <a:graphicData uri="http://schemas.openxmlformats.org/drawingml/2006/picture">
                <pic:pic>
                  <pic:nvPicPr>
                    <pic:cNvPr descr="media/fig12.png" id="123" name="Picture"/>
                    <pic:cNvPicPr>
                      <a:picLocks noChangeArrowheads="1" noChangeAspect="1"/>
                    </pic:cNvPicPr>
                  </pic:nvPicPr>
                  <pic:blipFill>
                    <a:blip r:embed="rId121"/>
                    <a:stretch>
                      <a:fillRect/>
                    </a:stretch>
                  </pic:blipFill>
                  <pic:spPr bwMode="auto">
                    <a:xfrm>
                      <a:off x="0" y="0"/>
                      <a:ext cx="3451860" cy="4212881"/>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r>
          <m:t>S</m:t>
        </m:r>
        <m:r>
          <m:rPr>
            <m:sty m:val="p"/>
          </m:rPr>
          <m:t>*</m:t>
        </m:r>
        <m:r>
          <m:t>v</m:t>
        </m:r>
        <m:r>
          <m:t>a</m:t>
        </m:r>
        <m:r>
          <m:t>l</m:t>
        </m:r>
        <m:r>
          <m:t>i</m:t>
        </m:r>
        <m:r>
          <m:t>d</m:t>
        </m:r>
      </m:oMath>
      <w:r>
        <w:br/>
      </w:r>
      <w:r>
        <w:t xml:space="preserve">3: Define negative scenarios</w:t>
      </w:r>
      <w:r>
        <w:t xml:space="preserve"> </w:t>
      </w:r>
      <m:oMath>
        <m:r>
          <m:t>S</m:t>
        </m:r>
        <m:r>
          <m:rPr>
            <m:sty m:val="p"/>
          </m:rPr>
          <m:t>*</m:t>
        </m:r>
        <m:r>
          <m:t>n</m:t>
        </m:r>
        <m:r>
          <m:t>e</m:t>
        </m:r>
        <m:r>
          <m:t>g</m:t>
        </m:r>
        <m:r>
          <m:t>a</m:t>
        </m:r>
        <m:r>
          <m:t>t</m:t>
        </m:r>
        <m:r>
          <m:t>i</m:t>
        </m:r>
        <m:r>
          <m:t>v</m:t>
        </m:r>
        <m:r>
          <m:t>e</m:t>
        </m:r>
      </m:oMath>
      <w:r>
        <w:br/>
      </w:r>
      <w:r>
        <w:t xml:space="preserve">4: Define adversarial scenarios</w:t>
      </w:r>
      <w:r>
        <w:t xml:space="preserve"> </w:t>
      </w:r>
      <m:oMath>
        <m:r>
          <m:t>S</m:t>
        </m:r>
        <m:r>
          <m:rPr>
            <m:sty m:val="p"/>
          </m:rPr>
          <m:t>*</m:t>
        </m:r>
        <m:r>
          <m:t>a</m:t>
        </m:r>
        <m:r>
          <m:t>d</m:t>
        </m:r>
        <m:r>
          <m:t>v</m:t>
        </m:r>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r>
          <m:t>S</m:t>
        </m:r>
        <m:r>
          <m:rPr>
            <m:sty m:val="p"/>
          </m:rPr>
          <m:t>*</m:t>
        </m:r>
        <m:r>
          <m:t>v</m:t>
        </m:r>
        <m:r>
          <m:t>a</m:t>
        </m:r>
        <m:r>
          <m:t>l</m:t>
        </m:r>
        <m:r>
          <m:t>i</m:t>
        </m:r>
        <m:r>
          <m:t>d</m:t>
        </m:r>
        <m:r>
          <m:rPr>
            <m:sty m:val="p"/>
          </m:rPr>
          <m:t>∪</m:t>
        </m:r>
        <m:r>
          <m:t>S</m:t>
        </m:r>
        <m:r>
          <m:rPr>
            <m:sty m:val="p"/>
          </m:rPr>
          <m:t>*</m:t>
        </m:r>
        <m:r>
          <m:t>n</m:t>
        </m:r>
        <m:r>
          <m:t>e</m:t>
        </m:r>
        <m:r>
          <m:t>g</m:t>
        </m:r>
        <m:r>
          <m:t>a</m:t>
        </m:r>
        <m:r>
          <m:t>t</m:t>
        </m:r>
        <m:r>
          <m:t>i</m:t>
        </m:r>
        <m:r>
          <m:t>v</m:t>
        </m:r>
        <m:r>
          <m:t>e</m:t>
        </m:r>
        <m:r>
          <m:rPr>
            <m:sty m:val="p"/>
          </m:rPr>
          <m:t>∪</m:t>
        </m:r>
        <m:r>
          <m:t>S</m:t>
        </m:r>
        <m:r>
          <m:rPr>
            <m:sty m:val="p"/>
          </m:rPr>
          <m:t>*</m:t>
        </m:r>
        <m:r>
          <m:t>a</m:t>
        </m:r>
        <m:r>
          <m:t>d</m:t>
        </m:r>
        <m:r>
          <m:t>v</m:t>
        </m:r>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4"/>
    <w:bookmarkStart w:id="125"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5"/>
    <w:bookmarkEnd w:id="126"/>
    <w:bookmarkStart w:id="127"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69</m:t>
          </m:r>
          <m:r>
            <m:rPr>
              <m:sty m:val="p"/>
            </m:rPr>
            <m:t>)</m:t>
          </m:r>
        </m:oMath>
      </m:oMathPara>
    </w:p>
    <w:p>
      <w:pPr>
        <w:pStyle w:val="FirstParagraph"/>
      </w:pPr>
      <w:r>
        <w:t xml:space="preserve">The CA3 extension incorporates temporal and lifecycle conditions that</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70</m:t>
          </m:r>
          <m:r>
            <m:rPr>
              <m:sty m:val="p"/>
            </m:rPr>
            <m:t>)</m:t>
          </m:r>
        </m:oMath>
      </m:oMathPara>
    </w:p>
    <w:p>
      <w:pPr>
        <w:pStyle w:val="FirstParagraph"/>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27"/>
    <w:bookmarkEnd w:id="128"/>
    <w:bookmarkStart w:id="135" w:name="current-progress-status"/>
    <w:p>
      <w:pPr>
        <w:pStyle w:val="Heading1"/>
      </w:pPr>
      <w:r>
        <w:t xml:space="preserve">7 Current Progress Status</w:t>
      </w:r>
    </w:p>
    <w:bookmarkStart w:id="129" w:name="X14610c74215ca842dde591adf203c91218a1a96"/>
    <w:p>
      <w:pPr>
        <w:pStyle w:val="Heading2"/>
      </w:pPr>
      <w:r>
        <w:t xml:space="preserve">7.1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71</m:t>
          </m:r>
          <m:r>
            <m:rPr>
              <m:sty m:val="p"/>
            </m:rPr>
            <m:t>)</m:t>
          </m:r>
        </m:oMath>
      </m:oMathPara>
    </w:p>
    <w:p>
      <w:pPr>
        <w:pStyle w:val="FirstParagraph"/>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bookmarkEnd w:id="129"/>
    <w:bookmarkStart w:id="130" w:name="X559e9df15ebd031f98715062b5b54bf7a8f1d60"/>
    <w:p>
      <w:pPr>
        <w:pStyle w:val="Heading2"/>
      </w:pPr>
      <w:r>
        <w:t xml:space="preserve">7.2 Progress of RO2: Decentralised Identity and Authority</w:t>
      </w:r>
    </w:p>
    <w:p>
      <w:pPr>
        <w:pStyle w:val="FirstParagraph"/>
      </w:pPr>
      <w:r>
        <w:rPr>
          <w:b/>
          <w:bCs/>
        </w:rPr>
        <w:t xml:space="preserve">Status: Completed</w:t>
      </w:r>
    </w:p>
    <w:p>
      <w:pPr>
        <w:pStyle w:val="BodyText"/>
      </w:pPr>
      <w:r>
        <w:t xml:space="preserve">RO2 has been completed at the conceptual and prototype level. The proposed framework explicitly separates identity authentication from authorisation authority that</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72</m:t>
          </m:r>
          <m:r>
            <m:rPr>
              <m:sty m:val="p"/>
            </m:rPr>
            <m:t>)</m:t>
          </m:r>
        </m:oMath>
      </m:oMathPara>
    </w:p>
    <w:p>
      <w:pPr>
        <w:pStyle w:val="FirstParagraph"/>
      </w:pPr>
      <w:r>
        <w:t xml:space="preserve">A decentralised identifier is used to establish the identity of a participant, while verifiable credentials provide evidence concerning the participant’s role or authority. The identity verification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73</m:t>
          </m:r>
          <m:r>
            <m:rPr>
              <m:sty m:val="p"/>
            </m:rPr>
            <m:t>)</m:t>
          </m:r>
        </m:oMath>
      </m:oMathPara>
    </w:p>
    <w:p>
      <w:pPr>
        <w:pStyle w:val="FirstParagraph"/>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bookmarkEnd w:id="130"/>
    <w:bookmarkStart w:id="131" w:name="Xf706e6be99deea6c1433defe6c0978157a655ed"/>
    <w:p>
      <w:pPr>
        <w:pStyle w:val="Heading2"/>
      </w:pPr>
      <w:r>
        <w:t xml:space="preserve">7.3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74</m:t>
          </m:r>
          <m:r>
            <m:rPr>
              <m:sty m:val="p"/>
            </m:rPr>
            <m:t>)</m:t>
          </m:r>
        </m:oMath>
      </m:oMathPara>
    </w:p>
    <w:p>
      <w:pPr>
        <w:pStyle w:val="FirstParagraph"/>
      </w:pPr>
      <w:r>
        <w:t xml:space="preserve">If the threshold is not satisfied,</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75</m:t>
          </m:r>
          <m:r>
            <m:rPr>
              <m:sty m:val="p"/>
            </m:rPr>
            <m:t>)</m:t>
          </m:r>
        </m:oMath>
      </m:oMathPara>
    </w:p>
    <w:p>
      <w:pPr>
        <w:pStyle w:val="FirstParagraph"/>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where two approvals are required,</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C</m:t>
          </m:r>
          <m:r>
            <m:rPr>
              <m:sty m:val="p"/>
            </m:rPr>
            <m:t>)</m:t>
          </m:r>
          <m:r>
            <m:rPr>
              <m:sty m:val="p"/>
            </m:rPr>
            <m:t>=</m:t>
          </m:r>
          <m:r>
            <m:t>1</m:t>
          </m:r>
          <m:r>
            <m:rPr>
              <m:sty m:val="p"/>
            </m:rPr>
            <m:t>,</m:t>
          </m:r>
          <m:r>
            <m:t>  </m:t>
          </m:r>
          <m:r>
            <m:t>  </m:t>
          </m:r>
          <m:r>
            <m:rPr>
              <m:sty m:val="p"/>
            </m:rPr>
            <m:t>(</m:t>
          </m:r>
          <m:r>
            <m:t>76</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C</m:t>
          </m:r>
          <m:r>
            <m:rPr>
              <m:sty m:val="p"/>
            </m:rPr>
            <m:t>)</m:t>
          </m:r>
          <m:r>
            <m:rPr>
              <m:sty m:val="p"/>
            </m:rPr>
            <m:t>=</m:t>
          </m:r>
          <m:r>
            <m:t>0</m:t>
          </m:r>
          <m:r>
            <m:rPr>
              <m:sty m:val="p"/>
            </m:rPr>
            <m:t>.</m:t>
          </m:r>
          <m:r>
            <m:t>  </m:t>
          </m:r>
          <m:r>
            <m:t>  </m:t>
          </m:r>
          <m:r>
            <m:rPr>
              <m:sty m:val="p"/>
            </m:rPr>
            <m:t>(</m:t>
          </m:r>
          <m:r>
            <m:t>77</m:t>
          </m:r>
          <m:r>
            <m:rPr>
              <m:sty m:val="p"/>
            </m:rPr>
            <m:t>)</m:t>
          </m:r>
        </m:oMath>
      </m:oMathPara>
    </w:p>
    <w:p>
      <w:pPr>
        <w:pStyle w:val="FirstParagraph"/>
      </w:pPr>
      <w:r>
        <w:t xml:space="preserve">This provides preliminary evidence that the proposed framework can enforce collective rather than unilateral authorisation.</w:t>
      </w:r>
    </w:p>
    <w:bookmarkEnd w:id="131"/>
    <w:bookmarkStart w:id="132" w:name="X8600b2f76ef27bbd75c7c71838aa9377b2ebdb3"/>
    <w:p>
      <w:pPr>
        <w:pStyle w:val="Heading2"/>
      </w:pPr>
      <w:r>
        <w:t xml:space="preserve">7.4 Progress of RO4: Policy-Aware Access Control</w:t>
      </w:r>
    </w:p>
    <w:p>
      <w:pPr>
        <w:pStyle w:val="FirstParagraph"/>
      </w:pPr>
      <w:r>
        <w:rPr>
          <w:b/>
          <w:bCs/>
        </w:rPr>
        <w:t xml:space="preserve">Status: In Progress</w:t>
      </w:r>
    </w:p>
    <w:p>
      <w:pPr>
        <w:pStyle w:val="BodyText"/>
      </w:pPr>
      <w: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78</m:t>
          </m:r>
          <m:r>
            <m:rPr>
              <m:sty m:val="p"/>
            </m:rPr>
            <m:t>)</m:t>
          </m:r>
        </m:oMath>
      </m:oMathPara>
    </w:p>
    <w:p>
      <w:pPr>
        <w:pStyle w:val="FirstParagraph"/>
      </w:pPr>
      <w:r>
        <w:t xml:space="preserve">For example, if</w:t>
      </w:r>
      <w:r>
        <w:t xml:space="preserve"> </w:t>
      </w:r>
      <w:r>
        <w:rPr>
          <w:i/>
          <w:iCs/>
        </w:rPr>
        <w:t xml:space="preserve">S</w:t>
      </w:r>
      <w:r>
        <w:rPr>
          <w:vertAlign w:val="subscript"/>
        </w:rPr>
        <w:t xml:space="preserve">C</w:t>
      </w:r>
      <w:r>
        <w:t xml:space="preserve"> </w:t>
      </w:r>
      <w:r>
        <w:t xml:space="preserve">= {</w:t>
      </w:r>
      <w:r>
        <w:rPr>
          <w:i/>
          <w:iCs/>
        </w:rPr>
        <w:t xml:space="preserve">Observation, Medication</w:t>
      </w:r>
      <w:r>
        <w:t xml:space="preserve">}, and the requester asks for</w:t>
      </w:r>
      <w:r>
        <w:t xml:space="preserve"> </w:t>
      </w:r>
      <w:r>
        <w:rPr>
          <w:i/>
          <w:iCs/>
        </w:rPr>
        <w:t xml:space="preserve">S</w:t>
      </w:r>
      <w:r>
        <w:rPr>
          <w:vertAlign w:val="subscript"/>
        </w:rPr>
        <w:t xml:space="preserve">R</w:t>
      </w:r>
      <w:r>
        <w:t xml:space="preserve"> </w:t>
      </w:r>
      <w:r>
        <w:t xml:space="preserve">= {</w:t>
      </w:r>
      <w:r>
        <w:rPr>
          <w:i/>
          <w:iCs/>
        </w:rPr>
        <w:t xml:space="preserve">Observation, Medic</w:t>
      </w:r>
      <w:r>
        <w:t xml:space="preserve"> </w:t>
      </w:r>
      <w:r>
        <w:t xml:space="preserve">the request should be rejected because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bookmarkEnd w:id="132"/>
    <w:bookmarkStart w:id="133" w:name="X8e6146f09fe285d619620b5d8a35865b7344e11"/>
    <w:p>
      <w:pPr>
        <w:pStyle w:val="Heading2"/>
      </w:pPr>
      <w:r>
        <w:t xml:space="preserve">7.5 Progress of RO5: Temporal and Lifecycle Trust</w:t>
      </w:r>
    </w:p>
    <w:p>
      <w:pPr>
        <w:pStyle w:val="FirstParagraph"/>
      </w:pPr>
      <w:r>
        <w:rPr>
          <w:b/>
          <w:bCs/>
        </w:rPr>
        <w:t xml:space="preserve">Status: In Progress</w:t>
      </w:r>
    </w:p>
    <w:p>
      <w:pPr>
        <w:pStyle w:val="BodyText"/>
      </w:pPr>
      <w:r>
        <w:t xml:space="preserve">RO5 is reserved primarily for next stage. The objective is to introduce temporal and lifecycle trust so that consent is not considered permanently valid after creation or approval. A future consent validity interval will be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79</m:t>
          </m:r>
          <m:r>
            <m:rPr>
              <m:sty m:val="p"/>
            </m:rPr>
            <m:t>)</m:t>
          </m:r>
        </m:oMath>
      </m:oMathPara>
    </w:p>
    <w:p>
      <w:pPr>
        <w:pStyle w:val="FirstParagraph"/>
      </w:pPr>
      <w:r>
        <w:t xml:space="preserve">The consent lifecycle will also be extended to represent controlled transitions such as</w:t>
      </w:r>
    </w:p>
    <w:p>
      <w:pPr>
        <w:pStyle w:val="BodyText"/>
      </w:pPr>
      <w:r>
        <w:rPr>
          <w:i/>
          <w:iCs/>
        </w:rPr>
        <w:t xml:space="preserve">Specification</w:t>
      </w:r>
      <w:r>
        <w:t xml:space="preserve"> </w:t>
      </w:r>
      <w:r>
        <w:t xml:space="preserve">→</w:t>
      </w:r>
      <w:r>
        <w:t xml:space="preserve"> </w:t>
      </w:r>
      <w:r>
        <w:rPr>
          <w:i/>
          <w:iCs/>
        </w:rPr>
        <w:t xml:space="preserve">Verification</w:t>
      </w:r>
      <w:r>
        <w:t xml:space="preserve"> </w:t>
      </w:r>
      <w:r>
        <w:t xml:space="preserve">→</w:t>
      </w:r>
      <w:r>
        <w:t xml:space="preserve"> </w:t>
      </w:r>
      <w:r>
        <w:rPr>
          <w:i/>
          <w:iCs/>
        </w:rPr>
        <w:t xml:space="preserve">Approval</w:t>
      </w:r>
      <w:r>
        <w:t xml:space="preserve"> </w:t>
      </w:r>
      <w:r>
        <w:t xml:space="preserve">→</w:t>
      </w:r>
      <w:r>
        <w:t xml:space="preserve"> </w:t>
      </w:r>
      <w:r>
        <w:rPr>
          <w:i/>
          <w:iCs/>
        </w:rPr>
        <w:t xml:space="preserve">Active</w:t>
      </w:r>
      <w:r>
        <w:t xml:space="preserve"> </w:t>
      </w:r>
      <w:r>
        <w:t xml:space="preserve">→</w:t>
      </w:r>
      <w:r>
        <w:t xml:space="preserve"> </w:t>
      </w:r>
      <w:r>
        <w:rPr>
          <w:i/>
          <w:iCs/>
        </w:rPr>
        <w:t xml:space="preserve">Expiration/Revocation.</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33"/>
    <w:bookmarkStart w:id="134" w:name="Xd9cfcdd9e757a6720ff3496d27d05dcd5fd4592"/>
    <w:p>
      <w:pPr>
        <w:pStyle w:val="Heading2"/>
      </w:pPr>
      <w:r>
        <w:t xml:space="preserve">7.6 Progress of RO6: Security Assurance and Validation</w:t>
      </w:r>
    </w:p>
    <w:p>
      <w:pPr>
        <w:pStyle w:val="FirstParagraph"/>
      </w:pPr>
      <w:r>
        <w:rPr>
          <w:b/>
          <w:bCs/>
        </w:rPr>
        <w:t xml:space="preserve">Status: Partially Completed (RQ1-RQ3)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focuses primarily on RQ1, RQ2, and RQ3. Representative scenarios include valid identity verification, invalid identity or credential submission, insufficient multi-party approval, and successful completion of the required approval threshold. The central decision model can be formulated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80</m:t>
          </m:r>
          <m:r>
            <m:rPr>
              <m:sty m:val="p"/>
            </m:rPr>
            <m:t>)</m:t>
          </m:r>
        </m:oMath>
      </m:oMathPara>
    </w:p>
    <w:p>
      <w:pPr>
        <w:pStyle w:val="FirstParagraph"/>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34"/>
    <w:bookmarkEnd w:id="135"/>
    <w:bookmarkStart w:id="136" w:name="publications-summary"/>
    <w:p>
      <w:pPr>
        <w:pStyle w:val="Heading1"/>
      </w:pPr>
      <w:r>
        <w:t xml:space="preserve">8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7: Summary of Research Outputs and Publication Plan</w:t>
      </w:r>
    </w:p>
    <w:tbl>
      <w:tblPr>
        <w:tblStyle w:val="Table"/>
        <w:tblW w:type="pct" w:w="5000"/>
        <w:tblLayout w:type="fixed"/>
        <w:tblLook w:firstRow="1" w:lastRow="0" w:firstColumn="0" w:lastColumn="0" w:noHBand="0" w:noVBand="0" w:val="0020"/>
        <w:tblCaption w:val="Table 7: Summary of Research Outputs and Publication Plan"/>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Elsevier/IEEE</w:t>
            </w:r>
          </w:p>
        </w:tc>
        <w:tc>
          <w:tcPr/>
          <w:p>
            <w:pPr>
              <w:pStyle w:val="Compact"/>
              <w:jc w:val="left"/>
            </w:pPr>
            <w:r>
              <w:t xml:space="preserve">Almost Ready</w:t>
            </w:r>
          </w:p>
        </w:tc>
        <w:tc>
          <w:tcPr/>
          <w:p>
            <w:pPr>
              <w:pStyle w:val="Compact"/>
              <w:jc w:val="left"/>
            </w:pPr>
            <w:r>
              <w:t xml:space="preserve">Core architectural contribution; addresses RQ1-RQ4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performance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Specialized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6).</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36"/>
    <w:bookmarkStart w:id="139" w:name="research-plan"/>
    <w:p>
      <w:pPr>
        <w:pStyle w:val="Heading1"/>
      </w:pPr>
      <w:r>
        <w:t xml:space="preserve">9 Research Plan</w:t>
      </w:r>
    </w:p>
    <w:p>
      <w:pPr>
        <w:pStyle w:val="FirstParagraph"/>
      </w:pPr>
      <w:r>
        <w:t xml:space="preserve">The research plan is divided into two major stages corresponding to current and next stage.</w:t>
      </w:r>
    </w:p>
    <w:bookmarkStart w:id="137" w:name="current-stage-completed-and-current-work"/>
    <w:p>
      <w:pPr>
        <w:pStyle w:val="Heading2"/>
      </w:pPr>
      <w:r>
        <w:t xml:space="preserve">9.1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The progression is RO1, RO2, RO3 and then RO4, in which RO1, RO2, and RO3 have been implemented and initially validated through the HALAH prototype. RO4 represents the current transition towards policy-aware access control.</w:t>
      </w:r>
    </w:p>
    <w:bookmarkEnd w:id="137"/>
    <w:bookmarkStart w:id="138" w:name="next-stage-planned-work"/>
    <w:p>
      <w:pPr>
        <w:pStyle w:val="Heading2"/>
      </w:pPr>
      <w:r>
        <w:t xml:space="preserve">9.2 Next Stage: Planned Work</w:t>
      </w:r>
    </w:p>
    <w:p>
      <w:pPr>
        <w:pStyle w:val="FirstParagraph"/>
      </w:pPr>
      <w: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8: Next Stage Research Activities, Methodological Focus, and Expected Outcomes</w:t>
      </w:r>
    </w:p>
    <w:tbl>
      <w:tblPr>
        <w:tblStyle w:val="Table"/>
        <w:tblW w:type="pct" w:w="5000"/>
        <w:tblLayout w:type="fixed"/>
        <w:tblLook w:firstRow="1" w:lastRow="0" w:firstColumn="0" w:lastColumn="0" w:noHBand="0" w:noVBand="0" w:val="0020"/>
        <w:tblCaption w:val="Table 8: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81</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38"/>
    <w:bookmarkEnd w:id="139"/>
    <w:bookmarkStart w:id="140"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2022.</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 A xinjiang case study.</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 with pediatric patients and their guardians. 2022.</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bookmarkEnd w:id="140"/>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15" Target="media/rId115.png" /><Relationship Type="http://schemas.openxmlformats.org/officeDocument/2006/relationships/image" Id="rId121" Target="media/rId1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2026-09-28T10:51:22Z</dcterms:created>
  <dcterms:modified xsi:type="dcterms:W3CDTF">2026-09-28T10:51:22Z</dcterms:modified>
</cp:coreProperties>
</file>

<file path=docProps/custom.xml><?xml version="1.0" encoding="utf-8"?>
<Properties xmlns="http://schemas.openxmlformats.org/officeDocument/2006/custom-properties" xmlns:vt="http://schemas.openxmlformats.org/officeDocument/2006/docPropsVTypes"/>
</file>