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analyses them under stated assumptions.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doctor who is not named in the consent is refused, a request outside the data scope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footerReference w:type="default" r:id="rId34"/>
      <w:headerReference w:type="default" r:id="rId38"/>
      <w:headerReference w:type="even" r:id="rId39"/>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4.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