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CC"/>
          <w:sz w:val="28"/>
          <w:szCs w:val="28"/>
        </w:rPr>
        <w:t xml:space="preserve">Abstract</w:t>
      </w:r>
    </w:p>
    <w:p>
      <w:pPr>
        <w:spacing w:after="140" w:line="300"/>
        <w:jc w:val="both"/>
      </w:pPr>
      <w:r>
        <w:rPr>
          <w:rFonts w:ascii="Cambria" w:cs="Cambria" w:eastAsia="Cambria" w:hAnsi="Cambria"/>
          <w:color w:val="0000CC"/>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CC"/>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25 primary studies,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15</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16</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17</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29</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31</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45</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48</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56</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59</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62</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66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68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68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70</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71</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71</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75</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77</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85</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91</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92</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95</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97</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97</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102</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105</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107</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110</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110</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114</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115</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119</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120</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121</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122</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123</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127</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128</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128</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130</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132</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133</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134</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138</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139</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147</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150</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155</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156</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162</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162</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165</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167</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167</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167</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169</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170</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172</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173</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178</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E6007E"/>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E6007E"/>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E6007E"/>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E6007E"/>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E6007E"/>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E6007E"/>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E6007E"/>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E6007E"/>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E6007E"/>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E6007E"/>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E6007E"/>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E6007E"/>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CC"/>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E6007E"/>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E6007E"/>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E6007E"/>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E6007E"/>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E6007E"/>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E6007E"/>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E6007E"/>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CC"/>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E6007E"/>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CC"/>
          <w:sz w:val="24"/>
          <w:szCs w:val="24"/>
        </w:rPr>
        <w:t xml:space="preserve">It should be noted that the scope of the current stage is bounded. </w:t>
      </w:r>
      <w:r>
        <w:rPr>
          <w:rFonts w:ascii="Cambria" w:cs="Cambria" w:eastAsia="Cambria" w:hAnsi="Cambria"/>
          <w:color w:val="E6007E"/>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spacing w:after="140" w:line="300"/>
        <w:jc w:val="both"/>
      </w:pPr>
      <w:r>
        <w:rPr>
          <w:rFonts w:ascii="Cambria" w:cs="Cambria" w:eastAsia="Cambria" w:hAnsi="Cambria"/>
          <w:color w:val="0000CC"/>
          <w:sz w:val="24"/>
          <w:szCs w:val="24"/>
        </w:rPr>
        <w:t xml:space="preserve">Table 1 summarises the scope of the research and the progression of the six objectives from the current stage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860"/>
      </w:tblGrid>
      <w:tr>
        <w:trPr>
          <w:tblHeader/>
        </w:trPr>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48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RO1: Trust-Centric Consent Model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RO4: Policy- and Context-Aware Access Control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E6007E"/>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E6007E"/>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E6007E"/>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E6007E"/>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E6007E"/>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E6007E"/>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E6007E"/>
          <w:sz w:val="24"/>
          <w:szCs w:val="24"/>
        </w:rPr>
        <w:t xml:space="preserve">The review corpus comprises the 25 primary studies that were identified, screened, coded and included through the process described in the remainder of this section. A further 19 reports passed the same screen and were coded in full, but they are not part of the corpus. They are retained as supporting references and are cited in the supporting-evidence paragraph of each review stream in Section 2.4. Together, the two groups are numbered [35]–[78] in the reference list. Three secondary studies [79, 80, 81] were also retained, but for background only. These three studies are not counted as primary evidence.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All 25 included studies were published between 2020 and 2026</w:t>
      </w:r>
      <w:r>
        <w:rPr>
          <w:rFonts w:ascii="Cambria" w:cs="Cambria" w:eastAsia="Cambria" w:hAnsi="Cambria"/>
          <w:color w:val="0000CC"/>
          <w:sz w:val="24"/>
          <w:szCs w:val="24"/>
        </w:rPr>
        <w:t xml:space="preserve">, which is the publication period fixed in the review protocol. </w:t>
      </w:r>
      <w:r>
        <w:rPr>
          <w:rFonts w:ascii="Cambria" w:cs="Cambria" w:eastAsia="Cambria" w:hAnsi="Cambria"/>
          <w:color w:val="E6007E"/>
          <w:sz w:val="24"/>
          <w:szCs w:val="24"/>
        </w:rPr>
        <w:t xml:space="preserve">Of the 25 studies, 13 were retrieved through Scopus, 10 through IEEE Xplore and two through ProQuest,</w:t>
      </w:r>
      <w:r>
        <w:rPr>
          <w:rFonts w:ascii="Cambria" w:cs="Cambria" w:eastAsia="Cambria" w:hAnsi="Cambria"/>
          <w:color w:val="0000CC"/>
          <w:sz w:val="24"/>
          <w:szCs w:val="24"/>
        </w:rPr>
        <w:t xml:space="preserve"> after the duplicate records that these databases share with SpringerLink, ScienceDirect and Web of Science had been removed. In the remainder of this chapter, </w:t>
      </w:r>
      <w:r>
        <w:rPr>
          <w:rFonts w:ascii="Cambria" w:cs="Cambria" w:eastAsia="Cambria" w:hAnsi="Cambria"/>
          <w:color w:val="E6007E"/>
          <w:sz w:val="24"/>
          <w:szCs w:val="24"/>
        </w:rPr>
        <w:t xml:space="preserve">each included study is referred to by the label Sn (S1 to S25)</w:t>
      </w:r>
      <w:r>
        <w:rPr>
          <w:rFonts w:ascii="Cambria" w:cs="Cambria" w:eastAsia="Cambria" w:hAnsi="Cambria"/>
          <w:color w:val="0000CC"/>
          <w:sz w:val="24"/>
          <w:szCs w:val="24"/>
        </w:rPr>
        <w:t xml:space="preserve"> together with its reference number, so that the reader can move between the tables, the text and the reference list without ambiguity. </w:t>
      </w:r>
      <w:r>
        <w:rPr>
          <w:rFonts w:ascii="Cambria" w:cs="Cambria" w:eastAsia="Cambria" w:hAnsi="Cambria"/>
          <w:color w:val="E6007E"/>
          <w:sz w:val="24"/>
          <w:szCs w:val="24"/>
        </w:rPr>
        <w:t xml:space="preserve">The rule by which the 25 included studies were separated from the 19 supporting references is explained in Section 2.3.7.</w:t>
      </w:r>
    </w:p>
    <w:p>
      <w:pPr>
        <w:pStyle w:val="Heading3"/>
        <w:spacing w:after="160" w:before="280"/>
      </w:pPr>
      <w:r>
        <w:rPr>
          <w:rFonts w:ascii="Cambria" w:cs="Cambria" w:eastAsia="Cambria" w:hAnsi="Cambria"/>
          <w:color w:val="0000CC"/>
          <w:sz w:val="24"/>
          <w:szCs w:val="24"/>
        </w:rPr>
        <w:t xml:space="preserve">2.3.1  Review Design and Reporting Framework</w:t>
      </w:r>
    </w:p>
    <w:p>
      <w:pPr>
        <w:spacing w:after="140" w:line="300"/>
        <w:jc w:val="both"/>
      </w:pPr>
      <w:r>
        <w:rPr>
          <w:rFonts w:ascii="Cambria" w:cs="Cambria" w:eastAsia="Cambria" w:hAnsi="Cambria"/>
          <w:color w:val="0000CC"/>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E6007E"/>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CC"/>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E6007E"/>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CC"/>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E6007E"/>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CC"/>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CC"/>
          <w:sz w:val="24"/>
          <w:szCs w:val="24"/>
        </w:rPr>
        <w:t xml:space="preserve">2.3.2  Questions for Review</w:t>
      </w:r>
    </w:p>
    <w:p>
      <w:pPr>
        <w:spacing w:after="140" w:line="300"/>
        <w:jc w:val="both"/>
      </w:pPr>
      <w:r>
        <w:rPr>
          <w:rFonts w:ascii="Cambria" w:cs="Cambria" w:eastAsia="Cambria" w:hAnsi="Cambria"/>
          <w:color w:val="0000CC"/>
          <w:sz w:val="24"/>
          <w:szCs w:val="24"/>
        </w:rPr>
        <w:t xml:space="preserve">This systematic literature review is guided by the following seven questions, </w:t>
      </w:r>
      <w:r>
        <w:rPr>
          <w:rFonts w:ascii="Cambria" w:cs="Cambria" w:eastAsia="Cambria" w:hAnsi="Cambria"/>
          <w:color w:val="E6007E"/>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CC"/>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CC"/>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CC"/>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CC"/>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CC"/>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CC"/>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CC"/>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E6007E"/>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CC"/>
          <w:sz w:val="24"/>
          <w:szCs w:val="24"/>
        </w:rPr>
        <w:t xml:space="preserve">2.3.3  Search Databases and Search Strategy</w:t>
      </w:r>
    </w:p>
    <w:p>
      <w:pPr>
        <w:spacing w:after="140" w:line="300"/>
        <w:jc w:val="both"/>
      </w:pPr>
      <w:r>
        <w:rPr>
          <w:rFonts w:ascii="Cambria" w:cs="Cambria" w:eastAsia="Cambria" w:hAnsi="Cambria"/>
          <w:color w:val="0000CC"/>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E6007E"/>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CC"/>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CC"/>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CC"/>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CC"/>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E6007E"/>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CC"/>
          <w:sz w:val="24"/>
          <w:szCs w:val="24"/>
        </w:rPr>
        <w:t xml:space="preserve">2.3.4  Search Period and Search Execution</w:t>
      </w:r>
    </w:p>
    <w:p>
      <w:pPr>
        <w:spacing w:after="140" w:line="300"/>
        <w:jc w:val="both"/>
      </w:pPr>
      <w:r>
        <w:rPr>
          <w:rFonts w:ascii="Cambria" w:cs="Cambria" w:eastAsia="Cambria" w:hAnsi="Cambria"/>
          <w:color w:val="0000CC"/>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E6007E"/>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E6007E"/>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CC"/>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CC"/>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E6007E"/>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CC"/>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E6007E"/>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CC"/>
          <w:sz w:val="24"/>
          <w:szCs w:val="24"/>
        </w:rPr>
        <w:t xml:space="preserve">2.3.5  Eligibility Criteria</w:t>
      </w:r>
    </w:p>
    <w:p>
      <w:pPr>
        <w:spacing w:after="140" w:line="300"/>
        <w:jc w:val="both"/>
      </w:pPr>
      <w:r>
        <w:rPr>
          <w:rFonts w:ascii="Cambria" w:cs="Cambria" w:eastAsia="Cambria" w:hAnsi="Cambria"/>
          <w:color w:val="0000CC"/>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CC"/>
          <w:sz w:val="24"/>
          <w:szCs w:val="24"/>
        </w:rPr>
        <w:t xml:space="preserve">A study was included if it satisfied all of the following criteria:</w:t>
      </w:r>
    </w:p>
    <w:p>
      <w:pPr>
        <w:spacing w:after="140" w:line="300"/>
        <w:jc w:val="both"/>
      </w:pPr>
      <w:r>
        <w:rPr>
          <w:rFonts w:ascii="Cambria" w:cs="Cambria" w:eastAsia="Cambria" w:hAnsi="Cambria"/>
          <w:color w:val="0000CC"/>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CC"/>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CC"/>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CC"/>
          <w:sz w:val="24"/>
          <w:szCs w:val="24"/>
        </w:rPr>
        <w:t xml:space="preserve">4. IC4: Peer-reviewed journal or conference paper.</w:t>
      </w:r>
    </w:p>
    <w:p>
      <w:pPr>
        <w:spacing w:after="140" w:line="300"/>
        <w:jc w:val="both"/>
      </w:pPr>
      <w:r>
        <w:rPr>
          <w:rFonts w:ascii="Cambria" w:cs="Cambria" w:eastAsia="Cambria" w:hAnsi="Cambria"/>
          <w:color w:val="0000CC"/>
          <w:sz w:val="24"/>
          <w:szCs w:val="24"/>
        </w:rPr>
        <w:t xml:space="preserve">5. IC5: Available in English.</w:t>
      </w:r>
    </w:p>
    <w:p>
      <w:pPr>
        <w:spacing w:after="140" w:line="300"/>
        <w:jc w:val="both"/>
      </w:pPr>
      <w:r>
        <w:rPr>
          <w:rFonts w:ascii="Cambria" w:cs="Cambria" w:eastAsia="Cambria" w:hAnsi="Cambria"/>
          <w:color w:val="0000CC"/>
          <w:sz w:val="24"/>
          <w:szCs w:val="24"/>
        </w:rPr>
        <w:t xml:space="preserve">6. IC6: Full text available for final inclusion.</w:t>
      </w:r>
    </w:p>
    <w:p>
      <w:pPr>
        <w:spacing w:after="140" w:line="300"/>
        <w:jc w:val="both"/>
      </w:pPr>
      <w:r>
        <w:rPr>
          <w:rFonts w:ascii="Cambria" w:cs="Cambria" w:eastAsia="Cambria" w:hAnsi="Cambria"/>
          <w:color w:val="0000CC"/>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CC"/>
          <w:sz w:val="24"/>
          <w:szCs w:val="24"/>
        </w:rPr>
        <w:t xml:space="preserve">A study was excluded if it satisfied one or more of the following criteria:</w:t>
      </w:r>
    </w:p>
    <w:p>
      <w:pPr>
        <w:spacing w:after="140" w:line="300"/>
        <w:jc w:val="both"/>
      </w:pPr>
      <w:r>
        <w:rPr>
          <w:rFonts w:ascii="Cambria" w:cs="Cambria" w:eastAsia="Cambria" w:hAnsi="Cambria"/>
          <w:color w:val="0000CC"/>
          <w:sz w:val="24"/>
          <w:szCs w:val="24"/>
        </w:rPr>
        <w:t xml:space="preserve">1. EC1: Outside healthcare.</w:t>
      </w:r>
    </w:p>
    <w:p>
      <w:pPr>
        <w:spacing w:after="140" w:line="300"/>
        <w:jc w:val="both"/>
      </w:pPr>
      <w:r>
        <w:rPr>
          <w:rFonts w:ascii="Cambria" w:cs="Cambria" w:eastAsia="Cambria" w:hAnsi="Cambria"/>
          <w:color w:val="0000CC"/>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CC"/>
          <w:sz w:val="24"/>
          <w:szCs w:val="24"/>
        </w:rPr>
        <w:t xml:space="preserve">3. EC3: Blockchain consensus but not authorization trust.</w:t>
      </w:r>
    </w:p>
    <w:p>
      <w:pPr>
        <w:spacing w:after="140" w:line="300"/>
        <w:jc w:val="both"/>
      </w:pPr>
      <w:r>
        <w:rPr>
          <w:rFonts w:ascii="Cambria" w:cs="Cambria" w:eastAsia="Cambria" w:hAnsi="Cambria"/>
          <w:color w:val="0000CC"/>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CC"/>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CC"/>
          <w:sz w:val="24"/>
          <w:szCs w:val="24"/>
        </w:rPr>
        <w:t xml:space="preserve">6. EC6: Duplicate publication.</w:t>
      </w:r>
    </w:p>
    <w:p>
      <w:pPr>
        <w:spacing w:after="140" w:line="300"/>
        <w:jc w:val="both"/>
      </w:pPr>
      <w:r>
        <w:rPr>
          <w:rFonts w:ascii="Cambria" w:cs="Cambria" w:eastAsia="Cambria" w:hAnsi="Cambria"/>
          <w:color w:val="0000CC"/>
          <w:sz w:val="24"/>
          <w:szCs w:val="24"/>
        </w:rPr>
        <w:t xml:space="preserve">7. EC7: Secondary review (kept separately for background/snowballing).</w:t>
      </w:r>
    </w:p>
    <w:p>
      <w:pPr>
        <w:spacing w:after="140" w:line="300"/>
        <w:jc w:val="both"/>
      </w:pPr>
      <w:r>
        <w:rPr>
          <w:rFonts w:ascii="Cambria" w:cs="Cambria" w:eastAsia="Cambria" w:hAnsi="Cambria"/>
          <w:color w:val="0000CC"/>
          <w:sz w:val="24"/>
          <w:szCs w:val="24"/>
        </w:rPr>
        <w:t xml:space="preserve">8. EC8: Full text unobtainable after reasonable attempts.</w:t>
      </w:r>
    </w:p>
    <w:p>
      <w:pPr>
        <w:spacing w:after="140" w:line="300"/>
        <w:jc w:val="both"/>
      </w:pPr>
      <w:r>
        <w:rPr>
          <w:rFonts w:ascii="Cambria" w:cs="Cambria" w:eastAsia="Cambria" w:hAnsi="Cambria"/>
          <w:color w:val="0000CC"/>
          <w:sz w:val="24"/>
          <w:szCs w:val="24"/>
        </w:rPr>
        <w:t xml:space="preserve">9. EC9: Superficial mention of healthcare or consent; no evidence for SLR questions.</w:t>
      </w:r>
    </w:p>
    <w:p>
      <w:pPr>
        <w:spacing w:after="140" w:line="300"/>
        <w:jc w:val="both"/>
      </w:pPr>
      <w:r>
        <w:rPr>
          <w:rFonts w:ascii="Cambria" w:cs="Cambria" w:eastAsia="Cambria" w:hAnsi="Cambria"/>
          <w:color w:val="E6007E"/>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CC"/>
          <w:sz w:val="24"/>
          <w:szCs w:val="24"/>
        </w:rPr>
        <w:t xml:space="preserve">2.3.6  Screening and Study Selection</w:t>
      </w:r>
    </w:p>
    <w:p>
      <w:pPr>
        <w:spacing w:after="140" w:line="300"/>
        <w:jc w:val="both"/>
      </w:pPr>
      <w:r>
        <w:rPr>
          <w:rFonts w:ascii="Cambria" w:cs="Cambria" w:eastAsia="Cambria" w:hAnsi="Cambria"/>
          <w:color w:val="0000CC"/>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CC"/>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E6007E"/>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CC"/>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CC"/>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CC"/>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E6007E"/>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CC"/>
          <w:sz w:val="24"/>
          <w:szCs w:val="24"/>
        </w:rPr>
        <w:t xml:space="preserve"> Therefore, 1,800 records advanced to full-text retrieval.</w:t>
      </w:r>
    </w:p>
    <w:p>
      <w:pPr>
        <w:spacing w:after="140" w:line="300"/>
        <w:jc w:val="both"/>
      </w:pPr>
      <w:r>
        <w:rPr>
          <w:rFonts w:ascii="Cambria" w:cs="Cambria" w:eastAsia="Cambria" w:hAnsi="Cambria"/>
          <w:color w:val="E6007E"/>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CC"/>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E6007E"/>
          <w:sz w:val="24"/>
          <w:szCs w:val="24"/>
        </w:rPr>
        <w:t xml:space="preserve">All 39 Tier A records were processed at full text, 38 of which were assessed, while one could not be retrieved, as reported below.</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CC"/>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CC"/>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CC"/>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E6007E"/>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CC"/>
          <w:sz w:val="24"/>
          <w:szCs w:val="24"/>
        </w:rPr>
        <w:t xml:space="preserve"> Three studies were classified as secondary reviews under EC7 and retained for background [79, 80, 81]. </w:t>
      </w:r>
      <w:r>
        <w:rPr>
          <w:rFonts w:ascii="Cambria" w:cs="Cambria" w:eastAsia="Cambria" w:hAnsi="Cambria"/>
          <w:color w:val="E6007E"/>
          <w:sz w:val="24"/>
          <w:szCs w:val="24"/>
        </w:rPr>
        <w:t xml:space="preserve">The remaining 44 reports were coded in full. Of these, 23 are classified as core studies and 21 as supporting studies under the synthesis rule described in Section 2.3.7.</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Every one of the 44 reports also passed the quality gate</w:t>
      </w:r>
      <w:r>
        <w:rPr>
          <w:rFonts w:ascii="Cambria" w:cs="Cambria" w:eastAsia="Cambria" w:hAnsi="Cambria"/>
          <w:color w:val="0000CC"/>
          <w:sz w:val="24"/>
          <w:szCs w:val="24"/>
        </w:rPr>
        <w:t xml:space="preserve"> described in Section 2.3.7, and the studies that fell exactly on the boundary of the gate were retained and tested in a sensitivity analysis rather than being excluded. </w:t>
      </w:r>
      <w:r>
        <w:rPr>
          <w:rFonts w:ascii="Cambria" w:cs="Cambria" w:eastAsia="Cambria" w:hAnsi="Cambria"/>
          <w:color w:val="E6007E"/>
          <w:sz w:val="24"/>
          <w:szCs w:val="24"/>
        </w:rPr>
        <w:t xml:space="preserve">The 23 core studies, together with the two highest-quality supporting studies, Albalwy et al. [37] and Li et al. [51], each with a quality score of 7.0, form the 25 primary studies included in the review. The remaining 19 supporting studies are retained as supporting references outside the corpus and are cited in the supporting-evidence paragraph of each review stream. This bound was adopted so that the review concentrates on the studies that bear most directly on the research gap, while every retained report remains traceable in the reference list.</w:t>
      </w:r>
    </w:p>
    <w:p>
      <w:pPr>
        <w:spacing w:after="140" w:line="300"/>
        <w:jc w:val="both"/>
      </w:pPr>
      <w:r>
        <w:rPr>
          <w:rFonts w:ascii="Cambria" w:cs="Cambria" w:eastAsia="Cambria" w:hAnsi="Cambria"/>
          <w:color w:val="E6007E"/>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25 included primary studies, the 19 supporting references, the three secondary studies and the 17 excluded reports.</w:t>
      </w:r>
    </w:p>
    <w:p>
      <w:pPr>
        <w:keepNext/>
        <w:spacing w:after="60" w:before="140"/>
        <w:jc w:val="center"/>
      </w:pPr>
      <w:r>
        <w:drawing>
          <wp:inline distT="0" distB="0" distL="0" distR="0">
            <wp:extent cx="5715000" cy="5324475"/>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24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pStyle w:val="Heading3"/>
        <w:spacing w:after="160" w:before="280"/>
      </w:pPr>
      <w:r>
        <w:rPr>
          <w:rFonts w:ascii="Cambria" w:cs="Cambria" w:eastAsia="Cambria" w:hAnsi="Cambria"/>
          <w:color w:val="0000CC"/>
          <w:sz w:val="24"/>
          <w:szCs w:val="24"/>
        </w:rPr>
        <w:t xml:space="preserve">2.3.7  Data Extraction, Quality Assessment and Synthesis</w:t>
      </w:r>
    </w:p>
    <w:p>
      <w:pPr>
        <w:spacing w:after="140" w:line="300"/>
        <w:jc w:val="both"/>
      </w:pPr>
      <w:r>
        <w:rPr>
          <w:rFonts w:ascii="Cambria" w:cs="Cambria" w:eastAsia="Cambria" w:hAnsi="Cambria"/>
          <w:color w:val="0000CC"/>
          <w:sz w:val="24"/>
          <w:szCs w:val="24"/>
        </w:rPr>
        <w:t xml:space="preserve">The included studies were analysed using a predefined data extraction form that was implemented as the screening register of the workbook. </w:t>
      </w:r>
      <w:r>
        <w:rPr>
          <w:rFonts w:ascii="Cambria" w:cs="Cambria" w:eastAsia="Cambria" w:hAnsi="Cambria"/>
          <w:color w:val="E6007E"/>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CC"/>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CC"/>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E6007E"/>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CC"/>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CC"/>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E6007E"/>
          <w:sz w:val="24"/>
          <w:szCs w:val="24"/>
        </w:rPr>
        <w:t xml:space="preserve">with Partial awarded for a threat discussion only. The statement that a system is secure is not evidence.</w:t>
      </w:r>
      <w:r>
        <w:rPr>
          <w:rFonts w:ascii="Cambria" w:cs="Cambria" w:eastAsia="Cambria" w:hAnsi="Cambria"/>
          <w:color w:val="0000CC"/>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E6007E"/>
          <w:sz w:val="24"/>
          <w:szCs w:val="24"/>
        </w:rPr>
        <w:t xml:space="preserve">Each study that passed the relevance criteria at the full-text stage was additionally evaluated against eight quality assessment items</w:t>
      </w:r>
      <w:r>
        <w:rPr>
          <w:rFonts w:ascii="Cambria" w:cs="Cambria" w:eastAsia="Cambria" w:hAnsi="Cambria"/>
          <w:color w:val="0000CC"/>
          <w:sz w:val="24"/>
          <w:szCs w:val="24"/>
        </w:rPr>
        <w:t xml:space="preserve"> scored 1 for Yes, 0.5 for Partial and 0 for No. </w:t>
      </w:r>
      <w:r>
        <w:rPr>
          <w:rFonts w:ascii="Cambria" w:cs="Cambria" w:eastAsia="Cambria" w:hAnsi="Cambria"/>
          <w:color w:val="E6007E"/>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CC"/>
          <w:sz w:val="24"/>
          <w:szCs w:val="24"/>
        </w:rPr>
        <w:t xml:space="preserve"> A study was included when the sum of QA1 to QA4 was at least 3.0. </w:t>
      </w:r>
      <w:r>
        <w:rPr>
          <w:rFonts w:ascii="Cambria" w:cs="Cambria" w:eastAsia="Cambria" w:hAnsi="Cambria"/>
          <w:color w:val="E6007E"/>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E6007E"/>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E6007E"/>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44 eligible reports were divided into core and supporting studies. The distinction was adopted at decision D-164 and tightened at decision D-166 to the following rule: a study is a core study if, and only if, its gap-impact verdict is contradicts, weakens or narrows, or its T3 coding is Yes or Partial. Under this rule, 23 of the 44 eligible reports are core studies and 21 are supporting studies. The 23 core studies and the two supporting studies with the highest quality score, Albalwy et al. [37] and Li et al. [51], are the 25 primary studies included in the review, and they carry the argument of Sections 2.4 and 2.5. The other 19 supporting studies are retained as supporting references, and they are cited only as corroboration in Section 2.4.</w:t>
      </w:r>
    </w:p>
    <w:p>
      <w:pPr>
        <w:spacing w:after="140" w:line="300"/>
        <w:jc w:val="both"/>
      </w:pPr>
      <w:r>
        <w:rPr>
          <w:rFonts w:ascii="Cambria" w:cs="Cambria" w:eastAsia="Cambria" w:hAnsi="Cambria"/>
          <w:color w:val="E6007E"/>
          <w:sz w:val="24"/>
          <w:szCs w:val="24"/>
        </w:rPr>
        <w:t xml:space="preserve">Coding and synthesis followed the six-role review procedure described in Section 2.3.1.</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CC"/>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CC"/>
          <w:sz w:val="24"/>
          <w:szCs w:val="24"/>
        </w:rPr>
        <w:t xml:space="preserve">2.3.8  Shortlisted Studies and Their Categorisation</w:t>
      </w:r>
    </w:p>
    <w:p>
      <w:pPr>
        <w:spacing w:after="140" w:line="300"/>
        <w:jc w:val="both"/>
      </w:pPr>
      <w:r>
        <w:rPr>
          <w:rFonts w:ascii="Cambria" w:cs="Cambria" w:eastAsia="Cambria" w:hAnsi="Cambria"/>
          <w:color w:val="E6007E"/>
          <w:sz w:val="24"/>
          <w:szCs w:val="24"/>
        </w:rPr>
        <w:t xml:space="preserve">Each of the 25 included studies was analysed</w:t>
      </w:r>
      <w:r>
        <w:rPr>
          <w:rFonts w:ascii="Cambria" w:cs="Cambria" w:eastAsia="Cambria" w:hAnsi="Cambria"/>
          <w:color w:val="0000CC"/>
          <w:sz w:val="24"/>
          <w:szCs w:val="24"/>
        </w:rPr>
        <w:t xml:space="preserve">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E6007E"/>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CC"/>
          <w:sz w:val="24"/>
          <w:szCs w:val="24"/>
        </w:rPr>
        <w:t xml:space="preserve">, and the extent to which each study addresses every requirement is recorded in the study tables of Section 2.4. </w:t>
      </w:r>
      <w:r>
        <w:rPr>
          <w:rFonts w:ascii="Cambria" w:cs="Cambria" w:eastAsia="Cambria" w:hAnsi="Cambria"/>
          <w:color w:val="E6007E"/>
          <w:sz w:val="24"/>
          <w:szCs w:val="24"/>
        </w:rPr>
        <w:t xml:space="preserve">The studies are listed in Table 2 in the order of their labels S1 to S25, together with their reference numbers.</w:t>
      </w:r>
      <w:r>
        <w:rPr>
          <w:rFonts w:ascii="Cambria" w:cs="Cambria" w:eastAsia="Cambria" w:hAnsi="Cambria"/>
          <w:color w:val="0000CC"/>
          <w:sz w:val="24"/>
          <w:szCs w:val="24"/>
        </w:rPr>
        <w:t xml:space="preserve"> The studies in each stream are reviewed in the next section, and their issues and limitations with respect to the key requirements defined in Section 2.2 are discussed.</w:t>
      </w:r>
    </w:p>
    <w:p>
      <w:pPr>
        <w:spacing w:after="140" w:line="300"/>
        <w:jc w:val="both"/>
      </w:pPr>
      <w:r>
        <w:rPr>
          <w:rFonts w:ascii="Cambria" w:cs="Cambria" w:eastAsia="Cambria" w:hAnsi="Cambria"/>
          <w:color w:val="E6007E"/>
          <w:sz w:val="24"/>
          <w:szCs w:val="24"/>
        </w:rPr>
        <w:t xml:space="preserve">Figure 3 profiles the 25 included studies by publication year and by review stream.</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50"/>
        <w:gridCol w:w="620"/>
        <w:gridCol w:w="3970"/>
        <w:gridCol w:w="20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97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20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bl>
    <w:p>
      <w:pPr>
        <w:spacing w:after="180"/>
      </w:pPr>
    </w:p>
    <w:p>
      <w:pPr>
        <w:keepNext/>
        <w:spacing w:after="60" w:before="140"/>
        <w:jc w:val="center"/>
      </w:pPr>
      <w:r>
        <w:drawing>
          <wp:inline distT="0" distB="0" distL="0" distR="0">
            <wp:extent cx="5715000" cy="1943100"/>
            <wp:effectExtent t="0" r="0" b="0" l="0"/>
            <wp:docPr id="1" name="gfig2a.png" descr="Figure 3: Profile of the 25 included primary studies: distribution by publication year and by review stream. Each study is assigned to the stream of its strongest coded requirement." title="Figure 3: Profile of the 25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3: Profile of the 25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CC"/>
          <w:sz w:val="24"/>
          <w:szCs w:val="24"/>
        </w:rPr>
        <w:t xml:space="preserve">2.4  Review</w:t>
      </w:r>
    </w:p>
    <w:p>
      <w:pPr>
        <w:spacing w:after="140" w:line="300"/>
        <w:jc w:val="both"/>
      </w:pPr>
      <w:r>
        <w:rPr>
          <w:rFonts w:ascii="Cambria" w:cs="Cambria" w:eastAsia="Cambria" w:hAnsi="Cambria"/>
          <w:color w:val="E6007E"/>
          <w:sz w:val="24"/>
          <w:szCs w:val="24"/>
        </w:rPr>
        <w:t xml:space="preserve">This section reviews the 25 primary studies that were included in Section 2.3.8. The review is organised by the six key requirements of Section 2.2, so that Sections 2.4.1 to 2.4.6 correspond to Req 1 to Req 6 respectively. It should be noted how the 25 studies were selected from the 44 reports that passed the full-text screen. Following the synthesis rule ratified by the coding panel (D-166), 23 reports were classified as core and the remaining 21 as supporting. A study was classified as core when its full-text evidence contradicts, weakens or narrows the research gap. A study was also classified as core when it involves more than one authorising party (T3 graded Yes or Partial). The review corpus therefore consists of the 23 core studies together with the two supporting studies with the highest quality-assessment score, Albalwy et al. [37] and Li et al. [51], each scored 7.0 of 8. The other 19 supporting reports are retained as supporting references. They are cited only in a short closing paragraph of the stream to which they were assigned, which states in general terms what they corroborate, and they do not appear in Table 2 or in the study tables. Each subsection reviews the included studies that were assigned to that stream and states their issues and limitations with respect to the requirement in question. Each subsection ends with a table that summarises the included studies and records their commitment to all six requirements. In the tables,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included studies only. In addition, a small number of studies outside the healthcare consent domain, 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CC"/>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715000" cy="4391025"/>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91025"/>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CC"/>
          <w:sz w:val="24"/>
          <w:szCs w:val="24"/>
        </w:rPr>
        <w:t xml:space="preserve">2.4.1  Consent Representation and Blockchain-Based Consent Governance</w:t>
      </w:r>
    </w:p>
    <w:p>
      <w:pPr>
        <w:spacing w:after="140" w:line="300"/>
        <w:jc w:val="both"/>
      </w:pPr>
      <w:r>
        <w:rPr>
          <w:rFonts w:ascii="Cambria" w:cs="Cambria" w:eastAsia="Cambria" w:hAnsi="Cambria"/>
          <w:color w:val="E6007E"/>
          <w:sz w:val="24"/>
          <w:szCs w:val="24"/>
        </w:rPr>
        <w:t xml:space="preserve">This section reviews the two included studies whose main contribution is the representation and governance of patient consent. Both are deployed platforms rather than research prototypes. The ten supporting references assigned to this stream, most of which govern consent on a blockchain, are cited at the end of the section.</w:t>
      </w:r>
      <w:r>
        <w:rPr>
          <w:rFonts w:ascii="Cambria" w:cs="Cambria" w:eastAsia="Cambria" w:hAnsi="Cambria"/>
          <w:color w:val="0000CC"/>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w:t>
      </w:r>
      <w:r>
        <w:rPr>
          <w:rFonts w:ascii="Cambria" w:cs="Cambria" w:eastAsia="Cambria" w:hAnsi="Cambria"/>
          <w:color w:val="E6007E"/>
          <w:sz w:val="24"/>
          <w:szCs w:val="24"/>
        </w:rPr>
        <w:t xml:space="preserve">The full-text coding shows that both included studies of this stream, and all ten supporting references assigned to it, were graded Partial on Req 1 and that none was graded Yes.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two included studies illustrate</w:t>
      </w:r>
      <w:r>
        <w:rPr>
          <w:rFonts w:ascii="Cambria" w:cs="Cambria" w:eastAsia="Cambria" w:hAnsi="Cambria"/>
          <w:color w:val="0000CC"/>
          <w:sz w:val="24"/>
          <w:szCs w:val="24"/>
        </w:rPr>
        <w:t xml:space="preserve"> the first and the third of these situations in production settings.</w:t>
      </w:r>
    </w:p>
    <w:p>
      <w:pPr>
        <w:spacing w:after="140" w:line="300"/>
        <w:jc w:val="both"/>
      </w:pPr>
      <w:r>
        <w:rPr>
          <w:rFonts w:ascii="Cambria" w:cs="Cambria" w:eastAsia="Cambria" w:hAnsi="Cambria"/>
          <w:color w:val="0000CC"/>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CC"/>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E6007E"/>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CC"/>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E6007E"/>
          <w:sz w:val="24"/>
          <w:szCs w:val="24"/>
        </w:rPr>
        <w:t xml:space="preserve">The two included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included studies in this stream and their commitment to the key requirements.</w:t>
      </w:r>
    </w:p>
    <w:p>
      <w:pPr>
        <w:spacing w:after="140" w:line="300"/>
        <w:jc w:val="both"/>
      </w:pPr>
      <w:r>
        <w:rPr>
          <w:rFonts w:ascii="Cambria" w:cs="Cambria" w:eastAsia="Cambria" w:hAnsi="Cambria"/>
          <w:color w:val="E6007E"/>
          <w:sz w:val="24"/>
          <w:szCs w:val="24"/>
        </w:rPr>
        <w:t xml:space="preserve">Supporting references. Ten further reports were assigned to this stream and coded, but they are not part of the review corpus</w:t>
      </w:r>
      <w:r>
        <w:rPr>
          <w:rFonts w:ascii="Cambria" w:cs="Cambria" w:eastAsia="Cambria" w:hAnsi="Cambria"/>
          <w:color w:val="0000CC"/>
          <w:sz w:val="24"/>
          <w:szCs w:val="24"/>
        </w:rPr>
        <w:t xml:space="preserve"> [36], [39], [41], [42], [60], [65], [68], [70], [74], [78]. </w:t>
      </w:r>
      <w:r>
        <w:rPr>
          <w:rFonts w:ascii="Cambria" w:cs="Cambria" w:eastAsia="Cambria" w:hAnsi="Cambria"/>
          <w:color w:val="E6007E"/>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All ten supporting references were graded Partial</w:t>
      </w:r>
      <w:r>
        <w:rPr>
          <w:rFonts w:ascii="Cambria" w:cs="Cambria" w:eastAsia="Cambria" w:hAnsi="Cambria"/>
          <w:color w:val="0000CC"/>
          <w:sz w:val="24"/>
          <w:szCs w:val="24"/>
        </w:rPr>
        <w:t xml:space="preserve">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2.4.2  Decentralised Identity and Authority Trust</w:t>
      </w:r>
    </w:p>
    <w:p>
      <w:pPr>
        <w:spacing w:after="140" w:line="300"/>
        <w:jc w:val="both"/>
      </w:pPr>
      <w:r>
        <w:rPr>
          <w:rFonts w:ascii="Cambria" w:cs="Cambria" w:eastAsia="Cambria" w:hAnsi="Cambria"/>
          <w:color w:val="E6007E"/>
          <w:sz w:val="24"/>
          <w:szCs w:val="24"/>
        </w:rPr>
        <w:t xml:space="preserve">This section reviews the three included studies whose main contribution is the decentralised verification of the participants in a consent decision. The two supporting references assigned to this stream are cited at the end of the section.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CC"/>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E6007E"/>
          <w:sz w:val="24"/>
          <w:szCs w:val="24"/>
        </w:rPr>
        <w:t xml:space="preserve">Across the 25 included studies, T2 was graded Yes in only 10 studies and Partial in 15. That is, in three fifths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CC"/>
          <w:sz w:val="24"/>
          <w:szCs w:val="24"/>
        </w:rPr>
        <w:t xml:space="preserve">Phuyal et al. </w:t>
      </w:r>
      <w:r>
        <w:rPr>
          <w:rFonts w:ascii="Cambria" w:cs="Cambria" w:eastAsia="Cambria" w:hAnsi="Cambria"/>
          <w:color w:val="E6007E"/>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CC"/>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E6007E"/>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CC"/>
          <w:sz w:val="24"/>
          <w:szCs w:val="24"/>
        </w:rPr>
        <w:t xml:space="preserve"> The companion architecture of Phuyal et al. </w:t>
      </w:r>
      <w:r>
        <w:rPr>
          <w:rFonts w:ascii="Cambria" w:cs="Cambria" w:eastAsia="Cambria" w:hAnsi="Cambria"/>
          <w:color w:val="E6007E"/>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CC"/>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E6007E"/>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E6007E"/>
          <w:sz w:val="24"/>
          <w:szCs w:val="24"/>
        </w:rPr>
        <w:t xml:space="preserve">Identity is the strongest dimension of this stream. T1 is graded Yes in two of the three included studies and Partial in the design-only architecture of Phuyal et al. [59]. Authority verified with its own evidence is found in Phuyal et al. [58], through licensing-body credentials, and in Tseng et al. [73], through authority-issued roles. The remaining eight Yes gradings for T2 among the 25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included study that comes closest to an evaluable consent object, Phuyal et al. [58], is a single-party design and is not formally assured. It is also the only one of the three included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included studies in this stream and their commitment to the key requirements.</w:t>
      </w:r>
    </w:p>
    <w:p>
      <w:pPr>
        <w:spacing w:after="140" w:line="300"/>
        <w:jc w:val="both"/>
      </w:pPr>
      <w:r>
        <w:rPr>
          <w:rFonts w:ascii="Cambria" w:cs="Cambria" w:eastAsia="Cambria" w:hAnsi="Cambria"/>
          <w:color w:val="E6007E"/>
          <w:sz w:val="24"/>
          <w:szCs w:val="24"/>
        </w:rPr>
        <w:t xml:space="preserve">Supporting references. Two further reports were assigned to this stream and coded. They are not part of the review corpus, but they corroborate these findings without altering them [45], [66].</w:t>
      </w:r>
      <w:r>
        <w:rPr>
          <w:rFonts w:ascii="Cambria" w:cs="Cambria" w:eastAsia="Cambria" w:hAnsi="Cambria"/>
          <w:color w:val="0000CC"/>
          <w:sz w:val="24"/>
          <w:szCs w:val="24"/>
        </w:rPr>
        <w:t xml:space="preserve"> Ferreira et al. </w:t>
      </w:r>
      <w:r>
        <w:rPr>
          <w:rFonts w:ascii="Cambria" w:cs="Cambria" w:eastAsia="Cambria" w:hAnsi="Cambria"/>
          <w:color w:val="E6007E"/>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2.4.3  Multi-Party Authorisation and Collaborative Consent</w:t>
      </w:r>
    </w:p>
    <w:p>
      <w:pPr>
        <w:spacing w:after="140" w:line="300"/>
        <w:jc w:val="both"/>
      </w:pPr>
      <w:r>
        <w:rPr>
          <w:rFonts w:ascii="Cambria" w:cs="Cambria" w:eastAsia="Cambria" w:hAnsi="Cambria"/>
          <w:color w:val="E6007E"/>
          <w:sz w:val="24"/>
          <w:szCs w:val="24"/>
        </w:rPr>
        <w:t xml:space="preserve">This section reviews the eight included studies of stream 3</w:t>
      </w:r>
      <w:r>
        <w:rPr>
          <w:rFonts w:ascii="Cambria" w:cs="Cambria" w:eastAsia="Cambria" w:hAnsi="Cambria"/>
          <w:color w:val="0000CC"/>
          <w:sz w:val="24"/>
          <w:szCs w:val="24"/>
        </w:rPr>
        <w:t xml:space="preserve">, whose main contribution involves the participation of more than one party in a consent or access decision. </w:t>
      </w:r>
      <w:r>
        <w:rPr>
          <w:rFonts w:ascii="Cambria" w:cs="Cambria" w:eastAsia="Cambria" w:hAnsi="Cambria"/>
          <w:color w:val="E6007E"/>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Across the 25 included studies, T3 (at least two distinct independent participants must approve) was graded Yes in 6 studies, Partial in 4 and No in 15,</w:t>
      </w:r>
      <w:r>
        <w:rPr>
          <w:rFonts w:ascii="Cambria" w:cs="Cambria" w:eastAsia="Cambria" w:hAnsi="Cambria"/>
          <w:color w:val="0000CC"/>
          <w:sz w:val="24"/>
          <w:szCs w:val="24"/>
        </w:rPr>
        <w:t xml:space="preserve"> and the coding panel ratified six distinct mechanism classes of multi-party authorisation. </w:t>
      </w:r>
      <w:r>
        <w:rPr>
          <w:rFonts w:ascii="Cambria" w:cs="Cambria" w:eastAsia="Cambria" w:hAnsi="Cambria"/>
          <w:color w:val="E6007E"/>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CC"/>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CC"/>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E6007E"/>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CC"/>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E6007E"/>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CC"/>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CC"/>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E6007E"/>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addition, each investigator's vote consists of recomputing and confirming the hash of the message,</w:t>
      </w:r>
      <w:r>
        <w:rPr>
          <w:rFonts w:ascii="Cambria" w:cs="Cambria" w:eastAsia="Cambria" w:hAnsi="Cambria"/>
          <w:color w:val="0000CC"/>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E6007E"/>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This is the only study among the 25 included studies in which</w:t>
      </w:r>
      <w:r>
        <w:rPr>
          <w:rFonts w:ascii="Cambria" w:cs="Cambria" w:eastAsia="Cambria" w:hAnsi="Cambria"/>
          <w:color w:val="0000CC"/>
          <w:sz w:val="24"/>
          <w:szCs w:val="24"/>
        </w:rPr>
        <w:t xml:space="preserve"> multi-party approval and an enforced policy predicate co-occur. </w:t>
      </w:r>
      <w:r>
        <w:rPr>
          <w:rFonts w:ascii="Cambria" w:cs="Cambria" w:eastAsia="Cambria" w:hAnsi="Cambria"/>
          <w:color w:val="E6007E"/>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E6007E"/>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CC"/>
          <w:sz w:val="24"/>
          <w:szCs w:val="24"/>
        </w:rPr>
        <w:t xml:space="preserve">The fourth class appoints witnesses. </w:t>
      </w:r>
      <w:r>
        <w:rPr>
          <w:rFonts w:ascii="Cambria" w:cs="Cambria" w:eastAsia="Cambria" w:hAnsi="Cambria"/>
          <w:color w:val="E6007E"/>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CC"/>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E6007E"/>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CC"/>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CC"/>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E6007E"/>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CC"/>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E6007E"/>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CC"/>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E6007E"/>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CC"/>
          <w:sz w:val="24"/>
          <w:szCs w:val="24"/>
        </w:rPr>
        <w:t xml:space="preserve"> The panel recorded it as a candidate class only.</w:t>
      </w:r>
    </w:p>
    <w:p>
      <w:pPr>
        <w:spacing w:after="140" w:line="300"/>
        <w:jc w:val="both"/>
      </w:pPr>
      <w:r>
        <w:rPr>
          <w:rFonts w:ascii="Cambria" w:cs="Cambria" w:eastAsia="Cambria" w:hAnsi="Cambria"/>
          <w:color w:val="E6007E"/>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25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included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2.4.4  Policy- and Context-Aware Access Control</w:t>
      </w:r>
    </w:p>
    <w:p>
      <w:pPr>
        <w:spacing w:after="140" w:line="300"/>
        <w:jc w:val="both"/>
      </w:pPr>
      <w:r>
        <w:rPr>
          <w:rFonts w:ascii="Cambria" w:cs="Cambria" w:eastAsia="Cambria" w:hAnsi="Cambria"/>
          <w:color w:val="0000CC"/>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w:t>
      </w:r>
      <w:r>
        <w:rPr>
          <w:rFonts w:ascii="Cambria" w:cs="Cambria" w:eastAsia="Cambria" w:hAnsi="Cambria"/>
          <w:color w:val="E6007E"/>
          <w:sz w:val="24"/>
          <w:szCs w:val="24"/>
        </w:rPr>
        <w:t xml:space="preserve">This section reviews the four included studies of stream 4</w:t>
      </w:r>
      <w:r>
        <w:rPr>
          <w:rFonts w:ascii="Cambria" w:cs="Cambria" w:eastAsia="Cambria" w:hAnsi="Cambria"/>
          <w:color w:val="0000CC"/>
          <w:sz w:val="24"/>
          <w:szCs w:val="24"/>
        </w:rPr>
        <w:t xml:space="preserve"> against Req 4. </w:t>
      </w:r>
      <w:r>
        <w:rPr>
          <w:rFonts w:ascii="Cambria" w:cs="Cambria" w:eastAsia="Cambria" w:hAnsi="Cambria"/>
          <w:color w:val="E6007E"/>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CC"/>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CC"/>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E6007E"/>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CC"/>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CC"/>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E6007E"/>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CC"/>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E6007E"/>
          <w:sz w:val="24"/>
          <w:szCs w:val="24"/>
        </w:rPr>
        <w:t xml:space="preserve">Across the 25 included studies, T4 is coded Yes in 11, Partial in 10 and No in 4.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six of the 25 included studies [37, 44, 49, 57, 63, 71], and in one supporting reference [45]. Purpose and data scope are jointly present in the decision by design in fewer still, in Albalwy et al. [37], Eneh et al. [44], Tith et al. [71] and the supporting reference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included studies of stream 4 and their commitment to the key requirements.</w:t>
      </w:r>
    </w:p>
    <w:p>
      <w:pPr>
        <w:spacing w:after="140" w:line="300"/>
        <w:jc w:val="both"/>
      </w:pPr>
      <w:r>
        <w:rPr>
          <w:rFonts w:ascii="Cambria" w:cs="Cambria" w:eastAsia="Cambria" w:hAnsi="Cambria"/>
          <w:color w:val="E6007E"/>
          <w:sz w:val="24"/>
          <w:szCs w:val="24"/>
        </w:rPr>
        <w:t xml:space="preserve">Supporting reference. One further report of stream 4 was coded and retained outside the corpus.</w:t>
      </w:r>
      <w:r>
        <w:rPr>
          <w:rFonts w:ascii="Cambria" w:cs="Cambria" w:eastAsia="Cambria" w:hAnsi="Cambria"/>
          <w:color w:val="0000CC"/>
          <w:sz w:val="24"/>
          <w:szCs w:val="24"/>
        </w:rPr>
        <w:t xml:space="preserve"> The quantum-safe attribute-based access control scheme of Ghosh et al. </w:t>
      </w:r>
      <w:r>
        <w:rPr>
          <w:rFonts w:ascii="Cambria" w:cs="Cambria" w:eastAsia="Cambria" w:hAnsi="Cambria"/>
          <w:color w:val="E6007E"/>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2.4.5  Temporal Validity and Consent Lifecycle</w:t>
      </w:r>
    </w:p>
    <w:p>
      <w:pPr>
        <w:spacing w:after="140" w:line="300"/>
        <w:jc w:val="both"/>
      </w:pPr>
      <w:r>
        <w:rPr>
          <w:rFonts w:ascii="Cambria" w:cs="Cambria" w:eastAsia="Cambria" w:hAnsi="Cambria"/>
          <w:color w:val="0000CC"/>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w:t>
      </w:r>
      <w:r>
        <w:rPr>
          <w:rFonts w:ascii="Cambria" w:cs="Cambria" w:eastAsia="Cambria" w:hAnsi="Cambria"/>
          <w:color w:val="E6007E"/>
          <w:sz w:val="24"/>
          <w:szCs w:val="24"/>
        </w:rPr>
        <w:t xml:space="preserve">This section reviews the four included studies of stream 5</w:t>
      </w:r>
      <w:r>
        <w:rPr>
          <w:rFonts w:ascii="Cambria" w:cs="Cambria" w:eastAsia="Cambria" w:hAnsi="Cambria"/>
          <w:color w:val="0000CC"/>
          <w:sz w:val="24"/>
          <w:szCs w:val="24"/>
        </w:rPr>
        <w:t xml:space="preserve">, namely Eneh et al. [44], Li et al. [51], Panagoulias et al. [57] and Hema et al. [64], and draws on the lifecycle evidence </w:t>
      </w:r>
      <w:r>
        <w:rPr>
          <w:rFonts w:ascii="Cambria" w:cs="Cambria" w:eastAsia="Cambria" w:hAnsi="Cambria"/>
          <w:color w:val="E6007E"/>
          <w:sz w:val="24"/>
          <w:szCs w:val="24"/>
        </w:rPr>
        <w:t xml:space="preserve">recorded for the included studies of the other streams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E6007E"/>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
Hema et al. [64] take a different approach in a patient-centric cryptographic protection scheme for cloud EHRs.</w:t>
      </w:r>
      <w:r>
        <w:rPr>
          <w:rFonts w:ascii="Cambria" w:cs="Cambria" w:eastAsia="Cambria" w:hAnsi="Cambria"/>
          <w:color w:val="E6007E"/>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CC"/>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E6007E"/>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E6007E"/>
          <w:sz w:val="24"/>
          <w:szCs w:val="24"/>
        </w:rPr>
        <w:t xml:space="preserve">The fourth included study illustrates</w:t>
      </w:r>
      <w:r>
        <w:rPr>
          <w:rFonts w:ascii="Cambria" w:cs="Cambria" w:eastAsia="Cambria" w:hAnsi="Cambria"/>
          <w:color w:val="0000CC"/>
          <w:sz w:val="24"/>
          <w:szCs w:val="24"/>
        </w:rPr>
        <w:t xml:space="preserve"> a pattern that the coding panel describes as displacement, in which time is enforced on an artefact issued to the requester rather than on the consent itself. Li et al. </w:t>
      </w:r>
      <w:r>
        <w:rPr>
          <w:rFonts w:ascii="Cambria" w:cs="Cambria" w:eastAsia="Cambria" w:hAnsi="Cambria"/>
          <w:color w:val="E6007E"/>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CC"/>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E6007E"/>
          <w:sz w:val="24"/>
          <w:szCs w:val="24"/>
        </w:rPr>
        <w:t xml:space="preserve">Across the 25 included studies, T5 is coded Yes in 8 and T6 in 7. Req 5, which requires enforcement in the decision, is Yes in 8.</w:t>
      </w:r>
      <w:r>
        <w:rPr>
          <w:rFonts w:ascii="Cambria" w:cs="Cambria" w:eastAsia="Cambria" w:hAnsi="Cambria"/>
          <w:color w:val="0000CC"/>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w:t>
      </w:r>
      <w:r>
        <w:rPr>
          <w:rFonts w:ascii="Cambria" w:cs="Cambria" w:eastAsia="Cambria" w:hAnsi="Cambria"/>
          <w:color w:val="E6007E"/>
          <w:sz w:val="24"/>
          <w:szCs w:val="24"/>
        </w:rPr>
        <w:t xml:space="preserve">among the included studies a post-revocation denial</w:t>
      </w:r>
      <w:r>
        <w:rPr>
          <w:rFonts w:ascii="Cambria" w:cs="Cambria" w:eastAsia="Cambria" w:hAnsi="Cambria"/>
          <w:color w:val="0000CC"/>
          <w:sz w:val="24"/>
          <w:szCs w:val="24"/>
        </w:rPr>
        <w:t xml:space="preserve">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E6007E"/>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E6007E"/>
          <w:sz w:val="24"/>
          <w:szCs w:val="24"/>
        </w:rPr>
        <w:t xml:space="preserve"> In addition, the three stream-5 systems which enforce time inside the decision are all single-party. Of the eight included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Table 7 presents a summary of the included stream-5 studies</w:t>
      </w:r>
      <w:r>
        <w:rPr>
          <w:rFonts w:ascii="Cambria" w:cs="Cambria" w:eastAsia="Cambria" w:hAnsi="Cambria"/>
          <w:color w:val="0000CC"/>
          <w:sz w:val="24"/>
          <w:szCs w:val="24"/>
        </w:rPr>
        <w:t xml:space="preserve"> and their commitment to the key requirements.</w:t>
      </w:r>
    </w:p>
    <w:p>
      <w:pPr>
        <w:spacing w:after="140" w:line="300"/>
        <w:jc w:val="both"/>
      </w:pPr>
      <w:r>
        <w:rPr>
          <w:rFonts w:ascii="Cambria" w:cs="Cambria" w:eastAsia="Cambria" w:hAnsi="Cambria"/>
          <w:color w:val="E6007E"/>
          <w:sz w:val="24"/>
          <w:szCs w:val="24"/>
        </w:rPr>
        <w:t xml:space="preserve">Supporting reference. One further report of stream 5 was coded and retained outside the corpus.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distinction between recorded and enforced time is likewise corroborated by the supporting references of the other streams. In several of them a timestamp is stored, logged or used only as a replay window without being read by the decision [46], [60], [62], [78]. In others, automatic expiry is claimed without specifying where the clock is read [68], [70]. Among the supporting references, a post-revocation denial is reported only in results captioned as illustrative [45] or in a single narrated scenario [68]. Named consent states gating the decision appear in one further supporting reference [66].</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2.4.6  Formal Security Assurance and Empirical Validation</w:t>
      </w:r>
    </w:p>
    <w:p>
      <w:pPr>
        <w:spacing w:after="140" w:line="300"/>
        <w:jc w:val="both"/>
      </w:pPr>
      <w:r>
        <w:rPr>
          <w:rFonts w:ascii="Cambria" w:cs="Cambria" w:eastAsia="Cambria" w:hAnsi="Cambria"/>
          <w:color w:val="0000CC"/>
          <w:sz w:val="24"/>
          <w:szCs w:val="24"/>
        </w:rPr>
        <w:t xml:space="preserve">Req 6 has two components. </w:t>
      </w:r>
      <w:r>
        <w:rPr>
          <w:rFonts w:ascii="Cambria" w:cs="Cambria" w:eastAsia="Cambria" w:hAnsi="Cambria"/>
          <w:color w:val="E6007E"/>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CC"/>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w:t>
      </w:r>
      <w:r>
        <w:rPr>
          <w:rFonts w:ascii="Cambria" w:cs="Cambria" w:eastAsia="Cambria" w:hAnsi="Cambria"/>
          <w:color w:val="E6007E"/>
          <w:sz w:val="24"/>
          <w:szCs w:val="24"/>
        </w:rPr>
        <w:t xml:space="preserve">Stream 6 gathers the four included studies</w:t>
      </w:r>
      <w:r>
        <w:rPr>
          <w:rFonts w:ascii="Cambria" w:cs="Cambria" w:eastAsia="Cambria" w:hAnsi="Cambria"/>
          <w:color w:val="0000CC"/>
          <w:sz w:val="24"/>
          <w:szCs w:val="24"/>
        </w:rPr>
        <w:t xml:space="preserve">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CC"/>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E6007E"/>
          <w:sz w:val="24"/>
          <w:szCs w:val="24"/>
        </w:rPr>
        <w:t xml:space="preserve">authorisation is therefore separated from the DID challenge-response authentication.</w:t>
      </w:r>
      <w:r>
        <w:rPr>
          <w:rFonts w:ascii="Cambria" w:cs="Cambria" w:eastAsia="Cambria" w:hAnsi="Cambria"/>
          <w:color w:val="0000CC"/>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E6007E"/>
          <w:sz w:val="24"/>
          <w:szCs w:val="24"/>
        </w:rPr>
        <w:t xml:space="preserve">This is the first complete formal assurance in the corpus. However, what is proven concerns the identity and authority fragment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CC"/>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E6007E"/>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CC"/>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E6007E"/>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CC"/>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E6007E"/>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E6007E"/>
          <w:sz w:val="24"/>
          <w:szCs w:val="24"/>
        </w:rPr>
        <w:t xml:space="preserve">Two observations follow at corpus level. The first concerns formal assurance in the sense of the workbook's Req6. It is coded Yes in only 4 of the 25 included studies, all of them in this stream. Two supporting references of this stream, both encryption schemes, also carry a proof.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E6007E"/>
          <w:sz w:val="24"/>
          <w:szCs w:val="24"/>
        </w:rPr>
        <w:t xml:space="preserve">The second observation concerns empirical validation in the sense of the workbook's Req7. It is coded Yes in only 5 of the 25 included studies,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included stream-6 studies and their commitment to the key requirements.</w:t>
      </w:r>
    </w:p>
    <w:p>
      <w:pPr>
        <w:spacing w:after="140" w:line="300"/>
        <w:jc w:val="both"/>
      </w:pPr>
      <w:r>
        <w:rPr>
          <w:rFonts w:ascii="Cambria" w:cs="Cambria" w:eastAsia="Cambria" w:hAnsi="Cambria"/>
          <w:color w:val="E6007E"/>
          <w:sz w:val="24"/>
          <w:szCs w:val="24"/>
        </w:rPr>
        <w:t xml:space="preserve">Supporting references. Five further reports of stream 6 were coded and retained outside the corpus. Two of them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2.4.7  Comparative Analysis of Existing Approaches</w:t>
      </w:r>
    </w:p>
    <w:p>
      <w:pPr>
        <w:spacing w:after="140" w:line="300"/>
        <w:jc w:val="both"/>
      </w:pPr>
      <w:r>
        <w:rPr>
          <w:rFonts w:ascii="Cambria" w:cs="Cambria" w:eastAsia="Cambria" w:hAnsi="Cambria"/>
          <w:color w:val="E6007E"/>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E6007E"/>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E6007E"/>
          <w:sz w:val="24"/>
          <w:szCs w:val="24"/>
        </w:rPr>
        <w:t xml:space="preserve">Table 9 summarises the position of the 25 included studies</w:t>
      </w:r>
      <w:r>
        <w:rPr>
          <w:rFonts w:ascii="Cambria" w:cs="Cambria" w:eastAsia="Cambria" w:hAnsi="Cambria"/>
          <w:color w:val="0000CC"/>
          <w:sz w:val="24"/>
          <w:szCs w:val="24"/>
        </w:rPr>
        <w:t xml:space="preserve"> against the six key requirements and positions the proposed framework relative to the existing literature. </w:t>
      </w:r>
      <w:r>
        <w:rPr>
          <w:rFonts w:ascii="Cambria" w:cs="Cambria" w:eastAsia="Cambria" w:hAnsi="Cambria"/>
          <w:color w:val="E6007E"/>
          <w:sz w:val="24"/>
          <w:szCs w:val="24"/>
        </w:rPr>
        <w:t xml:space="preserve">The included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19 supporting references are cited in the supporting-reference paragraphs of Sections 2.4.1 to 2.4.6 and are outside the corpus, so that the comparison rests on the studies closest to the research problem.</w:t>
      </w:r>
      <w:r>
        <w:rPr>
          <w:rFonts w:ascii="Cambria" w:cs="Cambria" w:eastAsia="Cambria" w:hAnsi="Cambria"/>
          <w:color w:val="0000CC"/>
          <w:sz w:val="24"/>
          <w:szCs w:val="24"/>
        </w:rPr>
        <w:t xml:space="preserve">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CC"/>
          <w:sz w:val="21"/>
          <w:szCs w:val="21"/>
        </w:rPr>
        <w:t xml:space="preserve">Table 9: </w:t>
      </w:r>
      <w:r>
        <w:rPr>
          <w:rFonts w:ascii="Cambria" w:cs="Cambria" w:eastAsia="Cambria" w:hAnsi="Cambria"/>
          <w:color w:val="0000CC"/>
          <w:sz w:val="21"/>
          <w:szCs w:val="21"/>
        </w:rPr>
        <w:t xml:space="preserve">Comparison of the included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E6007E"/>
          <w:sz w:val="24"/>
          <w:szCs w:val="24"/>
        </w:rPr>
        <w:t xml:space="preserve">The matrix supports four observations. First, counting only full satisfaction, Req 1 is met by 12 of the 25 included studies, Req 2 by 7, Req 3 by 6, Req 4 by 10, Req 5 by 8 and Req 6 by 9. No requirement is unaddressed. However, none is met by a majority of the included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included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E6007E"/>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CC"/>
          <w:sz w:val="24"/>
          <w:szCs w:val="24"/>
        </w:rPr>
        <w:t xml:space="preserve">2.5  Synthesis and Research Gap</w:t>
      </w:r>
    </w:p>
    <w:p>
      <w:pPr>
        <w:spacing w:after="140" w:line="300"/>
        <w:jc w:val="both"/>
      </w:pPr>
      <w:r>
        <w:rPr>
          <w:rFonts w:ascii="Cambria" w:cs="Cambria" w:eastAsia="Cambria" w:hAnsi="Cambria"/>
          <w:color w:val="E6007E"/>
          <w:sz w:val="24"/>
          <w:szCs w:val="24"/>
        </w:rPr>
        <w:t xml:space="preserve">This section synthesises the review of Section 2.4 against the six requirements defined in Section 2.2. The counts stated in this section refer to the 25 included studies. Across the corpus, the requirement that is most often satisfied is the representation of consent as an evaluable authorisation object (Req 1), which 12 studies satisfy fully and 13 satisfy in part. Policy- and context-aware enforcement (Req 4) is satisfied fully by 10 studies, in part by 11 and not at all by 4. Temporal validity and lifecycle control (Req 5) is satisfied fully by 8 studies, in part by 13 and not at all by 4. Decentralised verification of identity and authority (Req 2) is satisfied fully by 7 studies and in part by 18, and no included study is without an identity mechanism. Multi-party authorisation through a verifiable threshold (Req 3) is the least satisfied requirement: 6 studies satisfy it fully, 4 satisfy it in part and 15 do not address it. With respect to Req 6, formal security assurance of the authorisation decision is provided by 4 studies and argued informally by 9, while 12 studies offer no security analysis beyond assertion; empirical validation is complete in 5 studies, partial in 19 and absent in 1. It should be noted that these proportions are consistent with the signal prevalence in the wider full-text pool of 1,800 records described in Section 2.3.6, as recorded by the signal detectors of the screening workbook,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E6007E"/>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CC"/>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E6007E"/>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CC"/>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E6007E"/>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CC"/>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E6007E"/>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CC"/>
          <w:sz w:val="24"/>
          <w:szCs w:val="24"/>
        </w:rPr>
        <w:t xml:space="preserve">; elsewhere revocation is specified and its cost measured, but its effect on a subsequent request is not exercised [61, 62, 60]. </w:t>
      </w:r>
      <w:r>
        <w:rPr>
          <w:rFonts w:ascii="Cambria" w:cs="Cambria" w:eastAsia="Cambria" w:hAnsi="Cambria"/>
          <w:color w:val="E6007E"/>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E6007E"/>
          <w:sz w:val="24"/>
          <w:szCs w:val="24"/>
        </w:rPr>
        <w:t xml:space="preserve">Formal assurance of the authorisation decision is almost absent, and where it exists it is narrow. The four included studies with a formal proof, Wu and Zhang [76], Zhao and Su [50], Maruthi and Singh [54] and Mei et al. [55], together with the two supporting references that carry a proof,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They report no outcome for the access-control function that they formalise. When the formal and empirical halves of Req 6 are combined, nine of the 25 included studies would reach a tick in the combined Req 6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E6007E"/>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CC"/>
          <w:sz w:val="24"/>
          <w:szCs w:val="24"/>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w:t>
      </w:r>
      <w:r>
        <w:rPr>
          <w:rFonts w:ascii="Cambria" w:cs="Cambria" w:eastAsia="Cambria" w:hAnsi="Cambria"/>
          <w:color w:val="E6007E"/>
          <w:sz w:val="24"/>
          <w:szCs w:val="24"/>
        </w:rPr>
        <w:t xml:space="preserve">In the 13 included studies coded as partial, and in the supporting references, the consent is</w:t>
      </w:r>
      <w:r>
        <w:rPr>
          <w:rFonts w:ascii="Cambria" w:cs="Cambria" w:eastAsia="Cambria" w:hAnsi="Cambria"/>
          <w:color w:val="0000CC"/>
          <w:sz w:val="24"/>
          <w:szCs w:val="24"/>
        </w:rPr>
        <w:t xml:space="preserve">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CC"/>
          <w:sz w:val="24"/>
          <w:szCs w:val="24"/>
        </w:rPr>
        <w:t xml:space="preserve">Gap 2 (Req 2): </w:t>
      </w:r>
      <w:r>
        <w:rPr>
          <w:rFonts w:ascii="Cambria" w:cs="Cambria" w:eastAsia="Cambria" w:hAnsi="Cambria"/>
          <w:color w:val="E6007E"/>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the 18 included studies coded as partial the identity is</w:t>
      </w:r>
      <w:r>
        <w:rPr>
          <w:rFonts w:ascii="Cambria" w:cs="Cambria" w:eastAsia="Cambria" w:hAnsi="Cambria"/>
          <w:color w:val="0000CC"/>
          <w:sz w:val="24"/>
          <w:szCs w:val="24"/>
        </w:rPr>
        <w:t xml:space="preserve">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CC"/>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E6007E"/>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CC"/>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CC"/>
          <w:sz w:val="24"/>
          <w:szCs w:val="24"/>
        </w:rPr>
        <w:t xml:space="preserve">Gap 4 (Req 4): </w:t>
      </w:r>
      <w:r>
        <w:rPr>
          <w:rFonts w:ascii="Cambria" w:cs="Cambria" w:eastAsia="Cambria" w:hAnsi="Cambria"/>
          <w:color w:val="E6007E"/>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CC"/>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CC"/>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E6007E"/>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CC"/>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CC"/>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E6007E"/>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CC"/>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E6007E"/>
          <w:sz w:val="24"/>
          <w:szCs w:val="24"/>
        </w:rPr>
        <w:t xml:space="preserve">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represents the temporal validity of the request instant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E6007E"/>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CC"/>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E6007E"/>
          <w:sz w:val="24"/>
          <w:szCs w:val="24"/>
        </w:rPr>
        <w:t xml:space="preserve">Seven frozen database searches, supplemented by a Google Scholar discovery arm, identified 9,256 records,</w:t>
      </w:r>
      <w:r>
        <w:rPr>
          <w:rFonts w:ascii="Cambria" w:cs="Cambria" w:eastAsia="Cambria" w:hAnsi="Cambria"/>
          <w:color w:val="0000CC"/>
          <w:sz w:val="24"/>
          <w:szCs w:val="24"/>
        </w:rPr>
        <w:t xml:space="preserve"> of which 6,039 unique records were screened by title. </w:t>
      </w:r>
      <w:r>
        <w:rPr>
          <w:rFonts w:ascii="Cambria" w:cs="Cambria" w:eastAsia="Cambria" w:hAnsi="Cambria"/>
          <w:color w:val="E6007E"/>
          <w:sz w:val="24"/>
          <w:szCs w:val="24"/>
        </w:rPr>
        <w:t xml:space="preserve">After abstract screening, full-text assessment and quality appraisal, 25 primary studies published between 2020 and 2026 were included, together with 19 supporting references retained outside the corpus and three secondary studies that were used as background only.</w:t>
      </w:r>
      <w:r>
        <w:rPr>
          <w:rFonts w:ascii="Cambria" w:cs="Cambria" w:eastAsia="Cambria" w:hAnsi="Cambria"/>
          <w:color w:val="0000CC"/>
          <w:sz w:val="24"/>
          <w:szCs w:val="24"/>
        </w:rPr>
        <w:t xml:space="preserve">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CC"/>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E6007E"/>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CC"/>
          <w:sz w:val="24"/>
          <w:szCs w:val="24"/>
        </w:rPr>
        <w:t xml:space="preserve">These two gaps define the research undertaken in the remainder of this report. </w:t>
      </w:r>
      <w:r>
        <w:rPr>
          <w:rFonts w:ascii="Cambria" w:cs="Cambria" w:eastAsia="Cambria" w:hAnsi="Cambria"/>
          <w:color w:val="E6007E"/>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CC"/>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CC"/>
          <w:sz w:val="24"/>
          <w:szCs w:val="24"/>
        </w:rPr>
        <w:t xml:space="preserve">Figure 5 summarises this synthesis, showing that </w:t>
      </w:r>
      <w:r>
        <w:rPr>
          <w:rFonts w:ascii="Cambria" w:cs="Cambria" w:eastAsia="Cambria" w:hAnsi="Cambria"/>
          <w:color w:val="E6007E"/>
          <w:sz w:val="24"/>
          <w:szCs w:val="24"/>
        </w:rPr>
        <w:t xml:space="preserve">each requirement is satisfied by some of the 25 studies</w:t>
      </w:r>
      <w:r>
        <w:rPr>
          <w:rFonts w:ascii="Cambria" w:cs="Cambria" w:eastAsia="Cambria" w:hAnsi="Cambria"/>
          <w:color w:val="0000CC"/>
          <w:sz w:val="24"/>
          <w:szCs w:val="24"/>
        </w:rPr>
        <w:t xml:space="preserve">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E6007E"/>
          <w:sz w:val="24"/>
          <w:szCs w:val="24"/>
        </w:rPr>
        <w:t xml:space="preserve">The systematic literature review of 25 primary studies presented in Chapter 2 (Section 2.5) indicates that substantial research</w:t>
      </w:r>
      <w:r>
        <w:rPr>
          <w:rFonts w:ascii="Cambria" w:cs="Cambria" w:eastAsia="Cambria" w:hAnsi="Cambria"/>
          <w:color w:val="E6007E"/>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E6007E"/>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E6007E"/>
          <w:sz w:val="24"/>
          <w:szCs w:val="24"/>
        </w:rPr>
        <w:t xml:space="preserve">They are commonly investigated as independent technical solutions. The few studies that coordinate several of them in one decision</w:t>
      </w:r>
      <w:r>
        <w:rPr>
          <w:rFonts w:ascii="Cambria" w:cs="Cambria" w:eastAsia="Cambria" w:hAnsi="Cambria"/>
          <w:color w:val="E6007E"/>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E6007E"/>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E6007E"/>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E6007E"/>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E6007E"/>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E6007E"/>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E6007E"/>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E6007E"/>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CC"/>
          <w:sz w:val="24"/>
          <w:szCs w:val="24"/>
        </w:rPr>
        <w:t xml:space="preserve">In the terms of Section 2.5, these two requirements correspond to the conjunction gap and the assurance gap respectively. </w:t>
      </w:r>
      <w:r>
        <w:rPr>
          <w:rFonts w:ascii="Cambria" w:cs="Cambria" w:eastAsia="Cambria" w:hAnsi="Cambria"/>
          <w:color w:val="E6007E"/>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CC"/>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E6007E"/>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E6007E"/>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CC"/>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E6007E"/>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E6007E"/>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E6007E"/>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E6007E"/>
          <w:sz w:val="24"/>
          <w:szCs w:val="24"/>
        </w:rPr>
        <w:t xml:space="preserve">denote the set of independently verified authorisation participants and let N denote the required authorisation threshold. In this context,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is the subset of the guardian set G whose approvals have been independently verified, so that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CC"/>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E6007E"/>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E6007E"/>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E6007E"/>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CC"/>
          <w:sz w:val="24"/>
          <w:szCs w:val="24"/>
        </w:rPr>
        <w:t xml:space="preserve"> The temporal component T and the jurisdictional </w:t>
      </w:r>
      <w:r>
        <w:rPr>
          <w:rFonts w:ascii="Cambria" w:cs="Cambria" w:eastAsia="Cambria" w:hAnsi="Cambria"/>
          <w:color w:val="E6007E"/>
          <w:sz w:val="24"/>
          <w:szCs w:val="24"/>
        </w:rPr>
        <w:t xml:space="preserve">component L are required by Gap 1 of Section 2.5.1 and were made explicit during implementation as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and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defined in Section 6.5</w:t>
      </w:r>
      <w:r>
        <w:rPr>
          <w:rFonts w:ascii="Cambria" w:cs="Cambria" w:eastAsia="Cambria" w:hAnsi="Cambria"/>
          <w:color w:val="0000CC"/>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For example, if a consent authorises access to the data scope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E6007E"/>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E6007E"/>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1, t</w:t>
      </w:r>
      <w:r>
        <w:rPr>
          <w:rFonts w:ascii="Cambria Math" w:cs="Cambria Math" w:eastAsia="Cambria Math" w:hAnsi="Cambria Math"/>
          <w:i/>
          <w:iCs/>
          <w:color w:val="E6007E"/>
          <w:sz w:val="22"/>
          <w:szCs w:val="22"/>
          <w:vertAlign w:val="subscript"/>
        </w:rPr>
        <w:t xml:space="preserve">s</w:t>
      </w:r>
      <w:r>
        <w:rPr>
          <w:rFonts w:ascii="Cambria Math" w:cs="Cambria Math" w:eastAsia="Cambria Math" w:hAnsi="Cambria Math"/>
          <w:i/>
          <w:iCs/>
          <w:color w:val="E6007E"/>
          <w:sz w:val="22"/>
          <w:szCs w:val="22"/>
        </w:rPr>
        <w:t xml:space="preserve"> ≤ t ≤ t</w:t>
      </w:r>
      <w:r>
        <w:rPr>
          <w:rFonts w:ascii="Cambria Math" w:cs="Cambria Math" w:eastAsia="Cambria Math" w:hAnsi="Cambria Math"/>
          <w:i/>
          <w:iCs/>
          <w:color w:val="E6007E"/>
          <w:sz w:val="22"/>
          <w:szCs w:val="22"/>
          <w:vertAlign w:val="subscript"/>
        </w:rPr>
        <w:t xml:space="preserve">e</w:t>
      </w:r>
      <w:r>
        <w:rPr>
          <w:rFonts w:ascii="Cambria Math" w:cs="Cambria Math" w:eastAsia="Cambria Math" w:hAnsi="Cambria Math"/>
          <w:i/>
          <w:iCs/>
          <w:color w:val="E6007E"/>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E6007E"/>
          <w:sz w:val="24"/>
          <w:szCs w:val="24"/>
        </w:rPr>
        <w:t xml:space="preserve">In the implemented framework, the state and revocation conditions of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are evaluated as part of the collective authorisation predicate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whereas Section 6.5 additionally evaluates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as a composite temporal and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that includes the temporal condition of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E6007E"/>
          <w:sz w:val="24"/>
          <w:szCs w:val="24"/>
        </w:rPr>
        <w:t xml:space="preserve">It should also be noted that the symbol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CC"/>
          <w:sz w:val="24"/>
          <w:szCs w:val="24"/>
        </w:rPr>
        <w:t xml:space="preserve">It should be noted that Section 6.4 also writes the data-scope condition of Equation (9) as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for this reason the lifecycle predicate is written with three arguments,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E6007E"/>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E6007E"/>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E6007E"/>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CC"/>
          <w:sz w:val="24"/>
          <w:szCs w:val="24"/>
        </w:rPr>
        <w:t xml:space="preserve">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E6007E"/>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E6007E"/>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E6007E"/>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E6007E"/>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E6007E"/>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E6007E"/>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E6007E"/>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E6007E"/>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E6007E"/>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E6007E"/>
          <w:sz w:val="24"/>
          <w:szCs w:val="24"/>
        </w:rPr>
        <w:t xml:space="preserve">The empirical component of this objective has been partially delivered in the current stage, as reported in Section 7.6 and summarised later in this section. The automated tests cover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E6007E"/>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E6007E"/>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E6007E"/>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E6007E"/>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Because each research question corresponds to one requirement of Section 2.2 and to one gap of Section 2.5.1, </w:t>
      </w:r>
      <w:r>
        <w:rPr>
          <w:rFonts w:ascii="Cambria" w:cs="Cambria" w:eastAsia="Cambria" w:hAnsi="Cambria"/>
          <w:color w:val="E6007E"/>
          <w:sz w:val="24"/>
          <w:szCs w:val="24"/>
        </w:rPr>
        <w:t xml:space="preserve">each objective also corresponds to the gap of the same number, so that RO1 addresses Gap 1,</w:t>
      </w:r>
      <w:r>
        <w:rPr>
          <w:rFonts w:ascii="Cambria" w:cs="Cambria" w:eastAsia="Cambria" w:hAnsi="Cambria"/>
          <w:color w:val="0000CC"/>
          <w:sz w:val="24"/>
          <w:szCs w:val="24"/>
        </w:rPr>
        <w:t xml:space="preserve"> RO2 addresses Gap 2, and so on to RO6 and Gap 6.</w:t>
      </w:r>
    </w:p>
    <w:p>
      <w:pPr>
        <w:spacing w:after="140" w:line="300"/>
        <w:jc w:val="both"/>
      </w:pPr>
      <w:r>
        <w:rPr>
          <w:rFonts w:ascii="Cambria" w:cs="Cambria" w:eastAsia="Cambria" w:hAnsi="Cambria"/>
          <w:color w:val="E6007E"/>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E6007E"/>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E6007E"/>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6.1 (progress in Section 7.1)</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6.2 (progress in Section 7.2)</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E6007E"/>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6.4 (progress in Section 7.4)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6.5 (progress in Section 7.5)</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6.6 (progress in Section 7.6)</w:t>
            </w:r>
          </w:p>
        </w:tc>
      </w:tr>
    </w:tbl>
    <w:p>
      <w:pPr>
        <w:spacing w:after="180"/>
      </w:pPr>
    </w:p>
    <w:p>
      <w:pPr>
        <w:spacing w:after="140" w:line="300"/>
        <w:jc w:val="both"/>
      </w:pPr>
      <w:r>
        <w:rPr>
          <w:rFonts w:ascii="Cambria" w:cs="Cambria" w:eastAsia="Cambria" w:hAnsi="Cambria"/>
          <w:color w:val="E6007E"/>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E6007E"/>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E6007E"/>
          <w:sz w:val="24"/>
          <w:szCs w:val="24"/>
        </w:rPr>
        <w:t xml:space="preserve">where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(C, t) represents temporal validity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 represents jurisdictional compliance, while the lifecycle state and its transitions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E6007E"/>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E6007E"/>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E6007E"/>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E6007E"/>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CC"/>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476625"/>
            <wp:effectExtent t="0" r="0" b="0" l="0"/>
            <wp:docPr id="1" name="arch6.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76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E6007E"/>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E6007E"/>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E6007E"/>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shows the six functions of the conceptual model; the two additional implementation components are described in Chapter 6.</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w:t>
      </w:r>
      <w:r>
        <w:rPr>
          <w:rFonts w:ascii="Cambria" w:cs="Cambria" w:eastAsia="Cambria" w:hAnsi="Cambria"/>
          <w:color w:val="E6007E"/>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E6007E"/>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keepNext/>
        <w:spacing w:after="60" w:before="140"/>
        <w:jc w:val="center"/>
      </w:pPr>
      <w:r>
        <w:drawing>
          <wp:inline distT="0" distB="0" distL="0" distR="0">
            <wp:extent cx="5715000" cy="2209800"/>
            <wp:effectExtent t="0" r="0" b="0" l="0"/>
            <wp:docPr id="1" name="arch7.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E6007E"/>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Figure 8 the corresponding component is labelled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in Eq. (59) and abbreviated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257800"/>
            <wp:effectExtent t="0" r="0" b="0" l="0"/>
            <wp:docPr id="1" name="arch8.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257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E6007E"/>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CC"/>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E6007E"/>
          <w:sz w:val="24"/>
          <w:szCs w:val="24"/>
        </w:rPr>
        <w:t xml:space="preserve">and the independent verification tool described in Section 6.8.9 provide</w:t>
      </w:r>
      <w:r>
        <w:rPr>
          <w:rFonts w:ascii="Cambria" w:cs="Cambria" w:eastAsia="Cambria" w:hAnsi="Cambria"/>
          <w:color w:val="0000CC"/>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E6007E"/>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E6007E"/>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E6007E"/>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E6007E"/>
          <w:sz w:val="24"/>
          <w:szCs w:val="24"/>
        </w:rPr>
        <w:t xml:space="preserve">Multi-party authorisation is satisfied when the threshold condition of Eq. (28) holds.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keepNext/>
        <w:spacing w:after="60" w:before="140"/>
        <w:jc w:val="center"/>
      </w:pPr>
      <w:r>
        <w:drawing>
          <wp:inline distT="0" distB="0" distL="0" distR="0">
            <wp:extent cx="4191000" cy="6819900"/>
            <wp:effectExtent t="0" r="0" b="0" l="0"/>
            <wp:docPr id="1" name="arch9.png" descr="Figure 9: End-to-end workflow of the trust-oriented consent authorisation framework" title="Figure 9: 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6819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the trust-oriented consent authorisation framework</w:t>
      </w:r>
    </w:p>
    <w:p>
      <w:pPr>
        <w:spacing w:after="140" w:line="300"/>
        <w:jc w:val="both"/>
      </w:pPr>
      <w:r>
        <w:rPr>
          <w:rFonts w:ascii="Cambria" w:cs="Cambria" w:eastAsia="Cambria" w:hAnsi="Cambria"/>
          <w:color w:val="E6007E"/>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E6007E"/>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the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E6007E"/>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E6007E"/>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CC"/>
          <w:sz w:val="24"/>
          <w:szCs w:val="24"/>
        </w:rPr>
        <w:t xml:space="preserve">It should be noted that Eq. (30) expresses the foundational core only. In the complete model, the temporal predicate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(C, t) and 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E6007E"/>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E6007E"/>
          <w:sz w:val="24"/>
          <w:szCs w:val="24"/>
        </w:rPr>
        <w:t xml:space="preserve">Let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E6007E"/>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E6007E"/>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CC"/>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denote the healthcare data scope authorised by the consent object and 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CC"/>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E6007E"/>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E6007E"/>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E6007E"/>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E6007E"/>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CC"/>
          <w:sz w:val="24"/>
          <w:szCs w:val="24"/>
        </w:rPr>
        <w:t xml:space="preserve">In Eq. (40),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(ai) denotes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E6007E"/>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E6007E"/>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E6007E"/>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E6007E"/>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E6007E"/>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E6007E"/>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E6007E"/>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E6007E"/>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CC"/>
          <w:sz w:val="24"/>
          <w:szCs w:val="24"/>
        </w:rPr>
        <w:t xml:space="preserve">RO5 is realised through the temporal and lifecycle state held in the Model and the corresponding predicates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E6007E"/>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E6007E"/>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E6007E"/>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E6007E"/>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E6007E"/>
          <w:sz w:val="24"/>
          <w:szCs w:val="24"/>
        </w:rPr>
        <w:t xml:space="preserve">The Controller therefore already evaluates the corresponding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and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E6007E"/>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E6007E"/>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E6007E"/>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E6007E"/>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CC"/>
          <w:sz w:val="24"/>
          <w:szCs w:val="24"/>
        </w:rPr>
        <w:t xml:space="preserve">In the current interface the purpose is fixed to Treatment and is not selected by the patient. The purpose vocabulary check of Section 6.4.3 is therefore exercised by the automated tests rather than by the interface. Figure 10 shows the resulting consent-creation workflow.</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E6007E"/>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E6007E"/>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E6007E"/>
          <w:sz w:val="24"/>
          <w:szCs w:val="24"/>
        </w:rPr>
        <w:t xml:space="preserve">The identifier is not supplied by any participant.</w:t>
      </w:r>
      <w:r>
        <w:rPr>
          <w:rFonts w:ascii="Cambria" w:cs="Cambria" w:eastAsia="Cambria" w:hAnsi="Cambria"/>
          <w:color w:val="E6007E"/>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E6007E"/>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E6007E"/>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Patient identity I</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authorised doctor D, guardian set G,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data scope S</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E6007E"/>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E6007E"/>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CC"/>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962650"/>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9626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E6007E"/>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E6007E"/>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current prototype implements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E6007E"/>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E6007E"/>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E6007E"/>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At access time the recovery is repeated for every recorded signature within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whereas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counts the recorded approvals against N and checks the token identifier and the revocation flag.</w:t>
      </w:r>
    </w:p>
    <w:p>
      <w:pPr>
        <w:spacing w:after="140" w:line="300"/>
        <w:jc w:val="both"/>
      </w:pPr>
      <w:r>
        <w:rPr>
          <w:rFonts w:ascii="Cambria" w:cs="Cambria" w:eastAsia="Cambria" w:hAnsi="Cambria"/>
          <w:color w:val="0000CC"/>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E6007E"/>
          <w:sz w:val="24"/>
          <w:szCs w:val="24"/>
        </w:rPr>
        <w:t xml:space="preserve">Formally, no approval already contained in the valid approval set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E6007E"/>
          <w:sz w:val="24"/>
          <w:szCs w:val="24"/>
        </w:rPr>
        <w:t xml:space="preserve">It should be noted that only approvals that have passed the identity, authority, membership and duplicate checks are included in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E6007E"/>
          <w:sz w:val="24"/>
          <w:szCs w:val="24"/>
        </w:rPr>
        <w:t xml:space="preserve">Authorisation(C) = { ACTIVATED,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PENDING,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|A</w:t>
      </w:r>
      <w:r>
        <w:rPr>
          <w:rFonts w:ascii="Cambria Math" w:cs="Cambria Math" w:eastAsia="Cambria Math" w:hAnsi="Cambria Math"/>
          <w:i/>
          <w:iCs/>
          <w:color w:val="E6007E"/>
          <w:sz w:val="22"/>
          <w:szCs w:val="22"/>
          <w:vertAlign w:val="subscript"/>
        </w:rPr>
        <w:t xml:space="preserve">v</w:t>
      </w:r>
      <w:r>
        <w:rPr>
          <w:rFonts w:ascii="Cambria Math" w:cs="Cambria Math" w:eastAsia="Cambria Math" w:hAnsi="Cambria Math"/>
          <w:i/>
          <w:iCs/>
          <w:color w:val="E6007E"/>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E6007E"/>
          <w:sz w:val="24"/>
          <w:szCs w:val="24"/>
        </w:rPr>
        <w:t xml:space="preserve">|A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E6007E"/>
          <w:sz w:val="21"/>
          <w:szCs w:val="21"/>
        </w:rPr>
        <w:t xml:space="preserve">Consent object C with identifier id</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interval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t</w:t>
      </w:r>
      <w:r>
        <w:rPr>
          <w:rFonts w:ascii="Cambria" w:cs="Cambria" w:eastAsia="Cambria" w:hAnsi="Cambria"/>
          <w:color w:val="E6007E"/>
          <w:sz w:val="21"/>
          <w:szCs w:val="21"/>
          <w:vertAlign w:val="subscript"/>
        </w:rPr>
        <w:t xml:space="preserve">e</w:t>
      </w:r>
      <w:r>
        <w:rPr>
          <w:rFonts w:ascii="Cambria" w:cs="Cambria" w:eastAsia="Cambria" w:hAnsi="Cambria"/>
          <w:color w:val="E6007E"/>
          <w:sz w:val="21"/>
          <w:szCs w:val="21"/>
        </w:rPr>
        <w:t xml:space="preserve">) and jurisdiction L; patient and requester addresses addr</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addr</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EIP-712 domain; approval a = (g, sig</w:t>
      </w:r>
      <w:r>
        <w:rPr>
          <w:rFonts w:ascii="Cambria" w:cs="Cambria" w:eastAsia="Cambria" w:hAnsi="Cambria"/>
          <w:color w:val="E6007E"/>
          <w:sz w:val="21"/>
          <w:szCs w:val="21"/>
          <w:vertAlign w:val="subscript"/>
        </w:rPr>
        <w:t xml:space="preserve">a</w:t>
      </w:r>
      <w:r>
        <w:rPr>
          <w:rFonts w:ascii="Cambria" w:cs="Cambria" w:eastAsia="Cambria" w:hAnsi="Cambria"/>
          <w:color w:val="E6007E"/>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E6007E"/>
          <w:sz w:val="21"/>
          <w:szCs w:val="21"/>
        </w:rPr>
        <w:t xml:space="preserve">Verify identity and authority of g (Algorithm 2; structural DID check in the prototype); </w:t>
      </w:r>
      <w:r>
        <w:rPr>
          <w:rFonts w:ascii="Cambria" w:cs="Cambria" w:eastAsia="Cambria" w:hAnsi="Cambria"/>
          <w:b/>
          <w:bCs/>
          <w:color w:val="E6007E"/>
          <w:sz w:val="21"/>
          <w:szCs w:val="21"/>
        </w:rPr>
        <w:t xml:space="preserve">if</w:t>
      </w:r>
      <w:r>
        <w:rPr>
          <w:rFonts w:ascii="Cambria" w:cs="Cambria" w:eastAsia="Cambria" w:hAnsi="Cambria"/>
          <w:color w:val="E6007E"/>
          <w:sz w:val="21"/>
          <w:szCs w:val="21"/>
        </w:rPr>
        <w:t xml:space="preserve"> the verification fails </w:t>
      </w:r>
      <w:r>
        <w:rPr>
          <w:rFonts w:ascii="Cambria" w:cs="Cambria" w:eastAsia="Cambria" w:hAnsi="Cambria"/>
          <w:b/>
          <w:bCs/>
          <w:color w:val="E6007E"/>
          <w:sz w:val="21"/>
          <w:szCs w:val="21"/>
        </w:rPr>
        <w:t xml:space="preserve">then</w:t>
      </w:r>
      <w:r>
        <w:rPr>
          <w:rFonts w:ascii="Cambria" w:cs="Cambria" w:eastAsia="Cambria" w:hAnsi="Cambria"/>
          <w:color w:val="E6007E"/>
          <w:sz w:val="21"/>
          <w:szCs w:val="21"/>
        </w:rPr>
        <w:t xml:space="preserve"> record the invalid approval and </w:t>
      </w:r>
      <w:r>
        <w:rPr>
          <w:rFonts w:ascii="Cambria" w:cs="Cambria" w:eastAsia="Cambria" w:hAnsi="Cambria"/>
          <w:b/>
          <w:bCs/>
          <w:color w:val="E6007E"/>
          <w:sz w:val="21"/>
          <w:szCs w:val="21"/>
        </w:rPr>
        <w:t xml:space="preserve">return</w:t>
      </w:r>
      <w:r>
        <w:rPr>
          <w:rFonts w:ascii="Cambria" w:cs="Cambria" w:eastAsia="Cambria" w:hAnsi="Cambria"/>
          <w:color w:val="E6007E"/>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E6007E"/>
          <w:sz w:val="21"/>
          <w:szCs w:val="21"/>
        </w:rPr>
        <w:t xml:space="preserve">record a local token identifier; state ← ACTIVE once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E6007E"/>
          <w:sz w:val="21"/>
          <w:szCs w:val="21"/>
        </w:rPr>
        <w:t xml:space="preserve">P</w:t>
      </w:r>
      <w:r>
        <w:rPr>
          <w:rFonts w:ascii="Cambria" w:cs="Cambria" w:eastAsia="Cambria" w:hAnsi="Cambria"/>
          <w:color w:val="E6007E"/>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E6007E"/>
          <w:sz w:val="21"/>
          <w:szCs w:val="21"/>
        </w:rPr>
        <w:t xml:space="preserve">the contract stores keccak256(P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E6007E"/>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E6007E"/>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E6007E"/>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CC"/>
          <w:sz w:val="24"/>
          <w:szCs w:val="24"/>
        </w:rPr>
        <w:t xml:space="preserve">In the prototype the matrix column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records the purpose check VU only. The scope condition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CC"/>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C</w:t>
      </w:r>
      <w:r>
        <w:rPr>
          <w:rFonts w:ascii="Cambria Math" w:cs="Cambria Math" w:eastAsia="Cambria Math" w:hAnsi="Cambria Math"/>
          <w:i/>
          <w:iCs/>
          <w:color w:val="E6007E"/>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Consent object C, access request R = (u, P</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S</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E6007E"/>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E6007E"/>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E6007E"/>
          <w:sz w:val="24"/>
          <w:szCs w:val="24"/>
        </w:rPr>
        <w:t xml:space="preserve">represented as R = (u,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E6007E"/>
          <w:sz w:val="24"/>
          <w:szCs w:val="24"/>
        </w:rPr>
        <w:t xml:space="preserve">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E6007E"/>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E6007E"/>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E6007E"/>
          <w:sz w:val="24"/>
          <w:szCs w:val="24"/>
        </w:rPr>
        <w:t xml:space="preserve">PurposeMatch(P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ScopeMatch(S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E6007E"/>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E6007E"/>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E6007E"/>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is presently evaluated over the consent purpose rather than over a requester-declared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E6007E"/>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CC"/>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E6007E"/>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E6007E"/>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E6007E"/>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E6007E"/>
          <w:sz w:val="24"/>
          <w:szCs w:val="24"/>
        </w:rPr>
        <w:t xml:space="preserve">The foundational model of Equation (37) evaluates identity, collective authorisation and policy compliance.</w:t>
      </w:r>
      <w:r>
        <w:rPr>
          <w:rFonts w:ascii="Cambria" w:cs="Cambria" w:eastAsia="Cambria" w:hAnsi="Cambria"/>
          <w:color w:val="E6007E"/>
          <w:sz w:val="24"/>
          <w:szCs w:val="24"/>
        </w:rPr>
        <w:t xml:space="preserve"> RO5 extends this model by introducing temporal and lifecycle conditions, and the extended rule is the one enforced by the prototype.</w:t>
      </w:r>
      <w:r>
        <w:rPr>
          <w:rFonts w:ascii="Cambria" w:cs="Cambria" w:eastAsia="Cambria" w:hAnsi="Cambria"/>
          <w:color w:val="E6007E"/>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E6007E"/>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E6007E"/>
          <w:sz w:val="24"/>
          <w:szCs w:val="24"/>
        </w:rPr>
        <w:t xml:space="preserve">where Jur(·) denotes the jurisdiction attribute, recorded on-chain as a two-letter ISO code. Lifecycle state and revocation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rather than within this predicate. In the decision rules that follow,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is abbreviated to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E6007E"/>
          <w:sz w:val="24"/>
          <w:szCs w:val="24"/>
        </w:rPr>
        <w:t xml:space="preserve">In particular, the Consent Engine evaluates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It should be noted that the access decision evaluates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E6007E"/>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E6007E"/>
          <w:sz w:val="24"/>
          <w:szCs w:val="24"/>
        </w:rPr>
        <w:t xml:space="preserve">It should be noted that the symbol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in this section denotes the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of Eq. (13), extended here with the temporal condition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The implementation evaluates this predicate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It must not be confused with the data-scope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R) of Eq. (52). For this reason the lifecycle predicate is always written with three arguments,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in this section. It is distinct from the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E6007E"/>
          <w:sz w:val="24"/>
          <w:szCs w:val="24"/>
        </w:rPr>
        <w:t xml:space="preserve">The lifecycle validation mechanism can therefore be interpreted as a per- request validity layer.</w:t>
      </w:r>
      <w:r>
        <w:rPr>
          <w:rFonts w:ascii="Cambria" w:cs="Cambria" w:eastAsia="Cambria" w:hAnsi="Cambria"/>
          <w:color w:val="E6007E"/>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E6007E"/>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E6007E"/>
          <w:sz w:val="24"/>
          <w:szCs w:val="24"/>
        </w:rPr>
        <w:t xml:space="preserve">Algorithm 5 is implemented in the current prototype, with the exception of the transition check of lines 16 to 20. The lifecycle state is derived at each evaluation from the recorded signatures, the token identifier and the revocation flag, and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E6007E"/>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E6007E"/>
          <w:sz w:val="24"/>
          <w:szCs w:val="24"/>
        </w:rPr>
        <w:t xml:space="preserve">The formal decision model is expressed in Equation (61) below.</w:t>
      </w:r>
    </w:p>
    <w:p>
      <w:pPr>
        <w:spacing w:after="140" w:line="300"/>
        <w:jc w:val="both"/>
      </w:pPr>
      <w:r>
        <w:rPr>
          <w:rFonts w:ascii="Cambria" w:cs="Cambria" w:eastAsia="Cambria" w:hAnsi="Cambria"/>
          <w:color w:val="E6007E"/>
          <w:sz w:val="24"/>
          <w:szCs w:val="24"/>
        </w:rPr>
        <w:t xml:space="preserve">The empirical half of this objective has been carried out on the demonstrated prototype, whereas formal proofs and model checking of the authorisation properties remain future work. Figure 16 presents the RO6 workflow for security assurance and empirical validation. Of the two forms of assurance, the empirical evaluation shown in the figure has been executed on the prototype, whereas the formal analysis of the decision rule remains planned. 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E6007E"/>
          <w:sz w:val="24"/>
          <w:szCs w:val="24"/>
        </w:rPr>
        <w:t xml:space="preserve">The soundness property that has been validated is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E6007E"/>
          <w:sz w:val="24"/>
          <w:szCs w:val="24"/>
        </w:rPr>
        <w:t xml:space="preserve">In particular, 23 automated tests cover per-dimension failures of the decision matrix, rejection of invalid EIP-712 signatures, and zero-knowledge tamper and expiry cases.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E6007E"/>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E6007E"/>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E6007E"/>
          <w:sz w:val="24"/>
          <w:szCs w:val="24"/>
        </w:rPr>
        <w:t xml:space="preserve">The expected threshold property is Authorisation(C) = ACTIVATED ⇒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E6007E"/>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E6007E"/>
          <w:sz w:val="24"/>
          <w:szCs w:val="24"/>
        </w:rPr>
        <w:t xml:space="preserve">This structure reflects the staged research design. The current stage establishes the foundational authorisation mechanisms together with their dynamic validity. CA3 completes their formal security assurance and their practical evaluation.</w:t>
      </w:r>
    </w:p>
    <w:p>
      <w:pPr>
        <w:spacing w:after="140" w:line="300"/>
        <w:jc w:val="both"/>
      </w:pPr>
      <w:r>
        <w:rPr>
          <w:rFonts w:ascii="Cambria" w:cs="Cambria" w:eastAsia="Cambria" w:hAnsi="Cambria"/>
          <w:color w:val="E6007E"/>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E6007E"/>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E6007E"/>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E6007E"/>
          <w:sz w:val="24"/>
          <w:szCs w:val="24"/>
        </w:rPr>
        <w:t xml:space="preserve">Under Equation (65) access is granted only when all five predicates hold, revocation is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CC"/>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The empirical branch of Algorithm 6 has been executed against the prototype.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E6007E"/>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E6007E"/>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E6007E"/>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E6007E"/>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E6007E"/>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E6007E"/>
          <w:sz w:val="24"/>
          <w:szCs w:val="24"/>
        </w:rPr>
        <w:t xml:space="preserve">As shown in Figure 17,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E6007E"/>
          <w:sz w:val="24"/>
          <w:szCs w:val="24"/>
        </w:rPr>
        <w:t xml:space="preserve">As shown in Figure 18,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4095750" cy="5676900"/>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5676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E6007E"/>
          <w:sz w:val="24"/>
          <w:szCs w:val="24"/>
        </w:rPr>
        <w:t xml:space="preserve">As shown in Figure 19</w:t>
      </w:r>
      <w:r>
        <w:rPr>
          <w:rFonts w:ascii="Cambria" w:cs="Cambria" w:eastAsia="Cambria" w:hAnsi="Cambria"/>
          <w:color w:val="000000"/>
          <w:sz w:val="24"/>
          <w:szCs w:val="24"/>
        </w:rPr>
        <w:t xml:space="preserve">, the deployed instance is listed in Remix under Deployed Contracts, and the source code was submitted for verification, which completed with Verification Successful. </w:t>
      </w:r>
      <w:r>
        <w:rPr>
          <w:rFonts w:ascii="Cambria" w:cs="Cambria" w:eastAsia="Cambria" w:hAnsi="Cambria"/>
          <w:color w:val="E6007E"/>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E6007E"/>
          <w:sz w:val="24"/>
          <w:szCs w:val="24"/>
        </w:rPr>
        <w:t xml:space="preserve">As shown in Figure 20</w:t>
      </w:r>
      <w:r>
        <w:rPr>
          <w:rFonts w:ascii="Cambria" w:cs="Cambria" w:eastAsia="Cambria" w:hAnsi="Cambria"/>
          <w:color w:val="000000"/>
          <w:sz w:val="24"/>
          <w:szCs w:val="24"/>
        </w:rPr>
        <w:t xml:space="preser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E6007E"/>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E6007E"/>
          <w:sz w:val="24"/>
          <w:szCs w:val="24"/>
        </w:rPr>
        <w:t xml:space="preserve">As shown in Figure 21</w:t>
      </w:r>
      <w:r>
        <w:rPr>
          <w:rFonts w:ascii="Cambria" w:cs="Cambria" w:eastAsia="Cambria" w:hAnsi="Cambria"/>
          <w:color w:val="000000"/>
          <w:sz w:val="24"/>
          <w:szCs w:val="24"/>
        </w:rPr>
        <w:t xml:space="preser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E6007E"/>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E6007E"/>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E6007E"/>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w:t>
      </w:r>
      <w:r>
        <w:rPr>
          <w:rFonts w:ascii="Cambria" w:cs="Cambria" w:eastAsia="Cambria" w:hAnsi="Cambria"/>
          <w:color w:val="E6007E"/>
          <w:sz w:val="24"/>
          <w:szCs w:val="24"/>
        </w:rPr>
        <w:t xml:space="preserve">As shown in Figure 22</w:t>
      </w:r>
      <w:r>
        <w:rPr>
          <w:rFonts w:ascii="Cambria" w:cs="Cambria" w:eastAsia="Cambria" w:hAnsi="Cambria"/>
          <w:color w:val="000000"/>
          <w:sz w:val="24"/>
          <w:szCs w:val="24"/>
        </w:rPr>
        <w:t xml:space="preserve">,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E6007E"/>
          <w:sz w:val="24"/>
          <w:szCs w:val="24"/>
        </w:rPr>
        <w:t xml:space="preserve">As shown in Figure 22</w:t>
      </w:r>
      <w:r>
        <w:rPr>
          <w:rFonts w:ascii="Cambria" w:cs="Cambria" w:eastAsia="Cambria" w:hAnsi="Cambria"/>
          <w:color w:val="000000"/>
          <w:sz w:val="24"/>
          <w:szCs w:val="24"/>
        </w:rPr>
        <w:t xml:space="preser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24479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447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E6007E"/>
          <w:sz w:val="24"/>
          <w:szCs w:val="24"/>
        </w:rPr>
        <w:t xml:space="preserve">As shown in Figure 23,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E6007E"/>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E6007E"/>
          <w:sz w:val="24"/>
          <w:szCs w:val="24"/>
        </w:rPr>
        <w:t xml:space="preserve">The guardian approval establishes the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E6007E"/>
          <w:sz w:val="24"/>
          <w:szCs w:val="24"/>
        </w:rPr>
        <w:t xml:space="preserve">As shown in Figure 24</w:t>
      </w:r>
      <w:r>
        <w:rPr>
          <w:rFonts w:ascii="Cambria" w:cs="Cambria" w:eastAsia="Cambria" w:hAnsi="Cambria"/>
          <w:color w:val="000000"/>
          <w:sz w:val="24"/>
          <w:szCs w:val="24"/>
        </w:rPr>
        <w:t xml:space="preser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590675"/>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5906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E6007E"/>
          <w:sz w:val="24"/>
          <w:szCs w:val="24"/>
        </w:rPr>
        <w:t xml:space="preserve">As shown in Figure 25</w:t>
      </w:r>
      <w:r>
        <w:rPr>
          <w:rFonts w:ascii="Cambria" w:cs="Cambria" w:eastAsia="Cambria" w:hAnsi="Cambria"/>
          <w:color w:val="000000"/>
          <w:sz w:val="24"/>
          <w:szCs w:val="24"/>
        </w:rPr>
        <w:t xml:space="preser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3314700"/>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E6007E"/>
          <w:sz w:val="24"/>
          <w:szCs w:val="24"/>
        </w:rPr>
        <w:t xml:space="preserve">As shown in Figure 26,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114800"/>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114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E6007E"/>
          <w:sz w:val="24"/>
          <w:szCs w:val="24"/>
        </w:rPr>
        <w:t xml:space="preserve">As shown in Figure 27</w:t>
      </w:r>
      <w:r>
        <w:rPr>
          <w:rFonts w:ascii="Cambria" w:cs="Cambria" w:eastAsia="Cambria" w:hAnsi="Cambria"/>
          <w:color w:val="000000"/>
          <w:sz w:val="24"/>
          <w:szCs w:val="24"/>
        </w:rPr>
        <w:t xml:space="preser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E6007E"/>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E6007E"/>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CC"/>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E6007E"/>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E6007E"/>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05790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057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2386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238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E6007E"/>
          <w:sz w:val="24"/>
          <w:szCs w:val="24"/>
        </w:rPr>
        <w:t xml:space="preserve">Figures 29 and 30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CC"/>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E6007E"/>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E6007E"/>
          <w:sz w:val="24"/>
          <w:szCs w:val="24"/>
        </w:rPr>
        <w:t xml:space="preserve">As shown in Figure 31</w:t>
      </w:r>
      <w:r>
        <w:rPr>
          <w:rFonts w:ascii="Cambria" w:cs="Cambria" w:eastAsia="Cambria" w:hAnsi="Cambria"/>
          <w:color w:val="000000"/>
          <w:sz w:val="24"/>
          <w:szCs w:val="24"/>
        </w:rPr>
        <w:t xml:space="preser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E6007E"/>
          <w:sz w:val="24"/>
          <w:szCs w:val="24"/>
        </w:rPr>
        <w:t xml:space="preserve">As shown in Figure 32</w:t>
      </w:r>
      <w:r>
        <w:rPr>
          <w:rFonts w:ascii="Cambria" w:cs="Cambria" w:eastAsia="Cambria" w:hAnsi="Cambria"/>
          <w:color w:val="000000"/>
          <w:sz w:val="24"/>
          <w:szCs w:val="24"/>
        </w:rPr>
        <w:t xml:space="preser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E6007E"/>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E6007E"/>
          <w:sz w:val="24"/>
          <w:szCs w:val="24"/>
        </w:rPr>
        <w:t xml:space="preserve">As shown in Figure 33</w:t>
      </w:r>
      <w:r>
        <w:rPr>
          <w:rFonts w:ascii="Cambria" w:cs="Cambria" w:eastAsia="Cambria" w:hAnsi="Cambria"/>
          <w:color w:val="000000"/>
          <w:sz w:val="24"/>
          <w:szCs w:val="24"/>
        </w:rPr>
        <w:t xml:space="preser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E6007E"/>
          <w:sz w:val="24"/>
          <w:szCs w:val="24"/>
        </w:rPr>
        <w:t xml:space="preserve">As shown in Figure 34</w:t>
      </w:r>
      <w:r>
        <w:rPr>
          <w:rFonts w:ascii="Cambria" w:cs="Cambria" w:eastAsia="Cambria" w:hAnsi="Cambria"/>
          <w:color w:val="000000"/>
          <w:sz w:val="24"/>
          <w:szCs w:val="24"/>
        </w:rPr>
        <w:t xml:space="preser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E6007E"/>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CC"/>
          <w:sz w:val="24"/>
          <w:szCs w:val="24"/>
        </w:rPr>
        <w:t xml:space="preserve">Figure 35 summarises the implemented lifecycle and its anchored transitions.</w:t>
      </w:r>
    </w:p>
    <w:p>
      <w:pPr>
        <w:spacing w:after="140" w:line="300"/>
        <w:jc w:val="both"/>
      </w:pPr>
      <w:r>
        <w:rPr>
          <w:rFonts w:ascii="Cambria" w:cs="Cambria" w:eastAsia="Cambria" w:hAnsi="Cambria"/>
          <w:color w:val="E6007E"/>
          <w:sz w:val="24"/>
          <w:szCs w:val="24"/>
        </w:rPr>
        <w:t xml:space="preserve">It should be noted that the expiry path is not shown in the live demonstration. In this path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fails once the current time exceeds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47875"/>
            <wp:effectExtent t="0" r="0" b="0" l="0"/>
            <wp:docPr id="1" name="lifecycle_sm.png" descr="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titl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E6007E"/>
          <w:sz w:val="24"/>
          <w:szCs w:val="24"/>
        </w:rPr>
        <w:t xml:space="preserve">As shown in Figure 36</w:t>
      </w:r>
      <w:r>
        <w:rPr>
          <w:rFonts w:ascii="Cambria" w:cs="Cambria" w:eastAsia="Cambria" w:hAnsi="Cambria"/>
          <w:color w:val="000000"/>
          <w:sz w:val="24"/>
          <w:szCs w:val="24"/>
        </w:rPr>
        <w:t xml:space="preserve">, when the doctor subsequently enters the same Consent ID, the authorisation check VA fails and the subsystem reports that the consent is not active. </w:t>
      </w:r>
      <w:r>
        <w:rPr>
          <w:rFonts w:ascii="Cambria" w:cs="Cambria" w:eastAsia="Cambria" w:hAnsi="Cambria"/>
          <w:color w:val="E6007E"/>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289560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95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E6007E"/>
          <w:sz w:val="24"/>
          <w:szCs w:val="24"/>
        </w:rPr>
        <w:t xml:space="preserve">As shown in Figure 37</w:t>
      </w:r>
      <w:r>
        <w:rPr>
          <w:rFonts w:ascii="Cambria" w:cs="Cambria" w:eastAsia="Cambria" w:hAnsi="Cambria"/>
          <w:color w:val="000000"/>
          <w:sz w:val="24"/>
          <w:szCs w:val="24"/>
        </w:rPr>
        <w:t xml:space="preser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E6007E"/>
          <w:sz w:val="24"/>
          <w:szCs w:val="24"/>
        </w:rPr>
        <w:t xml:space="preserve">As shown in Figure 38</w:t>
      </w:r>
      <w:r>
        <w:rPr>
          <w:rFonts w:ascii="Cambria" w:cs="Cambria" w:eastAsia="Cambria" w:hAnsi="Cambria"/>
          <w:color w:val="000000"/>
          <w:sz w:val="24"/>
          <w:szCs w:val="24"/>
        </w:rPr>
        <w:t xml:space="preser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E6007E"/>
          <w:sz w:val="24"/>
          <w:szCs w:val="24"/>
        </w:rPr>
        <w:t xml:space="preserve">As shown in Figure 39</w:t>
      </w:r>
      <w:r>
        <w:rPr>
          <w:rFonts w:ascii="Cambria" w:cs="Cambria" w:eastAsia="Cambria" w:hAnsi="Cambria"/>
          <w:color w:val="000000"/>
          <w:sz w:val="24"/>
          <w:szCs w:val="24"/>
        </w:rPr>
        <w:t xml:space="preser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CC"/>
          <w:sz w:val="24"/>
          <w:szCs w:val="24"/>
        </w:rPr>
        <w:t xml:space="preserve">At the time of the capture the exported ledger held 60 events, of which five were anchored on Sepolia.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E6007E"/>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E6007E"/>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w:t>
      </w:r>
      <w:r>
        <w:rPr>
          <w:rFonts w:ascii="Cambria" w:cs="Cambria" w:eastAsia="Cambria" w:hAnsi="Cambria"/>
          <w:color w:val="E6007E"/>
          <w:sz w:val="24"/>
          <w:szCs w:val="24"/>
        </w:rPr>
        <w:t xml:space="preserve">As shown in Figure 39</w:t>
      </w:r>
      <w:r>
        <w:rPr>
          <w:rFonts w:ascii="Cambria" w:cs="Cambria" w:eastAsia="Cambria" w:hAnsi="Cambria"/>
          <w:color w:val="000000"/>
          <w:sz w:val="24"/>
          <w:szCs w:val="24"/>
        </w:rPr>
        <w:t xml:space="preser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E6007E"/>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E6007E"/>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w:t>
      </w:r>
    </w:p>
    <w:p>
      <w:pPr>
        <w:keepNext/>
        <w:spacing w:after="60" w:before="140"/>
        <w:jc w:val="center"/>
      </w:pPr>
      <w:r>
        <w:drawing>
          <wp:inline distT="0" distB="0" distL="0" distR="0">
            <wp:extent cx="4095750" cy="600075"/>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6000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E6007E"/>
          <w:sz w:val="24"/>
          <w:szCs w:val="24"/>
        </w:rPr>
        <w:t xml:space="preserve">As shown in Figure 40,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CC"/>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E6007E"/>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CC"/>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E6007E"/>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E6007E"/>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E6007E"/>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CC"/>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CC"/>
          <w:sz w:val="24"/>
          <w:szCs w:val="24"/>
        </w:rPr>
        <w:t xml:space="preserve">It should be noted that, in the same way,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E6007E"/>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E6007E"/>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E6007E"/>
          <w:sz w:val="24"/>
          <w:szCs w:val="24"/>
        </w:rPr>
        <w:t xml:space="preserve">Policy information specifies the purpose and permitted data scope. Temporal information defines the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E6007E"/>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E6007E"/>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E6007E"/>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E6007E"/>
          <w:sz w:val="24"/>
          <w:szCs w:val="24"/>
        </w:rPr>
        <w:t xml:space="preserve">It should be noted that the identity verification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E6007E"/>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E6007E"/>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E6007E"/>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E6007E"/>
          <w:sz w:val="24"/>
          <w:szCs w:val="24"/>
        </w:rPr>
        <w:t xml:space="preserve">Progress of RO4: Policy- and Context-Aware Access Control</w:t>
      </w:r>
    </w:p>
    <w:p>
      <w:pPr>
        <w:spacing w:after="140" w:line="300"/>
        <w:jc w:val="both"/>
      </w:pPr>
      <w:r>
        <w:rPr>
          <w:rFonts w:ascii="Cambria" w:cs="Cambria" w:eastAsia="Cambria" w:hAnsi="Cambria"/>
          <w:color w:val="E6007E"/>
          <w:sz w:val="24"/>
          <w:szCs w:val="24"/>
        </w:rPr>
        <w:t xml:space="preserve">Status: Completed</w:t>
      </w:r>
    </w:p>
    <w:p>
      <w:pPr>
        <w:spacing w:after="140" w:line="300"/>
        <w:jc w:val="both"/>
      </w:pPr>
      <w:r>
        <w:rPr>
          <w:rFonts w:ascii="Cambria" w:cs="Cambria" w:eastAsia="Cambria" w:hAnsi="Cambria"/>
          <w:color w:val="E6007E"/>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E6007E"/>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CC"/>
          <w:sz w:val="24"/>
          <w:szCs w:val="24"/>
        </w:rPr>
        <w:t xml:space="preserve">where Policy(C, R) denotes the conjunction of the purpose check V</w:t>
      </w:r>
      <w:r>
        <w:rPr>
          <w:rFonts w:ascii="Cambria" w:cs="Cambria" w:eastAsia="Cambria" w:hAnsi="Cambria"/>
          <w:color w:val="0000CC"/>
          <w:sz w:val="24"/>
          <w:szCs w:val="24"/>
          <w:vertAlign w:val="subscript"/>
        </w:rPr>
        <w:t xml:space="preserve">U</w:t>
      </w:r>
      <w:r>
        <w:rPr>
          <w:rFonts w:ascii="Cambria" w:cs="Cambria" w:eastAsia="Cambria" w:hAnsi="Cambria"/>
          <w:color w:val="0000CC"/>
          <w:sz w:val="24"/>
          <w:szCs w:val="24"/>
        </w:rPr>
        <w:t xml:space="preserve">(C, R) and the scope check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defined in Eq. (53).</w:t>
      </w:r>
    </w:p>
    <w:p>
      <w:pPr>
        <w:spacing w:after="140" w:line="300"/>
        <w:jc w:val="both"/>
      </w:pPr>
      <w:r>
        <w:rPr>
          <w:rFonts w:ascii="Cambria" w:cs="Cambria" w:eastAsia="Cambria" w:hAnsi="Cambria"/>
          <w:color w:val="E6007E"/>
          <w:sz w:val="24"/>
          <w:szCs w:val="24"/>
        </w:rPr>
        <w:t xml:space="preserve">For example, if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{Observation, Medication} and the requester asks for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{Observation, Medication, Procedure}, the request exceeds the authorised scope. In this case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evaluates to 0 and the request is denied with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E6007E"/>
          <w:sz w:val="24"/>
          <w:szCs w:val="24"/>
        </w:rPr>
        <w:t xml:space="preserve">The policy predicate is evaluated as one term of the complete decision matrix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Every denial names the failed checks explicitly in both the interface and the audit ledger.</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E6007E"/>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E6007E"/>
          <w:sz w:val="24"/>
          <w:szCs w:val="24"/>
        </w:rPr>
        <w:t xml:space="preserve">RO5 has moved from planned work to implemented capability. The consent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is now enforced by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E6007E"/>
          <w:sz w:val="24"/>
          <w:szCs w:val="24"/>
        </w:rPr>
        <w:t xml:space="preserve">Progress of RO6: Formal Security Assurance and Empirical Validation</w:t>
      </w:r>
    </w:p>
    <w:p>
      <w:pPr>
        <w:spacing w:after="140" w:line="300"/>
        <w:jc w:val="both"/>
      </w:pPr>
      <w:r>
        <w:rPr>
          <w:rFonts w:ascii="Cambria" w:cs="Cambria" w:eastAsia="Cambria" w:hAnsi="Cambria"/>
          <w:color w:val="E6007E"/>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E6007E"/>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(u)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(C)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(C, R)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E6007E"/>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sz w:val="24"/>
          <w:szCs w:val="24"/>
        </w:rPr>
        <w:t xml:space="preserve">  or expired zero-knowledge proofs. </w:t>
      </w:r>
      <w:r>
        <w:rPr>
          <w:rFonts w:ascii="Cambria" w:cs="Cambria" w:eastAsia="Cambria" w:hAnsi="Cambria"/>
          <w:color w:val="E6007E"/>
          <w:sz w:val="24"/>
          <w:szCs w:val="24"/>
        </w:rPr>
        <w:t xml:space="preserve">Live validation on the Sepolia testnet includes a negative demonstration in which a request declaring jurisdiction SA is made against a consent issued for AU. The request is denied, with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w:t>
      </w:r>
      <w:r>
        <w:rPr>
          <w:rFonts w:ascii="Cambria" w:cs="Cambria" w:eastAsia="Cambria" w:hAnsi="Cambria"/>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E6007E"/>
          <w:sz w:val="24"/>
          <w:szCs w:val="24"/>
        </w:rPr>
        <w:t xml:space="preserve">The implemented decision rule is therefore exactly Eq. (75).</w:t>
      </w:r>
      <w:r>
        <w:rPr>
          <w:rFonts w:ascii="Cambria" w:cs="Cambria" w:eastAsia="Cambria" w:hAnsi="Cambria"/>
          <w:sz w:val="24"/>
          <w:szCs w:val="24"/>
        </w:rPr>
        <w:t xml:space="preserve"> Formal security analysis and a systematic performance study remain for the next stage. </w:t>
      </w:r>
      <w:r>
        <w:rPr>
          <w:rFonts w:ascii="Cambria" w:cs="Cambria" w:eastAsia="Cambria" w:hAnsi="Cambria"/>
          <w:color w:val="0000CC"/>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E6007E"/>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and temporal expiration were demonstrated in the automated test suite, and unauthorised lifecycle transitions remain to be examined in the next stage.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CC"/>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CC"/>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E6007E"/>
                <w:sz w:val="19"/>
                <w:szCs w:val="19"/>
              </w:rPr>
              <w:t xml:space="preserve">addresses RQ1 to RQ4 (Sections 6.1 to 6.4).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E6007E"/>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E6007E"/>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E6007E"/>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E6007E"/>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E6007E"/>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E6007E"/>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CC"/>
          <w:sz w:val="24"/>
          <w:szCs w:val="24"/>
        </w:rPr>
        <w:t xml:space="preserve">The next stage activities are planned sequentially. </w:t>
      </w:r>
      <w:r>
        <w:rPr>
          <w:rFonts w:ascii="Cambria" w:cs="Cambria" w:eastAsia="Cambria" w:hAnsi="Cambria"/>
          <w:color w:val="E6007E"/>
          <w:sz w:val="24"/>
          <w:szCs w:val="24"/>
        </w:rPr>
        <w:t xml:space="preserve">The formal specification of the security properties will be undertaken first, since the empirical experiments are to be designed against those properties. The performance and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E6007E"/>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E6007E"/>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E6007E"/>
          <w:sz w:val="24"/>
          <w:szCs w:val="24"/>
        </w:rPr>
        <w:t xml:space="preserve">The formal component will state two properties. The first is the soundness property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CC"/>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E6007E"/>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E6007E"/>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E6007E"/>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E6007E"/>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E6007E"/>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E6007E"/>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E6007E"/>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STATE_CHECK and DATA_ACCESS events recording VP = PASS for the four-module scope of consents f050c29a and 04da25f5</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E6007E"/>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E6007E"/>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E6007E"/>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E6007E"/>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E6007E"/>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E6007E"/>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E6007E"/>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E6007E"/>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E6007E"/>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E6007E"/>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E6007E"/>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E6007E"/>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E6007E"/>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E6007E"/>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E6007E"/>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E6007E"/>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E6007E"/>
          <w:sz w:val="24"/>
          <w:szCs w:val="24"/>
        </w:rPr>
        <w:t xml:space="preserve">ACM Transactions on Management Information Systems, 13(4):1–21, 2022.</w:t>
      </w:r>
    </w:p>
    <w:p>
      <w:pPr>
        <w:spacing w:after="140" w:line="300"/>
        <w:jc w:val="both"/>
      </w:pPr>
      <w:r>
        <w:rPr>
          <w:rFonts w:ascii="Cambria" w:cs="Cambria" w:eastAsia="Cambria" w:hAnsi="Cambria"/>
          <w:color w:val="E6007E"/>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E6007E"/>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E6007E"/>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E6007E"/>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CC"/>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CC"/>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CC"/>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CC"/>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CC"/>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CC"/>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CC"/>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CC"/>
          <w:sz w:val="24"/>
          <w:szCs w:val="24"/>
        </w:rPr>
        <w:t xml:space="preserve">[42] </w:t>
      </w:r>
      <w:r>
        <w:rPr>
          <w:rFonts w:ascii="Cambria" w:cs="Cambria" w:eastAsia="Cambria" w:hAnsi="Cambria"/>
          <w:color w:val="E6007E"/>
          <w:sz w:val="24"/>
          <w:szCs w:val="24"/>
        </w:rPr>
        <w:t xml:space="preserve">J. A. Dhanraj, P. Dhongle, R. Tamilamuthan, M. Lakshmanan, N. Ashtankar, and S. R. Hole.</w:t>
      </w:r>
      <w:r>
        <w:rPr>
          <w:rFonts w:ascii="Cambria" w:cs="Cambria" w:eastAsia="Cambria" w:hAnsi="Cambria"/>
          <w:color w:val="0000CC"/>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E6007E"/>
          <w:sz w:val="24"/>
          <w:szCs w:val="24"/>
        </w:rPr>
        <w:t xml:space="preserve">Advancements and Applications of Computational Intelligence Techniques (ETAACT), 2026.</w:t>
      </w:r>
      <w:r>
        <w:rPr>
          <w:rFonts w:ascii="Cambria" w:cs="Cambria" w:eastAsia="Cambria" w:hAnsi="Cambria"/>
          <w:color w:val="0000CC"/>
          <w:sz w:val="24"/>
          <w:szCs w:val="24"/>
        </w:rPr>
        <w:t xml:space="preserve"> doi:10.1109/ETAACT69135.2026.11541890</w:t>
      </w:r>
    </w:p>
    <w:p>
      <w:pPr>
        <w:spacing w:after="140" w:line="300"/>
        <w:jc w:val="both"/>
      </w:pPr>
      <w:r>
        <w:rPr>
          <w:rFonts w:ascii="Cambria" w:cs="Cambria" w:eastAsia="Cambria" w:hAnsi="Cambria"/>
          <w:color w:val="0000CC"/>
          <w:sz w:val="24"/>
          <w:szCs w:val="24"/>
        </w:rPr>
        <w:t xml:space="preserve">[43] </w:t>
      </w:r>
      <w:r>
        <w:rPr>
          <w:rFonts w:ascii="Cambria" w:cs="Cambria" w:eastAsia="Cambria" w:hAnsi="Cambria"/>
          <w:color w:val="E6007E"/>
          <w:sz w:val="24"/>
          <w:szCs w:val="24"/>
        </w:rPr>
        <w:t xml:space="preserve">K. Ekholm, A. Augustinsson, J. Sundström, C. Johansen, M. Storgärds, L. Ljöstad, et al.</w:t>
      </w:r>
      <w:r>
        <w:rPr>
          <w:rFonts w:ascii="Cambria" w:cs="Cambria" w:eastAsia="Cambria" w:hAnsi="Cambria"/>
          <w:color w:val="0000CC"/>
          <w:sz w:val="24"/>
          <w:szCs w:val="24"/>
        </w:rPr>
        <w:t xml:space="preserve"> Implementing electronic informed consent in rare disease genomics. </w:t>
      </w:r>
      <w:r>
        <w:rPr>
          <w:rFonts w:ascii="Cambria" w:cs="Cambria" w:eastAsia="Cambria" w:hAnsi="Cambria"/>
          <w:color w:val="E6007E"/>
          <w:sz w:val="24"/>
          <w:szCs w:val="24"/>
        </w:rPr>
        <w:t xml:space="preserve">Scientific Reports, 2025.</w:t>
      </w:r>
      <w:r>
        <w:rPr>
          <w:rFonts w:ascii="Cambria" w:cs="Cambria" w:eastAsia="Cambria" w:hAnsi="Cambria"/>
          <w:color w:val="0000CC"/>
          <w:sz w:val="24"/>
          <w:szCs w:val="24"/>
        </w:rPr>
        <w:t xml:space="preserve"> doi:10.1038/s41598-025-32740-1</w:t>
      </w:r>
    </w:p>
    <w:p>
      <w:pPr>
        <w:spacing w:after="140" w:line="300"/>
        <w:jc w:val="both"/>
      </w:pPr>
      <w:r>
        <w:rPr>
          <w:rFonts w:ascii="Cambria" w:cs="Cambria" w:eastAsia="Cambria" w:hAnsi="Cambria"/>
          <w:color w:val="E6007E"/>
          <w:sz w:val="24"/>
          <w:szCs w:val="24"/>
        </w:rPr>
        <w:t xml:space="preserve">[44] A. U. Eneh, L. A. C. Ahakonye, J. M. Lee, and D.-S. Kim.</w:t>
      </w:r>
      <w:r>
        <w:rPr>
          <w:rFonts w:ascii="Cambria" w:cs="Cambria" w:eastAsia="Cambria" w:hAnsi="Cambria"/>
          <w:color w:val="0000CC"/>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CC"/>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CC"/>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E6007E"/>
          <w:sz w:val="24"/>
          <w:szCs w:val="24"/>
        </w:rPr>
        <w:t xml:space="preserve">Distributed Ledger Technologies: Research and Practice, 2026.</w:t>
      </w:r>
      <w:r>
        <w:rPr>
          <w:rFonts w:ascii="Cambria" w:cs="Cambria" w:eastAsia="Cambria" w:hAnsi="Cambria"/>
          <w:color w:val="0000CC"/>
          <w:sz w:val="24"/>
          <w:szCs w:val="24"/>
        </w:rPr>
        <w:t xml:space="preserve"> doi:10.1145/3827623</w:t>
      </w:r>
    </w:p>
    <w:p>
      <w:pPr>
        <w:spacing w:after="140" w:line="300"/>
        <w:jc w:val="both"/>
      </w:pPr>
      <w:r>
        <w:rPr>
          <w:rFonts w:ascii="Cambria" w:cs="Cambria" w:eastAsia="Cambria" w:hAnsi="Cambria"/>
          <w:color w:val="0000CC"/>
          <w:sz w:val="24"/>
          <w:szCs w:val="24"/>
        </w:rPr>
        <w:t xml:space="preserve">[47] </w:t>
      </w:r>
      <w:r>
        <w:rPr>
          <w:rFonts w:ascii="Cambria" w:cs="Cambria" w:eastAsia="Cambria" w:hAnsi="Cambria"/>
          <w:color w:val="E6007E"/>
          <w:sz w:val="24"/>
          <w:szCs w:val="24"/>
        </w:rPr>
        <w:t xml:space="preserve">J. Hagström, M. Hägglund, M. Holmroos, P. Lähteenmäki, and I. Hörhammer.</w:t>
      </w:r>
      <w:r>
        <w:rPr>
          <w:rFonts w:ascii="Cambria" w:cs="Cambria" w:eastAsia="Cambria" w:hAnsi="Cambria"/>
          <w:color w:val="0000CC"/>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E6007E"/>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CC"/>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CC"/>
          <w:sz w:val="24"/>
          <w:szCs w:val="24"/>
        </w:rPr>
        <w:t xml:space="preserve">[50] </w:t>
      </w:r>
      <w:r>
        <w:rPr>
          <w:rFonts w:ascii="Cambria" w:cs="Cambria" w:eastAsia="Cambria" w:hAnsi="Cambria"/>
          <w:color w:val="E6007E"/>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CC"/>
          <w:sz w:val="24"/>
          <w:szCs w:val="24"/>
        </w:rPr>
        <w:t xml:space="preserve"> doi:10.1016/j.cose.2023.103686</w:t>
      </w:r>
    </w:p>
    <w:p>
      <w:pPr>
        <w:spacing w:after="140" w:line="300"/>
        <w:jc w:val="both"/>
      </w:pPr>
      <w:r>
        <w:rPr>
          <w:rFonts w:ascii="Cambria" w:cs="Cambria" w:eastAsia="Cambria" w:hAnsi="Cambria"/>
          <w:color w:val="0000CC"/>
          <w:sz w:val="24"/>
          <w:szCs w:val="24"/>
        </w:rPr>
        <w:t xml:space="preserve">[51] H. Li, D. Li, G. Lv, N. Crespi, R. Minerva, W. Shao,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CC"/>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CC"/>
          <w:sz w:val="24"/>
          <w:szCs w:val="24"/>
        </w:rPr>
        <w:t xml:space="preserve">[53] M. M. Madine, K. Salah, R. Jayaraman, I. Yaqoob, Y. Al-Hammadi, S. Ellahham,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CC"/>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CC"/>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CC"/>
          <w:sz w:val="24"/>
          <w:szCs w:val="24"/>
        </w:rPr>
        <w:t xml:space="preserve">[56] </w:t>
      </w:r>
      <w:r>
        <w:rPr>
          <w:rFonts w:ascii="Cambria" w:cs="Cambria" w:eastAsia="Cambria" w:hAnsi="Cambria"/>
          <w:color w:val="E6007E"/>
          <w:sz w:val="24"/>
          <w:szCs w:val="24"/>
        </w:rPr>
        <w:t xml:space="preserve">M. Zhang, F. Shao, R. Zheng, M. Liu, and Z. Ji.</w:t>
      </w:r>
      <w:r>
        <w:rPr>
          <w:rFonts w:ascii="Cambria" w:cs="Cambria" w:eastAsia="Cambria" w:hAnsi="Cambria"/>
          <w:color w:val="0000CC"/>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CC"/>
          <w:sz w:val="24"/>
          <w:szCs w:val="24"/>
        </w:rPr>
        <w:t xml:space="preserve">[57] D.P. Panagoulias, A.I. Damian, C. Stamate, V. Toderian, P. Butusina, A. De Franceschi,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CC"/>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CC"/>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CC"/>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CC"/>
          <w:sz w:val="24"/>
          <w:szCs w:val="24"/>
        </w:rPr>
        <w:t xml:space="preserve">[61] A. Punia, P. Gulia, N.S. Gill, D. Kaushik, N. Alduaiji, P.K. Shukla,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CC"/>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CC"/>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E6007E"/>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CC"/>
          <w:sz w:val="24"/>
          <w:szCs w:val="24"/>
        </w:rPr>
        <w:t xml:space="preserve">[65] N.M. Sawant and J. Gomes. A Decentralized Solution for Smarter and Safer Healthcare Systems with FabricMedChain. </w:t>
      </w:r>
      <w:r>
        <w:rPr>
          <w:rFonts w:ascii="Cambria" w:cs="Cambria" w:eastAsia="Cambria" w:hAnsi="Cambria"/>
          <w:color w:val="E6007E"/>
          <w:sz w:val="24"/>
          <w:szCs w:val="24"/>
        </w:rPr>
        <w:t xml:space="preserve">Iranian Journal of Science and Technology, Transactions of Electrical Engineering, 2026.</w:t>
      </w:r>
      <w:r>
        <w:rPr>
          <w:rFonts w:ascii="Cambria" w:cs="Cambria" w:eastAsia="Cambria" w:hAnsi="Cambria"/>
          <w:color w:val="0000CC"/>
          <w:sz w:val="24"/>
          <w:szCs w:val="24"/>
        </w:rPr>
        <w:t xml:space="preserve"> doi:10.1007/s40998-025-00994-0</w:t>
      </w:r>
    </w:p>
    <w:p>
      <w:pPr>
        <w:spacing w:after="140" w:line="300"/>
        <w:jc w:val="both"/>
      </w:pPr>
      <w:r>
        <w:rPr>
          <w:rFonts w:ascii="Cambria" w:cs="Cambria" w:eastAsia="Cambria" w:hAnsi="Cambria"/>
          <w:color w:val="0000CC"/>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CC"/>
          <w:sz w:val="24"/>
          <w:szCs w:val="24"/>
        </w:rPr>
        <w:t xml:space="preserve">[67] </w:t>
      </w:r>
      <w:r>
        <w:rPr>
          <w:rFonts w:ascii="Cambria" w:cs="Cambria" w:eastAsia="Cambria" w:hAnsi="Cambria"/>
          <w:color w:val="E6007E"/>
          <w:sz w:val="24"/>
          <w:szCs w:val="24"/>
        </w:rPr>
        <w:t xml:space="preserve">S. L. Soohoo, M. S. Keller, Y. Chen, D. Hu, S.-C. Huang, T.-T. Kuo, et al.</w:t>
      </w:r>
      <w:r>
        <w:rPr>
          <w:rFonts w:ascii="Cambria" w:cs="Cambria" w:eastAsia="Cambria" w:hAnsi="Cambria"/>
          <w:color w:val="0000CC"/>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E6007E"/>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CC"/>
          <w:sz w:val="24"/>
          <w:szCs w:val="24"/>
        </w:rPr>
        <w:t xml:space="preserve">[69] </w:t>
      </w:r>
      <w:r>
        <w:rPr>
          <w:rFonts w:ascii="Cambria" w:cs="Cambria" w:eastAsia="Cambria" w:hAnsi="Cambria"/>
          <w:color w:val="E6007E"/>
          <w:sz w:val="24"/>
          <w:szCs w:val="24"/>
        </w:rPr>
        <w:t xml:space="preserve">K.-L. Tan, C.-H. Chi, and K.-Y. Lam.</w:t>
      </w:r>
      <w:r>
        <w:rPr>
          <w:rFonts w:ascii="Cambria" w:cs="Cambria" w:eastAsia="Cambria" w:hAnsi="Cambria"/>
          <w:color w:val="0000CC"/>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CC"/>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CC"/>
          <w:sz w:val="24"/>
          <w:szCs w:val="24"/>
        </w:rPr>
        <w:t xml:space="preserve">[71] </w:t>
      </w:r>
      <w:r>
        <w:rPr>
          <w:rFonts w:ascii="Cambria" w:cs="Cambria" w:eastAsia="Cambria" w:hAnsi="Cambria"/>
          <w:color w:val="E6007E"/>
          <w:sz w:val="24"/>
          <w:szCs w:val="24"/>
        </w:rPr>
        <w:t xml:space="preserve">D. Tith, J.-S. Lee, H. Suzuki, W. M. A. B. Wijesundara, N. Taira, T. Obi, et al.</w:t>
      </w:r>
      <w:r>
        <w:rPr>
          <w:rFonts w:ascii="Cambria" w:cs="Cambria" w:eastAsia="Cambria" w:hAnsi="Cambria"/>
          <w:color w:val="0000CC"/>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CC"/>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CC"/>
          <w:sz w:val="24"/>
          <w:szCs w:val="24"/>
        </w:rPr>
        <w:t xml:space="preserve">[73] </w:t>
      </w:r>
      <w:r>
        <w:rPr>
          <w:rFonts w:ascii="Cambria" w:cs="Cambria" w:eastAsia="Cambria" w:hAnsi="Cambria"/>
          <w:color w:val="E6007E"/>
          <w:sz w:val="24"/>
          <w:szCs w:val="24"/>
        </w:rPr>
        <w:t xml:space="preserve">C.-H. Tseng, Y.-H. Hsieh, H.-Y. Lin, and S.-M. Yuan.</w:t>
      </w:r>
      <w:r>
        <w:rPr>
          <w:rFonts w:ascii="Cambria" w:cs="Cambria" w:eastAsia="Cambria" w:hAnsi="Cambria"/>
          <w:color w:val="0000CC"/>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CC"/>
          <w:sz w:val="24"/>
          <w:szCs w:val="24"/>
        </w:rPr>
        <w:t xml:space="preserve">[74] </w:t>
      </w:r>
      <w:r>
        <w:rPr>
          <w:rFonts w:ascii="Cambria" w:cs="Cambria" w:eastAsia="Cambria" w:hAnsi="Cambria"/>
          <w:color w:val="E6007E"/>
          <w:sz w:val="24"/>
          <w:szCs w:val="24"/>
        </w:rPr>
        <w:t xml:space="preserve">J. Wagner, H. Schneiderheinze, M. Wurlitzer, O. Köckritz, N. Dittberner, M. Bialke, et al.</w:t>
      </w:r>
      <w:r>
        <w:rPr>
          <w:rFonts w:ascii="Cambria" w:cs="Cambria" w:eastAsia="Cambria" w:hAnsi="Cambria"/>
          <w:color w:val="0000CC"/>
          <w:sz w:val="24"/>
          <w:szCs w:val="24"/>
        </w:rPr>
        <w:t xml:space="preserve"> Integration of Trusted Third Party Software </w:t>
      </w:r>
      <w:r>
        <w:rPr>
          <w:rFonts w:ascii="Cambria" w:cs="Cambria" w:eastAsia="Cambria" w:hAnsi="Cambria"/>
          <w:color w:val="E6007E"/>
          <w:sz w:val="24"/>
          <w:szCs w:val="24"/>
        </w:rPr>
        <w:t xml:space="preserve">into an EDC System for Data Protection-Compliant Identity Management, Consent Management and Pseudonymization in Medical Research Studies.</w:t>
      </w:r>
      <w:r>
        <w:rPr>
          <w:rFonts w:ascii="Cambria" w:cs="Cambria" w:eastAsia="Cambria" w:hAnsi="Cambria"/>
          <w:color w:val="0000CC"/>
          <w:sz w:val="24"/>
          <w:szCs w:val="24"/>
        </w:rPr>
        <w:t xml:space="preserve"> Studies in Health Technology and Informatics, 2024. doi:10.3233/SHTI240840</w:t>
      </w:r>
    </w:p>
    <w:p>
      <w:pPr>
        <w:spacing w:after="140" w:line="300"/>
        <w:jc w:val="both"/>
      </w:pPr>
      <w:r>
        <w:rPr>
          <w:rFonts w:ascii="Cambria" w:cs="Cambria" w:eastAsia="Cambria" w:hAnsi="Cambria"/>
          <w:color w:val="0000CC"/>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E6007E"/>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CC"/>
          <w:sz w:val="24"/>
          <w:szCs w:val="24"/>
        </w:rPr>
        <w:t xml:space="preserve"> doi:10.1007/978-3-031-16035-6_1</w:t>
      </w:r>
    </w:p>
    <w:p>
      <w:pPr>
        <w:spacing w:after="140" w:line="300"/>
        <w:jc w:val="both"/>
      </w:pPr>
      <w:r>
        <w:rPr>
          <w:rFonts w:ascii="Cambria" w:cs="Cambria" w:eastAsia="Cambria" w:hAnsi="Cambria"/>
          <w:color w:val="0000CC"/>
          <w:sz w:val="24"/>
          <w:szCs w:val="24"/>
        </w:rPr>
        <w:t xml:space="preserve">[76] </w:t>
      </w:r>
      <w:r>
        <w:rPr>
          <w:rFonts w:ascii="Cambria" w:cs="Cambria" w:eastAsia="Cambria" w:hAnsi="Cambria"/>
          <w:color w:val="E6007E"/>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CC"/>
          <w:sz w:val="24"/>
          <w:szCs w:val="24"/>
        </w:rPr>
        <w:t xml:space="preserve"> doi:10.1016/j.csi.2024.103967</w:t>
      </w:r>
    </w:p>
    <w:p>
      <w:pPr>
        <w:spacing w:after="140" w:line="300"/>
        <w:jc w:val="both"/>
      </w:pPr>
      <w:r>
        <w:rPr>
          <w:rFonts w:ascii="Cambria" w:cs="Cambria" w:eastAsia="Cambria" w:hAnsi="Cambria"/>
          <w:color w:val="0000CC"/>
          <w:sz w:val="24"/>
          <w:szCs w:val="24"/>
        </w:rPr>
        <w:t xml:space="preserve">[77] G. Xu, C. Qi, W. Dong, L. Gong, S. Liu, S. Chen,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CC"/>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CC"/>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CC"/>
          <w:sz w:val="24"/>
          <w:szCs w:val="24"/>
        </w:rPr>
        <w:t xml:space="preserve">[80] </w:t>
      </w:r>
      <w:r>
        <w:rPr>
          <w:rFonts w:ascii="Cambria" w:cs="Cambria" w:eastAsia="Cambria" w:hAnsi="Cambria"/>
          <w:color w:val="E6007E"/>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CC"/>
          <w:sz w:val="24"/>
          <w:szCs w:val="24"/>
        </w:rPr>
        <w:t xml:space="preserve"> 2026. doi:10.2196/93348</w:t>
      </w:r>
    </w:p>
    <w:p>
      <w:pPr>
        <w:spacing w:after="140" w:line="300"/>
        <w:jc w:val="both"/>
      </w:pPr>
      <w:r>
        <w:rPr>
          <w:rFonts w:ascii="Cambria" w:cs="Cambria" w:eastAsia="Cambria" w:hAnsi="Cambria"/>
          <w:color w:val="0000CC"/>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d1bd8247485bbe40985e7e87374f188a3836d.png"/><Relationship Id="rId9" Type="http://schemas.openxmlformats.org/officeDocument/2006/relationships/image" Target="media/122df1687083c1aa86c90931669619b25666899b.png"/><Relationship Id="rId10" Type="http://schemas.openxmlformats.org/officeDocument/2006/relationships/image" Target="media/711f7f92a095989e921710a34c9b193c17f77f21.png"/><Relationship Id="rId11" Type="http://schemas.openxmlformats.org/officeDocument/2006/relationships/image" Target="media/5cf4112c6d08a2666a35561e97f76225e394e976.png"/><Relationship Id="rId12" Type="http://schemas.openxmlformats.org/officeDocument/2006/relationships/image" Target="media/759e288d014dfc281b63ba10a0a103690581aa0b.png"/><Relationship Id="rId13" Type="http://schemas.openxmlformats.org/officeDocument/2006/relationships/image" Target="media/7f691d763dba86ee49b25518e490fe406bd1e793.png"/><Relationship Id="rId14" Type="http://schemas.openxmlformats.org/officeDocument/2006/relationships/image" Target="media/0fc1020c5f2d577fb45977f6ee9d775a5b66ce0a.png"/><Relationship Id="rId15" Type="http://schemas.openxmlformats.org/officeDocument/2006/relationships/image" Target="media/5dda75865b8a7d4d8bbd3d4e406d6ac57f913b3c.png"/><Relationship Id="rId16" Type="http://schemas.openxmlformats.org/officeDocument/2006/relationships/image" Target="media/9becb05c4a6101f5d421517f324e978051b8cf09.png"/><Relationship Id="rId17" Type="http://schemas.openxmlformats.org/officeDocument/2006/relationships/image" Target="media/6f692c439de61f2c2064c85f12b2c7408b6da610.png"/><Relationship Id="rId18" Type="http://schemas.openxmlformats.org/officeDocument/2006/relationships/image" Target="media/efcb745b76bd75b54bf53f1c859df350299a2c6a.png"/><Relationship Id="rId19" Type="http://schemas.openxmlformats.org/officeDocument/2006/relationships/image" Target="media/11081a2422bebced6d030d22f0ebf13798832173.png"/><Relationship Id="rId20" Type="http://schemas.openxmlformats.org/officeDocument/2006/relationships/image" Target="media/cb3ff9df210f6ca37563bb96441f27f5987b686b.png"/><Relationship Id="rId21" Type="http://schemas.openxmlformats.org/officeDocument/2006/relationships/image" Target="media/70806ca075a018d1832052673cf0a8a54f10cc25.png"/><Relationship Id="rId22" Type="http://schemas.openxmlformats.org/officeDocument/2006/relationships/image" Target="media/4eba5d9267467f413da1872413e65d2897ea5f8d.png"/><Relationship Id="rId23" Type="http://schemas.openxmlformats.org/officeDocument/2006/relationships/image" Target="media/9d7e95eb43f6e9e653dbde9cb6afb2c4db7f0f36.png"/><Relationship Id="rId24" Type="http://schemas.openxmlformats.org/officeDocument/2006/relationships/image" Target="media/86be1e8b3adc79bdae602e0e0eeb3c738c4f87e6.png"/><Relationship Id="rId25" Type="http://schemas.openxmlformats.org/officeDocument/2006/relationships/image" Target="media/9f768ad876e36bba938f173c40ba95c30b720407.png"/><Relationship Id="rId26" Type="http://schemas.openxmlformats.org/officeDocument/2006/relationships/image" Target="media/7dfd85dea52248d93df8e639bb58d97f49e03d1f.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00d6986401b6325763b2855292d411f63286ea76.png"/><Relationship Id="rId31" Type="http://schemas.openxmlformats.org/officeDocument/2006/relationships/image" Target="media/b08ef3c27e50bcebac919f21b9b3c4430a015386.png"/><Relationship Id="rId32" Type="http://schemas.openxmlformats.org/officeDocument/2006/relationships/image" Target="media/54bb321ea4f7a316787389979f1f74b2e2ddc49b.png"/><Relationship Id="rId33" Type="http://schemas.openxmlformats.org/officeDocument/2006/relationships/image" Target="media/2c37f339c8f70360c56e49b5ce87e08f0ef3eea6.png"/><Relationship Id="rId34" Type="http://schemas.openxmlformats.org/officeDocument/2006/relationships/image" Target="media/a5b9b3ccbbdd73d6bbf6c105cedc858a5966b7f9.png"/><Relationship Id="rId35" Type="http://schemas.openxmlformats.org/officeDocument/2006/relationships/image" Target="media/e56b4f992bdd903593631381fadd9d088590b949.png"/><Relationship Id="rId36" Type="http://schemas.openxmlformats.org/officeDocument/2006/relationships/image" Target="media/551744d4db41183fe0c9b4d913479007233462c1.png"/><Relationship Id="rId37" Type="http://schemas.openxmlformats.org/officeDocument/2006/relationships/image" Target="media/d27b9e60b78f5e08727704aeccc1c38be9d5bec6.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1a88f385ea18ee24f3143e2be805b94b95340d8c.png"/><Relationship Id="rId43" Type="http://schemas.openxmlformats.org/officeDocument/2006/relationships/image" Target="media/0dab734b3591fc6e44f28d70c229863ac765dd6c.png"/><Relationship Id="rId44" Type="http://schemas.openxmlformats.org/officeDocument/2006/relationships/image" Target="media/437d3b5dafb646c4afc365beb5e51e2de16280e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0d4f18238ad3012fc88599bbeba8f066669a9f4d.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2026-09-30T10:42:13.592Z</dcterms:created>
  <dcterms:modified xsi:type="dcterms:W3CDTF">2026-09-30T10:42:13.592Z</dcterms:modified>
</cp:coreProperties>
</file>

<file path=docProps/custom.xml><?xml version="1.0" encoding="utf-8"?>
<Properties xmlns="http://schemas.openxmlformats.org/officeDocument/2006/custom-properties" xmlns:vt="http://schemas.openxmlformats.org/officeDocument/2006/docPropsVTypes"/>
</file>